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B8CF1" w14:textId="3B6B5BE6" w:rsidR="007D4495" w:rsidRPr="00BF576A" w:rsidRDefault="00492770" w:rsidP="007D4495">
      <w:pPr>
        <w:spacing w:after="0" w:line="480" w:lineRule="auto"/>
        <w:jc w:val="both"/>
        <w:rPr>
          <w:rFonts w:ascii="Times New Roman" w:hAnsi="Times New Roman" w:cs="Times New Roman"/>
          <w:sz w:val="20"/>
          <w:szCs w:val="20"/>
        </w:rPr>
      </w:pPr>
      <w:r>
        <w:rPr>
          <w:rFonts w:ascii="Times New Roman" w:hAnsi="Times New Roman" w:cs="Times New Roman"/>
          <w:b/>
          <w:bCs/>
          <w:sz w:val="20"/>
          <w:szCs w:val="20"/>
        </w:rPr>
        <w:t>Supplementary</w:t>
      </w:r>
      <w:r w:rsidR="001810FB">
        <w:rPr>
          <w:rFonts w:ascii="Times New Roman" w:hAnsi="Times New Roman" w:cs="Times New Roman"/>
          <w:b/>
          <w:bCs/>
          <w:sz w:val="20"/>
          <w:szCs w:val="20"/>
        </w:rPr>
        <w:t xml:space="preserve"> </w:t>
      </w:r>
      <w:r w:rsidR="007D4495" w:rsidRPr="00353950">
        <w:rPr>
          <w:rFonts w:ascii="Times New Roman" w:hAnsi="Times New Roman" w:cs="Times New Roman"/>
          <w:b/>
          <w:bCs/>
          <w:sz w:val="20"/>
          <w:szCs w:val="20"/>
        </w:rPr>
        <w:t xml:space="preserve">Table </w:t>
      </w:r>
      <w:r w:rsidR="0020613A">
        <w:rPr>
          <w:rFonts w:ascii="Times New Roman" w:hAnsi="Times New Roman" w:cs="Times New Roman"/>
          <w:b/>
          <w:bCs/>
          <w:sz w:val="20"/>
          <w:szCs w:val="20"/>
        </w:rPr>
        <w:t>5</w:t>
      </w:r>
      <w:r w:rsidR="007D4495" w:rsidRPr="00BF576A">
        <w:rPr>
          <w:rFonts w:ascii="Times New Roman" w:hAnsi="Times New Roman" w:cs="Times New Roman"/>
          <w:sz w:val="20"/>
          <w:szCs w:val="20"/>
        </w:rPr>
        <w:t xml:space="preserve"> Assessment of methodological quality of quasi-experimental studies</w:t>
      </w:r>
    </w:p>
    <w:tbl>
      <w:tblPr>
        <w:tblW w:w="10476" w:type="dxa"/>
        <w:tblInd w:w="90" w:type="dxa"/>
        <w:tblLook w:val="04A0" w:firstRow="1" w:lastRow="0" w:firstColumn="1" w:lastColumn="0" w:noHBand="0" w:noVBand="1"/>
      </w:tblPr>
      <w:tblGrid>
        <w:gridCol w:w="470"/>
        <w:gridCol w:w="1600"/>
        <w:gridCol w:w="1183"/>
        <w:gridCol w:w="720"/>
        <w:gridCol w:w="740"/>
        <w:gridCol w:w="680"/>
        <w:gridCol w:w="680"/>
        <w:gridCol w:w="700"/>
        <w:gridCol w:w="680"/>
        <w:gridCol w:w="640"/>
        <w:gridCol w:w="640"/>
        <w:gridCol w:w="760"/>
        <w:gridCol w:w="983"/>
      </w:tblGrid>
      <w:tr w:rsidR="007D4495" w:rsidRPr="00BF576A" w14:paraId="6D6C07DD" w14:textId="77777777" w:rsidTr="004A48E7">
        <w:trPr>
          <w:trHeight w:val="600"/>
        </w:trPr>
        <w:tc>
          <w:tcPr>
            <w:tcW w:w="470" w:type="dxa"/>
            <w:tcBorders>
              <w:top w:val="single" w:sz="4" w:space="0" w:color="auto"/>
              <w:bottom w:val="single" w:sz="4" w:space="0" w:color="auto"/>
            </w:tcBorders>
            <w:shd w:val="clear" w:color="auto" w:fill="auto"/>
            <w:noWrap/>
            <w:hideMark/>
          </w:tcPr>
          <w:p w14:paraId="4C7AD15E" w14:textId="77777777" w:rsidR="007D4495" w:rsidRPr="00BF576A" w:rsidRDefault="007D4495" w:rsidP="004A48E7">
            <w:pP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 </w:t>
            </w:r>
          </w:p>
        </w:tc>
        <w:tc>
          <w:tcPr>
            <w:tcW w:w="1600" w:type="dxa"/>
            <w:tcBorders>
              <w:top w:val="single" w:sz="4" w:space="0" w:color="auto"/>
              <w:bottom w:val="single" w:sz="4" w:space="0" w:color="auto"/>
            </w:tcBorders>
            <w:shd w:val="clear" w:color="auto" w:fill="auto"/>
            <w:hideMark/>
          </w:tcPr>
          <w:p w14:paraId="1EBED87E" w14:textId="77777777" w:rsidR="007D4495" w:rsidRPr="00BF576A" w:rsidRDefault="007D4495" w:rsidP="004A48E7">
            <w:pP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First author</w:t>
            </w:r>
            <w:r w:rsidRPr="00BF576A">
              <w:rPr>
                <w:rFonts w:ascii="Times New Roman" w:hAnsi="Times New Roman" w:cs="Times New Roman"/>
                <w:b/>
                <w:bCs/>
                <w:color w:val="000000"/>
                <w:sz w:val="20"/>
                <w:szCs w:val="20"/>
                <w:lang w:val="en-US"/>
              </w:rPr>
              <w:br/>
              <w:t xml:space="preserve"> surname</w:t>
            </w:r>
          </w:p>
        </w:tc>
        <w:tc>
          <w:tcPr>
            <w:tcW w:w="1183" w:type="dxa"/>
            <w:tcBorders>
              <w:top w:val="single" w:sz="4" w:space="0" w:color="auto"/>
              <w:bottom w:val="single" w:sz="4" w:space="0" w:color="auto"/>
            </w:tcBorders>
            <w:shd w:val="clear" w:color="auto" w:fill="auto"/>
            <w:hideMark/>
          </w:tcPr>
          <w:p w14:paraId="1A842F58" w14:textId="77777777" w:rsidR="007D4495" w:rsidRPr="00BF576A" w:rsidRDefault="007D4495" w:rsidP="004A48E7">
            <w:pP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Year of publication</w:t>
            </w:r>
          </w:p>
        </w:tc>
        <w:tc>
          <w:tcPr>
            <w:tcW w:w="720" w:type="dxa"/>
            <w:tcBorders>
              <w:top w:val="single" w:sz="4" w:space="0" w:color="auto"/>
              <w:bottom w:val="single" w:sz="4" w:space="0" w:color="auto"/>
            </w:tcBorders>
            <w:shd w:val="clear" w:color="auto" w:fill="auto"/>
            <w:noWrap/>
            <w:hideMark/>
          </w:tcPr>
          <w:p w14:paraId="5C190714" w14:textId="77777777" w:rsidR="007D4495" w:rsidRPr="00BF576A" w:rsidRDefault="007D4495" w:rsidP="004A48E7">
            <w:pPr>
              <w:jc w:val="cente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Q1</w:t>
            </w:r>
          </w:p>
        </w:tc>
        <w:tc>
          <w:tcPr>
            <w:tcW w:w="740" w:type="dxa"/>
            <w:tcBorders>
              <w:top w:val="single" w:sz="4" w:space="0" w:color="auto"/>
              <w:bottom w:val="single" w:sz="4" w:space="0" w:color="auto"/>
            </w:tcBorders>
            <w:shd w:val="clear" w:color="auto" w:fill="auto"/>
            <w:noWrap/>
            <w:hideMark/>
          </w:tcPr>
          <w:p w14:paraId="47316860" w14:textId="77777777" w:rsidR="007D4495" w:rsidRPr="00BF576A" w:rsidRDefault="007D4495" w:rsidP="004A48E7">
            <w:pPr>
              <w:jc w:val="cente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Q2</w:t>
            </w:r>
          </w:p>
        </w:tc>
        <w:tc>
          <w:tcPr>
            <w:tcW w:w="680" w:type="dxa"/>
            <w:tcBorders>
              <w:top w:val="single" w:sz="4" w:space="0" w:color="auto"/>
              <w:bottom w:val="single" w:sz="4" w:space="0" w:color="auto"/>
            </w:tcBorders>
            <w:shd w:val="clear" w:color="auto" w:fill="auto"/>
            <w:noWrap/>
            <w:hideMark/>
          </w:tcPr>
          <w:p w14:paraId="4D7E0A1C" w14:textId="77777777" w:rsidR="007D4495" w:rsidRPr="00BF576A" w:rsidRDefault="007D4495" w:rsidP="004A48E7">
            <w:pPr>
              <w:jc w:val="cente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Q3</w:t>
            </w:r>
          </w:p>
        </w:tc>
        <w:tc>
          <w:tcPr>
            <w:tcW w:w="680" w:type="dxa"/>
            <w:tcBorders>
              <w:top w:val="single" w:sz="4" w:space="0" w:color="auto"/>
              <w:bottom w:val="single" w:sz="4" w:space="0" w:color="auto"/>
            </w:tcBorders>
            <w:shd w:val="clear" w:color="auto" w:fill="auto"/>
            <w:noWrap/>
            <w:hideMark/>
          </w:tcPr>
          <w:p w14:paraId="7756A8D6" w14:textId="77777777" w:rsidR="007D4495" w:rsidRPr="00BF576A" w:rsidRDefault="007D4495" w:rsidP="004A48E7">
            <w:pPr>
              <w:jc w:val="cente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Q4</w:t>
            </w:r>
          </w:p>
        </w:tc>
        <w:tc>
          <w:tcPr>
            <w:tcW w:w="700" w:type="dxa"/>
            <w:tcBorders>
              <w:top w:val="single" w:sz="4" w:space="0" w:color="auto"/>
              <w:bottom w:val="single" w:sz="4" w:space="0" w:color="auto"/>
            </w:tcBorders>
            <w:shd w:val="clear" w:color="auto" w:fill="auto"/>
            <w:noWrap/>
            <w:hideMark/>
          </w:tcPr>
          <w:p w14:paraId="529823AF" w14:textId="77777777" w:rsidR="007D4495" w:rsidRPr="00BF576A" w:rsidRDefault="007D4495" w:rsidP="004A48E7">
            <w:pPr>
              <w:jc w:val="cente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Q5</w:t>
            </w:r>
          </w:p>
        </w:tc>
        <w:tc>
          <w:tcPr>
            <w:tcW w:w="680" w:type="dxa"/>
            <w:tcBorders>
              <w:top w:val="single" w:sz="4" w:space="0" w:color="auto"/>
              <w:bottom w:val="single" w:sz="4" w:space="0" w:color="auto"/>
            </w:tcBorders>
            <w:shd w:val="clear" w:color="auto" w:fill="auto"/>
            <w:noWrap/>
            <w:hideMark/>
          </w:tcPr>
          <w:p w14:paraId="319DD9DA" w14:textId="77777777" w:rsidR="007D4495" w:rsidRPr="00BF576A" w:rsidRDefault="007D4495" w:rsidP="004A48E7">
            <w:pPr>
              <w:jc w:val="cente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Q6</w:t>
            </w:r>
          </w:p>
        </w:tc>
        <w:tc>
          <w:tcPr>
            <w:tcW w:w="640" w:type="dxa"/>
            <w:tcBorders>
              <w:top w:val="single" w:sz="4" w:space="0" w:color="auto"/>
              <w:bottom w:val="single" w:sz="4" w:space="0" w:color="auto"/>
            </w:tcBorders>
            <w:shd w:val="clear" w:color="auto" w:fill="auto"/>
            <w:noWrap/>
            <w:hideMark/>
          </w:tcPr>
          <w:p w14:paraId="0FBB3B8B" w14:textId="77777777" w:rsidR="007D4495" w:rsidRPr="00BF576A" w:rsidRDefault="007D4495" w:rsidP="004A48E7">
            <w:pPr>
              <w:jc w:val="cente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Q7</w:t>
            </w:r>
          </w:p>
        </w:tc>
        <w:tc>
          <w:tcPr>
            <w:tcW w:w="640" w:type="dxa"/>
            <w:tcBorders>
              <w:top w:val="single" w:sz="4" w:space="0" w:color="auto"/>
              <w:bottom w:val="single" w:sz="4" w:space="0" w:color="auto"/>
            </w:tcBorders>
            <w:shd w:val="clear" w:color="auto" w:fill="auto"/>
            <w:noWrap/>
            <w:hideMark/>
          </w:tcPr>
          <w:p w14:paraId="1CE7F194" w14:textId="77777777" w:rsidR="007D4495" w:rsidRPr="00BF576A" w:rsidRDefault="007D4495" w:rsidP="004A48E7">
            <w:pPr>
              <w:jc w:val="cente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Q8</w:t>
            </w:r>
          </w:p>
        </w:tc>
        <w:tc>
          <w:tcPr>
            <w:tcW w:w="760" w:type="dxa"/>
            <w:tcBorders>
              <w:top w:val="single" w:sz="4" w:space="0" w:color="auto"/>
              <w:bottom w:val="single" w:sz="4" w:space="0" w:color="auto"/>
            </w:tcBorders>
            <w:shd w:val="clear" w:color="auto" w:fill="auto"/>
            <w:hideMark/>
          </w:tcPr>
          <w:p w14:paraId="092B8972" w14:textId="77777777" w:rsidR="007D4495" w:rsidRPr="00BF576A" w:rsidRDefault="007D4495" w:rsidP="004A48E7">
            <w:pPr>
              <w:jc w:val="cente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Q9</w:t>
            </w:r>
          </w:p>
        </w:tc>
        <w:tc>
          <w:tcPr>
            <w:tcW w:w="983" w:type="dxa"/>
            <w:tcBorders>
              <w:top w:val="single" w:sz="4" w:space="0" w:color="auto"/>
              <w:bottom w:val="single" w:sz="4" w:space="0" w:color="auto"/>
            </w:tcBorders>
            <w:shd w:val="clear" w:color="auto" w:fill="auto"/>
            <w:hideMark/>
          </w:tcPr>
          <w:p w14:paraId="6644833F" w14:textId="77777777" w:rsidR="007D4495" w:rsidRPr="00BF576A" w:rsidRDefault="007D4495" w:rsidP="004A48E7">
            <w:pPr>
              <w:rPr>
                <w:rFonts w:ascii="Times New Roman" w:hAnsi="Times New Roman" w:cs="Times New Roman"/>
                <w:b/>
                <w:bCs/>
                <w:color w:val="000000"/>
                <w:sz w:val="20"/>
                <w:szCs w:val="20"/>
                <w:lang w:val="en-US"/>
              </w:rPr>
            </w:pPr>
            <w:r w:rsidRPr="00BF576A">
              <w:rPr>
                <w:rFonts w:ascii="Times New Roman" w:hAnsi="Times New Roman" w:cs="Times New Roman"/>
                <w:b/>
                <w:bCs/>
                <w:color w:val="000000"/>
                <w:sz w:val="20"/>
                <w:szCs w:val="20"/>
                <w:lang w:val="en-US"/>
              </w:rPr>
              <w:t>Quality</w:t>
            </w:r>
            <w:r w:rsidRPr="00BF576A">
              <w:rPr>
                <w:rFonts w:ascii="Times New Roman" w:hAnsi="Times New Roman" w:cs="Times New Roman"/>
                <w:b/>
                <w:bCs/>
                <w:color w:val="000000"/>
                <w:sz w:val="20"/>
                <w:szCs w:val="20"/>
                <w:lang w:val="en-US"/>
              </w:rPr>
              <w:br/>
              <w:t xml:space="preserve"> of study</w:t>
            </w:r>
          </w:p>
        </w:tc>
      </w:tr>
      <w:tr w:rsidR="007D4495" w:rsidRPr="00BF576A" w14:paraId="66FBECA9" w14:textId="77777777" w:rsidTr="004A48E7">
        <w:trPr>
          <w:trHeight w:val="300"/>
        </w:trPr>
        <w:tc>
          <w:tcPr>
            <w:tcW w:w="470" w:type="dxa"/>
            <w:tcBorders>
              <w:top w:val="single" w:sz="4" w:space="0" w:color="auto"/>
            </w:tcBorders>
            <w:shd w:val="clear" w:color="auto" w:fill="auto"/>
            <w:noWrap/>
            <w:vAlign w:val="bottom"/>
            <w:hideMark/>
          </w:tcPr>
          <w:p w14:paraId="64768C6A" w14:textId="77777777" w:rsidR="007D4495" w:rsidRPr="00BF576A" w:rsidRDefault="007D4495" w:rsidP="004A48E7">
            <w:pPr>
              <w:jc w:val="right"/>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1</w:t>
            </w:r>
          </w:p>
        </w:tc>
        <w:tc>
          <w:tcPr>
            <w:tcW w:w="1600" w:type="dxa"/>
            <w:tcBorders>
              <w:top w:val="single" w:sz="4" w:space="0" w:color="auto"/>
            </w:tcBorders>
            <w:shd w:val="clear" w:color="auto" w:fill="auto"/>
            <w:noWrap/>
            <w:vAlign w:val="bottom"/>
            <w:hideMark/>
          </w:tcPr>
          <w:p w14:paraId="32F5A456" w14:textId="01079EFE" w:rsidR="007D4495" w:rsidRPr="00BF576A" w:rsidRDefault="007D4495" w:rsidP="004A48E7">
            <w:pPr>
              <w:rPr>
                <w:rFonts w:ascii="Times New Roman" w:hAnsi="Times New Roman" w:cs="Times New Roman"/>
                <w:color w:val="000000"/>
                <w:sz w:val="20"/>
                <w:szCs w:val="20"/>
                <w:lang w:val="en-US"/>
              </w:rPr>
            </w:pPr>
            <w:proofErr w:type="spellStart"/>
            <w:r w:rsidRPr="00BF576A">
              <w:rPr>
                <w:rFonts w:ascii="Times New Roman" w:hAnsi="Times New Roman" w:cs="Times New Roman"/>
                <w:color w:val="000000"/>
                <w:sz w:val="20"/>
                <w:szCs w:val="20"/>
                <w:lang w:val="en-US"/>
              </w:rPr>
              <w:t>Assah</w:t>
            </w:r>
            <w:proofErr w:type="spellEnd"/>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sidR="00BD6766">
              <w:rPr>
                <w:rFonts w:ascii="Times New Roman" w:hAnsi="Times New Roman" w:cs="Times New Roman"/>
                <w:color w:val="000000"/>
                <w:sz w:val="20"/>
                <w:szCs w:val="20"/>
                <w:lang w:val="en-US"/>
              </w:rPr>
              <w:instrText>ADDIN CSL_CITATION {"citationItems":[{"id":"ITEM-1","itemData":{"ISSN":"07423071","abstract":"Aims: To examine the effectiveness of a community-based multilevel peer support intervention in addition to usual diabetes care on improving glycaemic levels, blood pressure and lipids in patients with Type 2 diabetes in Yaoundé, Cameroon. Methods: A total of 96 subjects with poorly controlled Type 2 diabetes (intervention group) and 96 age- and sex-matched controls were recruited and followed up over 6 months. The intervention subjects underwent a peer support intervention through peer-led group meetings, personal encounters and telephone calls. Both intervention subjects and controls continued their usual clinical care. HbA1c, blood pressure, blood lipids and self-care behaviours were measured at 0 and 6 months. Results: There was significant reduction in HbA1c in the intervention group [-33 mmol/mol (-3.0%)] compared with controls [-14 mmol/mol (-1.3%)]; P&lt;0.001. Peer support also led to significant reductions in fasting blood sugar (-0.83 g/l P&lt;0.001), cholesterol (-0.54 g/l P&lt;0.001), HDL (-0.09 g/l, P&lt;0.001), BMI (-2.71 kg/m2 P&lt;0.001) and diastolic pressure (-6.77 mmHg, P&lt;0.001) over the 6-month period. Also, diabetes self-care behaviours in the intervention group improved significantly over the 6 months of peer support. Conclusion: Community-based peer support, in addition to usual care, significantly improved metabolic control in patients with uncontrolled Type 2 diabetes in Yaoundé, Cameroon. This could provide a model for optimizing diabetes care and control in other settings with limited healthcare and financial resources.","author":[{"dropping-particle":"","family":"Assah","given":"F K","non-dropping-particle":"","parse-names":false,"suffix":""},{"dropping-particle":"","family":"Atanga","given":"E N","non-dropping-particle":"","parse-names":false,"suffix":""},{"dropping-particle":"","family":"Enoru","given":"S","non-dropping-particle":"","parse-names":false,"suffix":""},{"dropping-particle":"","family":"Sobngwi","given":"E","non-dropping-particle":"","parse-names":false,"suffix":""},{"dropping-particle":"","family":"Mbanya","given":"J C","non-dropping-particle":"","parse-names":false,"suffix":""}],"container-title":"Diabetic Medicine","id":"ITEM-1","issue":"7","issued":{"date-parts":[["2015"]]},"note":"Accession Number: 20153254160. Assah, F. K. (author); Email Address: kembeassah@yahoo.com; Atanga, E. N. (author); Enoru, S. (author); Sobngwi, E. (author); Mbanya, J. C. (author). Issue Info: 32, 7. Publication Date: 20150101. Note: 15. Number of Pages: 4. Document Type: Journal Article. Language: English. Subject Subsets: Tropical Diseases; Rural Development; CAB Abstracts 1973-Current; Global Health 1973- Current. Has References: 15.","page":"886-889","publisher":"Wiley-Blackwell","publisher-place":"Health of Populations in Transition Research Group, Yaoundé, Cameroon.","title":"Community-based peer support significantly improves metabolic control in people with Type 2 diabetes in Yaoundé, Cameroon.","type":"article-journal","volume":"32"},"uris":["http://www.mendeley.com/documents/?uuid=158a876a-6e94-48ce-80d4-8bd07ec03122"]}],"mendeley":{"formattedCitation":"(12)","manualFormatting":"[2","plainTextFormattedCitation":"(12)","previouslyFormattedCitation":"(12)"},"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C04199">
              <w:rPr>
                <w:rFonts w:ascii="Times New Roman" w:hAnsi="Times New Roman" w:cs="Times New Roman"/>
                <w:noProof/>
                <w:color w:val="000000"/>
                <w:sz w:val="20"/>
                <w:szCs w:val="20"/>
                <w:lang w:val="en-US"/>
              </w:rPr>
              <w:t>2</w:t>
            </w:r>
            <w:r>
              <w:rPr>
                <w:rFonts w:ascii="Times New Roman" w:hAnsi="Times New Roman" w:cs="Times New Roman"/>
                <w:color w:val="000000"/>
                <w:sz w:val="20"/>
                <w:szCs w:val="20"/>
                <w:lang w:val="en-US"/>
              </w:rPr>
              <w:fldChar w:fldCharType="end"/>
            </w:r>
            <w:r w:rsidR="00BD6766">
              <w:rPr>
                <w:rFonts w:ascii="Times New Roman" w:hAnsi="Times New Roman" w:cs="Times New Roman"/>
                <w:color w:val="000000"/>
                <w:sz w:val="20"/>
                <w:szCs w:val="20"/>
                <w:lang w:val="en-US"/>
              </w:rPr>
              <w:t>4</w:t>
            </w:r>
            <w:r>
              <w:rPr>
                <w:rFonts w:ascii="Times New Roman" w:hAnsi="Times New Roman" w:cs="Times New Roman"/>
                <w:color w:val="000000"/>
                <w:sz w:val="20"/>
                <w:szCs w:val="20"/>
                <w:lang w:val="en-US"/>
              </w:rPr>
              <w:t>]</w:t>
            </w:r>
          </w:p>
        </w:tc>
        <w:tc>
          <w:tcPr>
            <w:tcW w:w="1183" w:type="dxa"/>
            <w:tcBorders>
              <w:top w:val="single" w:sz="4" w:space="0" w:color="auto"/>
            </w:tcBorders>
            <w:shd w:val="clear" w:color="auto" w:fill="auto"/>
            <w:noWrap/>
            <w:vAlign w:val="bottom"/>
            <w:hideMark/>
          </w:tcPr>
          <w:p w14:paraId="14AE4B51" w14:textId="77777777" w:rsidR="007D4495" w:rsidRPr="00BF576A" w:rsidRDefault="007D4495" w:rsidP="004A48E7">
            <w:pPr>
              <w:jc w:val="right"/>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2015</w:t>
            </w:r>
          </w:p>
        </w:tc>
        <w:tc>
          <w:tcPr>
            <w:tcW w:w="720" w:type="dxa"/>
            <w:tcBorders>
              <w:top w:val="single" w:sz="4" w:space="0" w:color="auto"/>
            </w:tcBorders>
            <w:shd w:val="clear" w:color="auto" w:fill="auto"/>
            <w:noWrap/>
            <w:vAlign w:val="bottom"/>
            <w:hideMark/>
          </w:tcPr>
          <w:p w14:paraId="7D8C0E41"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740" w:type="dxa"/>
            <w:tcBorders>
              <w:top w:val="single" w:sz="4" w:space="0" w:color="auto"/>
            </w:tcBorders>
            <w:shd w:val="clear" w:color="auto" w:fill="auto"/>
            <w:noWrap/>
            <w:vAlign w:val="bottom"/>
            <w:hideMark/>
          </w:tcPr>
          <w:p w14:paraId="010BDDC9"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tcBorders>
              <w:top w:val="single" w:sz="4" w:space="0" w:color="auto"/>
            </w:tcBorders>
            <w:shd w:val="clear" w:color="auto" w:fill="auto"/>
            <w:noWrap/>
            <w:vAlign w:val="bottom"/>
            <w:hideMark/>
          </w:tcPr>
          <w:p w14:paraId="3F481966"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tcBorders>
              <w:top w:val="single" w:sz="4" w:space="0" w:color="auto"/>
            </w:tcBorders>
            <w:shd w:val="clear" w:color="auto" w:fill="auto"/>
            <w:noWrap/>
            <w:vAlign w:val="bottom"/>
            <w:hideMark/>
          </w:tcPr>
          <w:p w14:paraId="4C032C6E"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700" w:type="dxa"/>
            <w:tcBorders>
              <w:top w:val="single" w:sz="4" w:space="0" w:color="auto"/>
            </w:tcBorders>
            <w:shd w:val="clear" w:color="auto" w:fill="auto"/>
            <w:noWrap/>
            <w:vAlign w:val="bottom"/>
            <w:hideMark/>
          </w:tcPr>
          <w:p w14:paraId="30CC5D1E"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tcBorders>
              <w:top w:val="single" w:sz="4" w:space="0" w:color="auto"/>
            </w:tcBorders>
            <w:shd w:val="clear" w:color="auto" w:fill="auto"/>
            <w:noWrap/>
            <w:vAlign w:val="bottom"/>
            <w:hideMark/>
          </w:tcPr>
          <w:p w14:paraId="2B1D039E"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40" w:type="dxa"/>
            <w:tcBorders>
              <w:top w:val="single" w:sz="4" w:space="0" w:color="auto"/>
            </w:tcBorders>
            <w:shd w:val="clear" w:color="auto" w:fill="auto"/>
            <w:noWrap/>
            <w:vAlign w:val="bottom"/>
            <w:hideMark/>
          </w:tcPr>
          <w:p w14:paraId="13209553"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N</w:t>
            </w:r>
          </w:p>
        </w:tc>
        <w:tc>
          <w:tcPr>
            <w:tcW w:w="640" w:type="dxa"/>
            <w:tcBorders>
              <w:top w:val="single" w:sz="4" w:space="0" w:color="auto"/>
            </w:tcBorders>
            <w:shd w:val="clear" w:color="auto" w:fill="auto"/>
            <w:noWrap/>
            <w:vAlign w:val="bottom"/>
            <w:hideMark/>
          </w:tcPr>
          <w:p w14:paraId="640D4B38"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U</w:t>
            </w:r>
          </w:p>
        </w:tc>
        <w:tc>
          <w:tcPr>
            <w:tcW w:w="760" w:type="dxa"/>
            <w:tcBorders>
              <w:top w:val="single" w:sz="4" w:space="0" w:color="auto"/>
            </w:tcBorders>
            <w:shd w:val="clear" w:color="auto" w:fill="auto"/>
            <w:noWrap/>
            <w:vAlign w:val="bottom"/>
            <w:hideMark/>
          </w:tcPr>
          <w:p w14:paraId="6D0B9AC7"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983" w:type="dxa"/>
            <w:tcBorders>
              <w:top w:val="single" w:sz="4" w:space="0" w:color="auto"/>
            </w:tcBorders>
            <w:shd w:val="clear" w:color="auto" w:fill="auto"/>
            <w:noWrap/>
            <w:vAlign w:val="bottom"/>
            <w:hideMark/>
          </w:tcPr>
          <w:p w14:paraId="713DB2A9" w14:textId="77777777" w:rsidR="007D4495" w:rsidRPr="00BF576A" w:rsidRDefault="007D4495" w:rsidP="004A48E7">
            <w:pP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Moderate</w:t>
            </w:r>
          </w:p>
        </w:tc>
      </w:tr>
      <w:tr w:rsidR="007D4495" w:rsidRPr="00BF576A" w14:paraId="20A58E55" w14:textId="77777777" w:rsidTr="004A48E7">
        <w:trPr>
          <w:trHeight w:val="300"/>
        </w:trPr>
        <w:tc>
          <w:tcPr>
            <w:tcW w:w="470" w:type="dxa"/>
            <w:shd w:val="clear" w:color="auto" w:fill="auto"/>
            <w:noWrap/>
            <w:vAlign w:val="bottom"/>
            <w:hideMark/>
          </w:tcPr>
          <w:p w14:paraId="69B3058E" w14:textId="77777777" w:rsidR="007D4495" w:rsidRPr="00BF576A" w:rsidRDefault="007D4495" w:rsidP="004A48E7">
            <w:pPr>
              <w:jc w:val="right"/>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2</w:t>
            </w:r>
          </w:p>
        </w:tc>
        <w:tc>
          <w:tcPr>
            <w:tcW w:w="1600" w:type="dxa"/>
            <w:shd w:val="clear" w:color="auto" w:fill="auto"/>
            <w:noWrap/>
            <w:vAlign w:val="bottom"/>
            <w:hideMark/>
          </w:tcPr>
          <w:p w14:paraId="13E90396" w14:textId="339D6B9A" w:rsidR="007D4495" w:rsidRPr="00BF576A" w:rsidRDefault="007D4495" w:rsidP="004A48E7">
            <w:pP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Hailu</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sidR="00BD6766">
              <w:rPr>
                <w:rFonts w:ascii="Times New Roman" w:hAnsi="Times New Roman" w:cs="Times New Roman"/>
                <w:color w:val="000000"/>
                <w:sz w:val="20"/>
                <w:szCs w:val="20"/>
                <w:lang w:val="en-US"/>
              </w:rPr>
              <w:instrText>ADDIN CSL_CITATION {"citationItems":[{"id":"ITEM-1","itemData":{"DOI":"10.3389/fpubh.2018.00302","abstract":"Background: Unlike in developed countries, the clinical effectiveness of diabetes self-management education (DSME) is not well-studied in the African context. Thus, this study sought to determine effects of DSME on clinical outcomes among type 2 diabetic (T2DM) patients in Ethiopia. Methods: Before-and-after controlled study design was employed, with random assignment of 116 T2DM adult patients to a nurse-led DSME group and 104 to a treatment-as-usual (comparison) group. A nurse-led DSME with six sessions supported with illustrative pictures handbooks and fliers was customized to local conditions and delivered by trained nurses over 9 months. Our primary outcome was a change in the proportion of people with target glycated hemoglobin (HbA1c &lt;= 7%). We used chi-square test and mixed model analysis. Results: Seventy-eight (67%) and 64 (62%) participants assigned to intervention and comparison, respectively completed the study, and included in the final analysis. Mean HbA1c was significantly reduced by 2.88% within the intervention group and by 2.57% within the comparison group. However, change in the proportion of participants with target HbA1c and end-line mean HbA1c difference between the groups were not significant. Adjusted end-line fasting blood sugar (FBS), systolic blood pressure (SBP), and diastolic blood pressure (DBP) were significantly lower in the intervention group, by 27 +/- 9 mg/dL, 12 +/- 3, and 8 +/- 2 mmHg, respectively. Conclusion: After 9 months of nurse-led DSME, HbA1c was significantly reduced within both groups but there was no significant difference in HbA1c between groups. The intervention also showed some clinically significant effects on blood pressure and FBS.","author":[{"dropping-particle":"","family":"Hailu","given":"F B","non-dropping-particle":"","parse-names":false,"suffix":""},{"dropping-particle":"","family":"Hjortdahl","given":"P","non-dropping-particle":"","parse-names":false,"suffix":""},{"dropping-particle":"","family":"Moen","given":"A","non-dropping-particle":"","parse-names":false,"suffix":""}],"container-title":"Frontiers in Public Health","id":"ITEM-1","issued":{"date-parts":[["2018"]]},"note":"Hailu, Fikadu Balcha Hjortdahl, Per Moen, Anne\nHailu, Fikadu Balcha/ABA-5004-2020\nHailu, Fikadu Balcha/0000-0002-1201-7139\n2296-2565","title":"Nurse-Led Diabetes Self-Management Education Improves Clinical Parameters in Ethiopia","type":"article-journal","volume":"6"},"uris":["http://www.mendeley.com/documents/?uuid=a3605450-e760-4bc4-b878-c640b8f7e2b3"]}],"mendeley":{"formattedCitation":"(13)","manualFormatting":"[43","plainTextFormattedCitation":"(13)","previouslyFormattedCitation":"(13)"},"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8046AE">
              <w:rPr>
                <w:rFonts w:ascii="Times New Roman" w:hAnsi="Times New Roman" w:cs="Times New Roman"/>
                <w:noProof/>
                <w:color w:val="000000"/>
                <w:sz w:val="20"/>
                <w:szCs w:val="20"/>
                <w:lang w:val="en-US"/>
              </w:rPr>
              <w:t>4</w:t>
            </w:r>
            <w:r w:rsidR="00BD6766">
              <w:rPr>
                <w:rFonts w:ascii="Times New Roman" w:hAnsi="Times New Roman" w:cs="Times New Roman"/>
                <w:noProof/>
                <w:color w:val="000000"/>
                <w:sz w:val="20"/>
                <w:szCs w:val="20"/>
                <w:lang w:val="en-US"/>
              </w:rPr>
              <w:t>3</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183" w:type="dxa"/>
            <w:shd w:val="clear" w:color="auto" w:fill="auto"/>
            <w:noWrap/>
            <w:vAlign w:val="bottom"/>
            <w:hideMark/>
          </w:tcPr>
          <w:p w14:paraId="6D3B53A7" w14:textId="77777777" w:rsidR="007D4495" w:rsidRPr="00BF576A" w:rsidRDefault="007D4495" w:rsidP="004A48E7">
            <w:pPr>
              <w:jc w:val="right"/>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2018</w:t>
            </w:r>
          </w:p>
        </w:tc>
        <w:tc>
          <w:tcPr>
            <w:tcW w:w="720" w:type="dxa"/>
            <w:shd w:val="clear" w:color="auto" w:fill="auto"/>
            <w:noWrap/>
            <w:vAlign w:val="bottom"/>
            <w:hideMark/>
          </w:tcPr>
          <w:p w14:paraId="1805166C"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740" w:type="dxa"/>
            <w:shd w:val="clear" w:color="auto" w:fill="auto"/>
            <w:noWrap/>
            <w:vAlign w:val="bottom"/>
            <w:hideMark/>
          </w:tcPr>
          <w:p w14:paraId="1639DE51"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shd w:val="clear" w:color="auto" w:fill="auto"/>
            <w:noWrap/>
            <w:vAlign w:val="bottom"/>
            <w:hideMark/>
          </w:tcPr>
          <w:p w14:paraId="45127BED"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shd w:val="clear" w:color="auto" w:fill="auto"/>
            <w:noWrap/>
            <w:vAlign w:val="bottom"/>
            <w:hideMark/>
          </w:tcPr>
          <w:p w14:paraId="71291D45"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700" w:type="dxa"/>
            <w:shd w:val="clear" w:color="auto" w:fill="auto"/>
            <w:noWrap/>
            <w:vAlign w:val="bottom"/>
            <w:hideMark/>
          </w:tcPr>
          <w:p w14:paraId="5154C8AA"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shd w:val="clear" w:color="auto" w:fill="auto"/>
            <w:noWrap/>
            <w:vAlign w:val="bottom"/>
            <w:hideMark/>
          </w:tcPr>
          <w:p w14:paraId="3CA3117A"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40" w:type="dxa"/>
            <w:shd w:val="clear" w:color="auto" w:fill="auto"/>
            <w:noWrap/>
            <w:vAlign w:val="bottom"/>
            <w:hideMark/>
          </w:tcPr>
          <w:p w14:paraId="56E2487D"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40" w:type="dxa"/>
            <w:shd w:val="clear" w:color="auto" w:fill="auto"/>
            <w:noWrap/>
            <w:vAlign w:val="bottom"/>
            <w:hideMark/>
          </w:tcPr>
          <w:p w14:paraId="4203D514"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760" w:type="dxa"/>
            <w:shd w:val="clear" w:color="auto" w:fill="auto"/>
            <w:noWrap/>
            <w:vAlign w:val="bottom"/>
            <w:hideMark/>
          </w:tcPr>
          <w:p w14:paraId="281228CC"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983" w:type="dxa"/>
            <w:shd w:val="clear" w:color="auto" w:fill="auto"/>
            <w:noWrap/>
            <w:vAlign w:val="bottom"/>
            <w:hideMark/>
          </w:tcPr>
          <w:p w14:paraId="5BB3ED5A" w14:textId="77777777" w:rsidR="007D4495" w:rsidRPr="00BF576A" w:rsidRDefault="007D4495" w:rsidP="004A48E7">
            <w:pP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Good</w:t>
            </w:r>
          </w:p>
        </w:tc>
      </w:tr>
      <w:tr w:rsidR="007D4495" w:rsidRPr="00BF576A" w14:paraId="54AEE190" w14:textId="77777777" w:rsidTr="004A48E7">
        <w:trPr>
          <w:trHeight w:val="300"/>
        </w:trPr>
        <w:tc>
          <w:tcPr>
            <w:tcW w:w="470" w:type="dxa"/>
            <w:shd w:val="clear" w:color="auto" w:fill="auto"/>
            <w:noWrap/>
            <w:vAlign w:val="bottom"/>
            <w:hideMark/>
          </w:tcPr>
          <w:p w14:paraId="0A52174B" w14:textId="77777777" w:rsidR="007D4495" w:rsidRPr="00BF576A" w:rsidRDefault="007D4495" w:rsidP="004A48E7">
            <w:pPr>
              <w:jc w:val="right"/>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3</w:t>
            </w:r>
          </w:p>
        </w:tc>
        <w:tc>
          <w:tcPr>
            <w:tcW w:w="1600" w:type="dxa"/>
            <w:shd w:val="clear" w:color="auto" w:fill="auto"/>
            <w:noWrap/>
            <w:vAlign w:val="bottom"/>
            <w:hideMark/>
          </w:tcPr>
          <w:p w14:paraId="0A544582" w14:textId="7458F834" w:rsidR="007D4495" w:rsidRPr="00BF576A" w:rsidRDefault="007D4495" w:rsidP="004A48E7">
            <w:pP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Mash</w:t>
            </w:r>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sidR="00BD6766">
              <w:rPr>
                <w:rFonts w:ascii="Times New Roman" w:hAnsi="Times New Roman" w:cs="Times New Roman"/>
                <w:color w:val="000000"/>
                <w:sz w:val="20"/>
                <w:szCs w:val="20"/>
                <w:lang w:val="en-US"/>
              </w:rPr>
              <w:instrText>ADDIN CSL_CITATION {"citationItems":[{"id":"ITEM-1","itemData":{"DOI":"10.7196/SAMJ.2017.V106I12.10728","ISSN":"2078-5135","abstract":"Background. Diabetes mellitus contributes significantly to the burden of disease in South Africa (SA). Monitoring of glycaemic control with glycosylated haemoglobin (HbA1c) is recommended, even though current laboratory-based testing does not support immediate clinical decision-making.  Objectives. To evaluate the costs and consequences for quality of care by introducing point-of-care (POC) testing for HbA1c for patients with type 2 diabetes at community health centres in Cape Town, SA.  Methods. A quasi-experimental study was conducted at two control and two intervention sites in the same sub-district. The DCA Vantage Analyzer (Siemens, Germany) for POC testing was introduced at the intervention sites for 12 months. Patients were randomly selected from the diabetes register at the intervention (n=300) and control (n=300) sites, respectively, and data were collected from patient records at baseline and 12 months. Focus group interviews were performed at the intervention sites. Technical quality and cost implications were evaluated. Results. POC testing was feasible, easy to integrate into the organisation of care, resulted in more immediate feedback to patients (p&amp;lt;0.001) and patients appeared more satisfied. POC testing did not improve test coverage, treatment intensification, counselling or glycaemic control. There was an incremental cost of ZAR2 110 per 100 tests. Compliance with quality control was poor, although control tests showed good reliability.  Conclusion. This study does not support the introduction of POC testing for HbA1c in public sector primary care practice in the current context. POC testing should be evaluated further in combination with interventions to overcome clinical inertia and strengthen primary healthcare.","author":[{"dropping-particle":"","family":"Mash","given":"R","non-dropping-particle":"","parse-names":false,"suffix":""},{"dropping-particle":"","family":"Ugoagwu","given":"A","non-dropping-particle":"","parse-names":false,"suffix":""},{"dropping-particle":"","family":"Vos","given":"C","non-dropping-particle":"","parse-names":false,"suffix":""},{"dropping-particle":"","family":"Rensburg","given":"M","non-dropping-particle":"","parse-names":false,"suffix":""},{"dropping-particle":"","family":"Erasmus","given":"R","non-dropping-particle":"","parse-names":false,"suffix":""}],"container-title":"South African Medical Journal","id":"ITEM-1","issue":"12","issued":{"date-parts":[["2016","12","1"]]},"page":"1236-1240","title":"Evaluating point-of-care testing for glycosylated haemoglobin in public sector primary care facilities in the Western Cape, South Africa","type":"article-journal","volume":"106"},"uris":["http://www.mendeley.com/documents/?uuid=c05033f8-4814-3585-810b-7765b016b305"]}],"mendeley":{"formattedCitation":"(14)","manualFormatting":"[54","plainTextFormattedCitation":"(14)","previouslyFormattedCitation":"(14)"},"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C25376">
              <w:rPr>
                <w:rFonts w:ascii="Times New Roman" w:hAnsi="Times New Roman" w:cs="Times New Roman"/>
                <w:noProof/>
                <w:color w:val="000000"/>
                <w:sz w:val="20"/>
                <w:szCs w:val="20"/>
                <w:lang w:val="en-US"/>
              </w:rPr>
              <w:t>5</w:t>
            </w:r>
            <w:r w:rsidR="00BD6766">
              <w:rPr>
                <w:rFonts w:ascii="Times New Roman" w:hAnsi="Times New Roman" w:cs="Times New Roman"/>
                <w:noProof/>
                <w:color w:val="000000"/>
                <w:sz w:val="20"/>
                <w:szCs w:val="20"/>
                <w:lang w:val="en-US"/>
              </w:rPr>
              <w:t>4</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w:t>
            </w:r>
          </w:p>
        </w:tc>
        <w:tc>
          <w:tcPr>
            <w:tcW w:w="1183" w:type="dxa"/>
            <w:shd w:val="clear" w:color="auto" w:fill="auto"/>
            <w:noWrap/>
            <w:vAlign w:val="bottom"/>
            <w:hideMark/>
          </w:tcPr>
          <w:p w14:paraId="5DFB349D" w14:textId="77777777" w:rsidR="007D4495" w:rsidRPr="00BF576A" w:rsidRDefault="007D4495" w:rsidP="004A48E7">
            <w:pPr>
              <w:jc w:val="right"/>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2016</w:t>
            </w:r>
          </w:p>
        </w:tc>
        <w:tc>
          <w:tcPr>
            <w:tcW w:w="720" w:type="dxa"/>
            <w:shd w:val="clear" w:color="auto" w:fill="auto"/>
            <w:noWrap/>
            <w:vAlign w:val="bottom"/>
            <w:hideMark/>
          </w:tcPr>
          <w:p w14:paraId="091E4135"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740" w:type="dxa"/>
            <w:shd w:val="clear" w:color="auto" w:fill="auto"/>
            <w:noWrap/>
            <w:vAlign w:val="bottom"/>
            <w:hideMark/>
          </w:tcPr>
          <w:p w14:paraId="68B83D62"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shd w:val="clear" w:color="auto" w:fill="auto"/>
            <w:noWrap/>
            <w:vAlign w:val="bottom"/>
            <w:hideMark/>
          </w:tcPr>
          <w:p w14:paraId="7F17BC1A"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shd w:val="clear" w:color="auto" w:fill="auto"/>
            <w:noWrap/>
            <w:vAlign w:val="bottom"/>
            <w:hideMark/>
          </w:tcPr>
          <w:p w14:paraId="4C983A0A"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700" w:type="dxa"/>
            <w:shd w:val="clear" w:color="auto" w:fill="auto"/>
            <w:noWrap/>
            <w:vAlign w:val="bottom"/>
            <w:hideMark/>
          </w:tcPr>
          <w:p w14:paraId="06F77092"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shd w:val="clear" w:color="auto" w:fill="auto"/>
            <w:noWrap/>
            <w:vAlign w:val="bottom"/>
            <w:hideMark/>
          </w:tcPr>
          <w:p w14:paraId="5DA649D5"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40" w:type="dxa"/>
            <w:shd w:val="clear" w:color="auto" w:fill="auto"/>
            <w:noWrap/>
            <w:vAlign w:val="bottom"/>
            <w:hideMark/>
          </w:tcPr>
          <w:p w14:paraId="4F6B6471"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40" w:type="dxa"/>
            <w:shd w:val="clear" w:color="auto" w:fill="auto"/>
            <w:noWrap/>
            <w:vAlign w:val="bottom"/>
            <w:hideMark/>
          </w:tcPr>
          <w:p w14:paraId="65F92AC0"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760" w:type="dxa"/>
            <w:shd w:val="clear" w:color="auto" w:fill="auto"/>
            <w:noWrap/>
            <w:vAlign w:val="bottom"/>
            <w:hideMark/>
          </w:tcPr>
          <w:p w14:paraId="22E9F094"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983" w:type="dxa"/>
            <w:shd w:val="clear" w:color="auto" w:fill="auto"/>
            <w:noWrap/>
            <w:vAlign w:val="bottom"/>
            <w:hideMark/>
          </w:tcPr>
          <w:p w14:paraId="03BF15AB" w14:textId="77777777" w:rsidR="007D4495" w:rsidRPr="00BF576A" w:rsidRDefault="007D4495" w:rsidP="004A48E7">
            <w:pP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Good</w:t>
            </w:r>
          </w:p>
        </w:tc>
      </w:tr>
      <w:tr w:rsidR="007D4495" w:rsidRPr="00BF576A" w14:paraId="1806D69E" w14:textId="77777777" w:rsidTr="004A48E7">
        <w:trPr>
          <w:trHeight w:val="300"/>
        </w:trPr>
        <w:tc>
          <w:tcPr>
            <w:tcW w:w="470" w:type="dxa"/>
            <w:shd w:val="clear" w:color="auto" w:fill="auto"/>
            <w:noWrap/>
            <w:vAlign w:val="bottom"/>
            <w:hideMark/>
          </w:tcPr>
          <w:p w14:paraId="5410441A" w14:textId="77777777" w:rsidR="007D4495" w:rsidRPr="00BF576A" w:rsidRDefault="007D4495" w:rsidP="004A48E7">
            <w:pPr>
              <w:jc w:val="right"/>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4</w:t>
            </w:r>
          </w:p>
        </w:tc>
        <w:tc>
          <w:tcPr>
            <w:tcW w:w="1600" w:type="dxa"/>
            <w:shd w:val="clear" w:color="auto" w:fill="auto"/>
            <w:noWrap/>
            <w:vAlign w:val="bottom"/>
            <w:hideMark/>
          </w:tcPr>
          <w:p w14:paraId="0F117DC7" w14:textId="0B7F4FEC" w:rsidR="007D4495" w:rsidRPr="00BF576A" w:rsidRDefault="007D4495" w:rsidP="004A48E7">
            <w:pPr>
              <w:rPr>
                <w:rFonts w:ascii="Times New Roman" w:hAnsi="Times New Roman" w:cs="Times New Roman"/>
                <w:color w:val="000000"/>
                <w:sz w:val="20"/>
                <w:szCs w:val="20"/>
                <w:lang w:val="en-US"/>
              </w:rPr>
            </w:pPr>
            <w:proofErr w:type="spellStart"/>
            <w:r w:rsidRPr="00BF576A">
              <w:rPr>
                <w:rFonts w:ascii="Times New Roman" w:hAnsi="Times New Roman" w:cs="Times New Roman"/>
                <w:color w:val="000000"/>
                <w:sz w:val="20"/>
                <w:szCs w:val="20"/>
                <w:lang w:val="en-US"/>
              </w:rPr>
              <w:t>Rambiritch</w:t>
            </w:r>
            <w:proofErr w:type="spellEnd"/>
            <w:r>
              <w:rPr>
                <w:rFonts w:ascii="Times New Roman" w:hAnsi="Times New Roman" w:cs="Times New Roman"/>
                <w:color w:val="000000"/>
                <w:sz w:val="20"/>
                <w:szCs w:val="20"/>
                <w:lang w:val="en-US"/>
              </w:rPr>
              <w:t xml:space="preserve"> </w:t>
            </w:r>
            <w:r>
              <w:rPr>
                <w:rFonts w:ascii="Times New Roman" w:hAnsi="Times New Roman" w:cs="Times New Roman"/>
                <w:color w:val="000000"/>
                <w:sz w:val="20"/>
                <w:szCs w:val="20"/>
                <w:lang w:val="en-US"/>
              </w:rPr>
              <w:fldChar w:fldCharType="begin" w:fldLock="1"/>
            </w:r>
            <w:r w:rsidR="00BD6766">
              <w:rPr>
                <w:rFonts w:ascii="Times New Roman" w:hAnsi="Times New Roman" w:cs="Times New Roman"/>
                <w:color w:val="000000"/>
                <w:sz w:val="20"/>
                <w:szCs w:val="20"/>
                <w:lang w:val="en-US"/>
              </w:rPr>
              <w:instrText>ADDIN CSL_CITATION {"citationItems":[{"id":"ITEM-1","itemData":{"DOI":"10.2147/CPAA.S54809","ISSN":"1179-1438","abstract":"Background: The purpose of this study was to investigate the effect of glibenclamide dose escalation on blood glucose and insulin in patients with poorly controlled type 2 diabetes. Methods: Twenty-two subjects with type 2 diabetes were administered increasing doses (0, 2.5, 5, 10, and 20 mg/day) of glibenclamide at 2-week intervals. Glibenclamide, glucose, and insulin determinations were performed. Results: The decrease in mean blood glucose from zero dose was 20%, 22%, 26%, and 28% for doses of 2.5, 5, 10, and 20 mg/day, respectively, which was significant from zero dose to 2.5 mg/day (P≤0.001). There were no significant decreases in glucose concentration beyond 2.5 mg/day. The percentage increase in mean insulin from zero dose was 51%, 58%, 44%, and 33% for 2.5, 5, 10, and 20 mg/day respectively. Mean blood insulin increased significantly from zero dose to 2.5 mg/day (P≤0.001). There were no significant increases in mean insulin concentration beyond 2.5 mg/day. Conclusion: The results of this study suggest that increasing doses of glibenclamide do not produce a proportional increase in insulin secretion or a proportional decrease in blood glucose concentration. © 2014 Rambiritch et al.","author":[{"dropping-particle":"","family":"Naidoo","given":"Poobalan","non-dropping-particle":"","parse-names":false,"suffix":""},{"dropping-particle":"","family":"Rambiritch","given":"Virendra","non-dropping-particle":"","parse-names":false,"suffix":""},{"dropping-particle":"","family":"Maharaj","given":"Brumy","non-dropping-particle":"","parse-names":false,"suffix":""}],"container-title":"Clinical Pharmacology: Advances and Applications","id":"ITEM-1","issue":"1","issued":{"date-parts":[["2014","4","4"]]},"page":"63","publisher":"Dove Medical Press","title":"Glibenclamide in patients with poorly controlled type 2 diabetes: a 12-week, prospective, single-center, open-label, dose-escalation study","type":"article-journal","volume":"6"},"uris":["http://www.mendeley.com/documents/?uuid=91e2fd69-47e5-34f9-8174-2bfc549bf175"]}],"mendeley":{"formattedCitation":"(15)","manualFormatting":"[71","plainTextFormattedCitation":"(15)","previouslyFormattedCitation":"(15)"},"properties":{"noteIndex":0},"schema":"https://github.com/citation-style-language/schema/raw/master/csl-citation.json"}</w:instrText>
            </w:r>
            <w:r>
              <w:rPr>
                <w:rFonts w:ascii="Times New Roman" w:hAnsi="Times New Roman" w:cs="Times New Roman"/>
                <w:color w:val="000000"/>
                <w:sz w:val="20"/>
                <w:szCs w:val="20"/>
                <w:lang w:val="en-US"/>
              </w:rPr>
              <w:fldChar w:fldCharType="separate"/>
            </w:r>
            <w:r>
              <w:rPr>
                <w:rFonts w:ascii="Times New Roman" w:hAnsi="Times New Roman" w:cs="Times New Roman"/>
                <w:noProof/>
                <w:color w:val="000000"/>
                <w:sz w:val="20"/>
                <w:szCs w:val="20"/>
                <w:lang w:val="en-US"/>
              </w:rPr>
              <w:t>[</w:t>
            </w:r>
            <w:r w:rsidRPr="00E504F0">
              <w:rPr>
                <w:rFonts w:ascii="Times New Roman" w:hAnsi="Times New Roman" w:cs="Times New Roman"/>
                <w:noProof/>
                <w:color w:val="000000"/>
                <w:sz w:val="20"/>
                <w:szCs w:val="20"/>
                <w:lang w:val="en-US"/>
              </w:rPr>
              <w:t>7</w:t>
            </w:r>
            <w:r w:rsidR="00BD6766">
              <w:rPr>
                <w:rFonts w:ascii="Times New Roman" w:hAnsi="Times New Roman" w:cs="Times New Roman"/>
                <w:noProof/>
                <w:color w:val="000000"/>
                <w:sz w:val="20"/>
                <w:szCs w:val="20"/>
                <w:lang w:val="en-US"/>
              </w:rPr>
              <w:t>1</w:t>
            </w:r>
            <w:r>
              <w:rPr>
                <w:rFonts w:ascii="Times New Roman" w:hAnsi="Times New Roman" w:cs="Times New Roman"/>
                <w:color w:val="000000"/>
                <w:sz w:val="20"/>
                <w:szCs w:val="20"/>
                <w:lang w:val="en-US"/>
              </w:rPr>
              <w:fldChar w:fldCharType="end"/>
            </w:r>
            <w:r>
              <w:rPr>
                <w:rFonts w:ascii="Times New Roman" w:hAnsi="Times New Roman" w:cs="Times New Roman"/>
                <w:color w:val="000000"/>
                <w:sz w:val="20"/>
                <w:szCs w:val="20"/>
                <w:lang w:val="en-US"/>
              </w:rPr>
              <w:t xml:space="preserve">] </w:t>
            </w:r>
          </w:p>
        </w:tc>
        <w:tc>
          <w:tcPr>
            <w:tcW w:w="1183" w:type="dxa"/>
            <w:shd w:val="clear" w:color="auto" w:fill="auto"/>
            <w:noWrap/>
            <w:vAlign w:val="bottom"/>
            <w:hideMark/>
          </w:tcPr>
          <w:p w14:paraId="2D12F716" w14:textId="77777777" w:rsidR="007D4495" w:rsidRPr="00BF576A" w:rsidRDefault="007D4495" w:rsidP="004A48E7">
            <w:pPr>
              <w:jc w:val="right"/>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2014</w:t>
            </w:r>
          </w:p>
        </w:tc>
        <w:tc>
          <w:tcPr>
            <w:tcW w:w="720" w:type="dxa"/>
            <w:shd w:val="clear" w:color="auto" w:fill="auto"/>
            <w:noWrap/>
            <w:vAlign w:val="bottom"/>
            <w:hideMark/>
          </w:tcPr>
          <w:p w14:paraId="4B9DDEE2"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740" w:type="dxa"/>
            <w:shd w:val="clear" w:color="auto" w:fill="auto"/>
            <w:noWrap/>
            <w:vAlign w:val="bottom"/>
            <w:hideMark/>
          </w:tcPr>
          <w:p w14:paraId="027C606B"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shd w:val="clear" w:color="auto" w:fill="auto"/>
            <w:noWrap/>
            <w:vAlign w:val="bottom"/>
            <w:hideMark/>
          </w:tcPr>
          <w:p w14:paraId="788B93F4"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shd w:val="clear" w:color="auto" w:fill="auto"/>
            <w:noWrap/>
            <w:vAlign w:val="bottom"/>
            <w:hideMark/>
          </w:tcPr>
          <w:p w14:paraId="1DB7E27E"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N</w:t>
            </w:r>
          </w:p>
        </w:tc>
        <w:tc>
          <w:tcPr>
            <w:tcW w:w="700" w:type="dxa"/>
            <w:shd w:val="clear" w:color="auto" w:fill="auto"/>
            <w:noWrap/>
            <w:vAlign w:val="bottom"/>
            <w:hideMark/>
          </w:tcPr>
          <w:p w14:paraId="3278C714"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80" w:type="dxa"/>
            <w:shd w:val="clear" w:color="auto" w:fill="auto"/>
            <w:noWrap/>
            <w:vAlign w:val="bottom"/>
            <w:hideMark/>
          </w:tcPr>
          <w:p w14:paraId="5E7A12CB"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40" w:type="dxa"/>
            <w:shd w:val="clear" w:color="auto" w:fill="auto"/>
            <w:noWrap/>
            <w:vAlign w:val="bottom"/>
            <w:hideMark/>
          </w:tcPr>
          <w:p w14:paraId="0C2FEF5C"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640" w:type="dxa"/>
            <w:shd w:val="clear" w:color="auto" w:fill="auto"/>
            <w:noWrap/>
            <w:vAlign w:val="bottom"/>
            <w:hideMark/>
          </w:tcPr>
          <w:p w14:paraId="25FE4855"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N</w:t>
            </w:r>
          </w:p>
        </w:tc>
        <w:tc>
          <w:tcPr>
            <w:tcW w:w="760" w:type="dxa"/>
            <w:shd w:val="clear" w:color="auto" w:fill="auto"/>
            <w:noWrap/>
            <w:vAlign w:val="bottom"/>
            <w:hideMark/>
          </w:tcPr>
          <w:p w14:paraId="2729A94A"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Y</w:t>
            </w:r>
          </w:p>
        </w:tc>
        <w:tc>
          <w:tcPr>
            <w:tcW w:w="983" w:type="dxa"/>
            <w:shd w:val="clear" w:color="auto" w:fill="auto"/>
            <w:noWrap/>
            <w:vAlign w:val="bottom"/>
            <w:hideMark/>
          </w:tcPr>
          <w:p w14:paraId="04504F82" w14:textId="77777777" w:rsidR="007D4495" w:rsidRPr="00BF576A" w:rsidRDefault="007D4495" w:rsidP="004A48E7">
            <w:pP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Moderate</w:t>
            </w:r>
          </w:p>
        </w:tc>
      </w:tr>
      <w:tr w:rsidR="007D4495" w:rsidRPr="00BF576A" w14:paraId="08A7192F" w14:textId="77777777" w:rsidTr="004A48E7">
        <w:trPr>
          <w:trHeight w:val="300"/>
        </w:trPr>
        <w:tc>
          <w:tcPr>
            <w:tcW w:w="3253" w:type="dxa"/>
            <w:gridSpan w:val="3"/>
            <w:tcBorders>
              <w:bottom w:val="single" w:sz="4" w:space="0" w:color="auto"/>
            </w:tcBorders>
            <w:shd w:val="clear" w:color="auto" w:fill="auto"/>
            <w:noWrap/>
            <w:vAlign w:val="bottom"/>
            <w:hideMark/>
          </w:tcPr>
          <w:p w14:paraId="59641B34"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All (%)</w:t>
            </w:r>
          </w:p>
        </w:tc>
        <w:tc>
          <w:tcPr>
            <w:tcW w:w="720" w:type="dxa"/>
            <w:tcBorders>
              <w:bottom w:val="single" w:sz="4" w:space="0" w:color="auto"/>
            </w:tcBorders>
            <w:shd w:val="clear" w:color="auto" w:fill="auto"/>
            <w:noWrap/>
            <w:vAlign w:val="bottom"/>
            <w:hideMark/>
          </w:tcPr>
          <w:p w14:paraId="70746F62"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100</w:t>
            </w:r>
          </w:p>
        </w:tc>
        <w:tc>
          <w:tcPr>
            <w:tcW w:w="740" w:type="dxa"/>
            <w:tcBorders>
              <w:bottom w:val="single" w:sz="4" w:space="0" w:color="auto"/>
            </w:tcBorders>
            <w:shd w:val="clear" w:color="auto" w:fill="auto"/>
            <w:noWrap/>
            <w:vAlign w:val="bottom"/>
            <w:hideMark/>
          </w:tcPr>
          <w:p w14:paraId="3DE1E61B"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100</w:t>
            </w:r>
          </w:p>
        </w:tc>
        <w:tc>
          <w:tcPr>
            <w:tcW w:w="680" w:type="dxa"/>
            <w:tcBorders>
              <w:bottom w:val="single" w:sz="4" w:space="0" w:color="auto"/>
            </w:tcBorders>
            <w:shd w:val="clear" w:color="auto" w:fill="auto"/>
            <w:noWrap/>
            <w:vAlign w:val="bottom"/>
            <w:hideMark/>
          </w:tcPr>
          <w:p w14:paraId="1E457C0B"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100</w:t>
            </w:r>
          </w:p>
        </w:tc>
        <w:tc>
          <w:tcPr>
            <w:tcW w:w="680" w:type="dxa"/>
            <w:tcBorders>
              <w:bottom w:val="single" w:sz="4" w:space="0" w:color="auto"/>
            </w:tcBorders>
            <w:shd w:val="clear" w:color="auto" w:fill="auto"/>
            <w:noWrap/>
            <w:vAlign w:val="bottom"/>
            <w:hideMark/>
          </w:tcPr>
          <w:p w14:paraId="6AB46A7D"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75</w:t>
            </w:r>
          </w:p>
        </w:tc>
        <w:tc>
          <w:tcPr>
            <w:tcW w:w="700" w:type="dxa"/>
            <w:tcBorders>
              <w:bottom w:val="single" w:sz="4" w:space="0" w:color="auto"/>
            </w:tcBorders>
            <w:shd w:val="clear" w:color="auto" w:fill="auto"/>
            <w:noWrap/>
            <w:vAlign w:val="bottom"/>
            <w:hideMark/>
          </w:tcPr>
          <w:p w14:paraId="26663BF7"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100</w:t>
            </w:r>
          </w:p>
        </w:tc>
        <w:tc>
          <w:tcPr>
            <w:tcW w:w="680" w:type="dxa"/>
            <w:tcBorders>
              <w:bottom w:val="single" w:sz="4" w:space="0" w:color="auto"/>
            </w:tcBorders>
            <w:shd w:val="clear" w:color="auto" w:fill="auto"/>
            <w:noWrap/>
            <w:vAlign w:val="bottom"/>
            <w:hideMark/>
          </w:tcPr>
          <w:p w14:paraId="3B17448E"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100</w:t>
            </w:r>
          </w:p>
        </w:tc>
        <w:tc>
          <w:tcPr>
            <w:tcW w:w="640" w:type="dxa"/>
            <w:tcBorders>
              <w:bottom w:val="single" w:sz="4" w:space="0" w:color="auto"/>
            </w:tcBorders>
            <w:shd w:val="clear" w:color="auto" w:fill="auto"/>
            <w:noWrap/>
            <w:vAlign w:val="bottom"/>
            <w:hideMark/>
          </w:tcPr>
          <w:p w14:paraId="06ADBC8D"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75</w:t>
            </w:r>
          </w:p>
        </w:tc>
        <w:tc>
          <w:tcPr>
            <w:tcW w:w="640" w:type="dxa"/>
            <w:tcBorders>
              <w:bottom w:val="single" w:sz="4" w:space="0" w:color="auto"/>
            </w:tcBorders>
            <w:shd w:val="clear" w:color="auto" w:fill="auto"/>
            <w:noWrap/>
            <w:vAlign w:val="bottom"/>
            <w:hideMark/>
          </w:tcPr>
          <w:p w14:paraId="52273334"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50</w:t>
            </w:r>
          </w:p>
        </w:tc>
        <w:tc>
          <w:tcPr>
            <w:tcW w:w="760" w:type="dxa"/>
            <w:tcBorders>
              <w:bottom w:val="single" w:sz="4" w:space="0" w:color="auto"/>
            </w:tcBorders>
            <w:shd w:val="clear" w:color="auto" w:fill="auto"/>
            <w:noWrap/>
            <w:vAlign w:val="bottom"/>
            <w:hideMark/>
          </w:tcPr>
          <w:p w14:paraId="44E444C1" w14:textId="77777777" w:rsidR="007D4495" w:rsidRPr="00BF576A" w:rsidRDefault="007D4495" w:rsidP="004A48E7">
            <w:pPr>
              <w:jc w:val="cente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100</w:t>
            </w:r>
          </w:p>
        </w:tc>
        <w:tc>
          <w:tcPr>
            <w:tcW w:w="983" w:type="dxa"/>
            <w:tcBorders>
              <w:bottom w:val="single" w:sz="4" w:space="0" w:color="auto"/>
            </w:tcBorders>
            <w:shd w:val="clear" w:color="auto" w:fill="auto"/>
            <w:noWrap/>
            <w:vAlign w:val="bottom"/>
            <w:hideMark/>
          </w:tcPr>
          <w:p w14:paraId="042E8B6A" w14:textId="77777777" w:rsidR="007D4495" w:rsidRPr="00BF576A" w:rsidRDefault="007D4495" w:rsidP="004A48E7">
            <w:pPr>
              <w:rPr>
                <w:rFonts w:ascii="Times New Roman" w:hAnsi="Times New Roman" w:cs="Times New Roman"/>
                <w:color w:val="000000"/>
                <w:sz w:val="20"/>
                <w:szCs w:val="20"/>
                <w:lang w:val="en-US"/>
              </w:rPr>
            </w:pPr>
            <w:r w:rsidRPr="00BF576A">
              <w:rPr>
                <w:rFonts w:ascii="Times New Roman" w:hAnsi="Times New Roman" w:cs="Times New Roman"/>
                <w:color w:val="000000"/>
                <w:sz w:val="20"/>
                <w:szCs w:val="20"/>
                <w:lang w:val="en-US"/>
              </w:rPr>
              <w:t> </w:t>
            </w:r>
          </w:p>
        </w:tc>
      </w:tr>
    </w:tbl>
    <w:p w14:paraId="0D7DD1FB" w14:textId="4AEDF22E" w:rsidR="007D4495" w:rsidRDefault="007D4495" w:rsidP="002F236C">
      <w:pPr>
        <w:spacing w:after="0" w:line="240" w:lineRule="auto"/>
        <w:jc w:val="both"/>
        <w:rPr>
          <w:rFonts w:ascii="Times New Roman" w:hAnsi="Times New Roman" w:cs="Times New Roman"/>
          <w:sz w:val="20"/>
          <w:szCs w:val="20"/>
        </w:rPr>
      </w:pPr>
      <w:r w:rsidRPr="00BF576A">
        <w:rPr>
          <w:rFonts w:ascii="Times New Roman" w:hAnsi="Times New Roman" w:cs="Times New Roman"/>
          <w:sz w:val="20"/>
          <w:szCs w:val="20"/>
        </w:rPr>
        <w:t xml:space="preserve">Legend: Q1. Is it clear in the study what is the </w:t>
      </w:r>
      <w:proofErr w:type="spellStart"/>
      <w:r w:rsidRPr="00BF576A">
        <w:rPr>
          <w:rFonts w:ascii="Times New Roman" w:hAnsi="Times New Roman" w:cs="Times New Roman"/>
          <w:sz w:val="20"/>
          <w:szCs w:val="20"/>
        </w:rPr>
        <w:t>‘cause</w:t>
      </w:r>
      <w:proofErr w:type="spellEnd"/>
      <w:r w:rsidRPr="00BF576A">
        <w:rPr>
          <w:rFonts w:ascii="Times New Roman" w:hAnsi="Times New Roman" w:cs="Times New Roman"/>
          <w:sz w:val="20"/>
          <w:szCs w:val="20"/>
        </w:rPr>
        <w:t>’ and what is the ‘effect’ (</w:t>
      </w:r>
      <w:proofErr w:type="gramStart"/>
      <w:r w:rsidRPr="00BF576A">
        <w:rPr>
          <w:rFonts w:ascii="Times New Roman" w:hAnsi="Times New Roman" w:cs="Times New Roman"/>
          <w:sz w:val="20"/>
          <w:szCs w:val="20"/>
        </w:rPr>
        <w:t>i.e.</w:t>
      </w:r>
      <w:proofErr w:type="gramEnd"/>
      <w:r w:rsidRPr="00BF576A">
        <w:rPr>
          <w:rFonts w:ascii="Times New Roman" w:hAnsi="Times New Roman" w:cs="Times New Roman"/>
          <w:sz w:val="20"/>
          <w:szCs w:val="20"/>
        </w:rPr>
        <w:t xml:space="preserve"> there is no confusion about which variable comes first)? Q2. 2. Were the participants included in any comparisons similar? Q3. Were the participants included in any comparisons receiving similar treatment/care, other than the exposure or intervention of interest? Q4. Was there a control group? Q5. Were there multiple measurements of the outcome both </w:t>
      </w:r>
      <w:r w:rsidR="007F40D1" w:rsidRPr="00BF576A">
        <w:rPr>
          <w:rFonts w:ascii="Times New Roman" w:hAnsi="Times New Roman" w:cs="Times New Roman"/>
          <w:sz w:val="20"/>
          <w:szCs w:val="20"/>
        </w:rPr>
        <w:t>pre-</w:t>
      </w:r>
      <w:r w:rsidRPr="00BF576A">
        <w:rPr>
          <w:rFonts w:ascii="Times New Roman" w:hAnsi="Times New Roman" w:cs="Times New Roman"/>
          <w:sz w:val="20"/>
          <w:szCs w:val="20"/>
        </w:rPr>
        <w:t xml:space="preserve"> and </w:t>
      </w:r>
      <w:r w:rsidR="007F40D1">
        <w:rPr>
          <w:rFonts w:ascii="Times New Roman" w:hAnsi="Times New Roman" w:cs="Times New Roman"/>
          <w:sz w:val="20"/>
          <w:szCs w:val="20"/>
        </w:rPr>
        <w:t>post-intervention</w:t>
      </w:r>
      <w:r w:rsidRPr="00BF576A">
        <w:rPr>
          <w:rFonts w:ascii="Times New Roman" w:hAnsi="Times New Roman" w:cs="Times New Roman"/>
          <w:sz w:val="20"/>
          <w:szCs w:val="20"/>
        </w:rPr>
        <w:t xml:space="preserve">/exposure? Q6. Was </w:t>
      </w:r>
      <w:r w:rsidR="007F40D1">
        <w:rPr>
          <w:rFonts w:ascii="Times New Roman" w:hAnsi="Times New Roman" w:cs="Times New Roman"/>
          <w:sz w:val="20"/>
          <w:szCs w:val="20"/>
        </w:rPr>
        <w:t>follow-up</w:t>
      </w:r>
      <w:r w:rsidRPr="00BF576A">
        <w:rPr>
          <w:rFonts w:ascii="Times New Roman" w:hAnsi="Times New Roman" w:cs="Times New Roman"/>
          <w:sz w:val="20"/>
          <w:szCs w:val="20"/>
        </w:rPr>
        <w:t xml:space="preserve"> complete and if not, were differences between groups in terms of their </w:t>
      </w:r>
      <w:r w:rsidR="007F40D1">
        <w:rPr>
          <w:rFonts w:ascii="Times New Roman" w:hAnsi="Times New Roman" w:cs="Times New Roman"/>
          <w:sz w:val="20"/>
          <w:szCs w:val="20"/>
        </w:rPr>
        <w:t>follow-up</w:t>
      </w:r>
      <w:r w:rsidRPr="00BF576A">
        <w:rPr>
          <w:rFonts w:ascii="Times New Roman" w:hAnsi="Times New Roman" w:cs="Times New Roman"/>
          <w:sz w:val="20"/>
          <w:szCs w:val="20"/>
        </w:rPr>
        <w:t xml:space="preserve"> adequately described and analysed? Q7. Were the outcomes of participants included in any comparisons measured in the same way?  Q8. Were outcomes measured in a reliable way? Q9. Was appropriate statistical analysis used? Y: Yes, N: No, U: Unknown.</w:t>
      </w:r>
    </w:p>
    <w:p w14:paraId="2EED3C9D" w14:textId="77777777" w:rsidR="007D4495" w:rsidRPr="000C26B9" w:rsidRDefault="007D4495" w:rsidP="007D4495">
      <w:pPr>
        <w:spacing w:after="0" w:line="480" w:lineRule="auto"/>
        <w:jc w:val="both"/>
        <w:rPr>
          <w:rFonts w:ascii="Times New Roman" w:hAnsi="Times New Roman" w:cs="Times New Roman"/>
          <w:sz w:val="20"/>
          <w:szCs w:val="20"/>
        </w:rPr>
      </w:pPr>
    </w:p>
    <w:p w14:paraId="1ADCF119" w14:textId="77777777" w:rsidR="007D4495" w:rsidRPr="000C26B9" w:rsidRDefault="007D4495" w:rsidP="007D4495">
      <w:pPr>
        <w:spacing w:after="0" w:line="480" w:lineRule="auto"/>
        <w:jc w:val="both"/>
        <w:rPr>
          <w:rFonts w:ascii="Times New Roman" w:hAnsi="Times New Roman" w:cs="Times New Roman"/>
          <w:sz w:val="20"/>
          <w:szCs w:val="20"/>
        </w:rPr>
      </w:pPr>
    </w:p>
    <w:sectPr w:rsidR="007D4495" w:rsidRPr="000C26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F4E"/>
    <w:rsid w:val="000600AD"/>
    <w:rsid w:val="00065F4E"/>
    <w:rsid w:val="000B7BD3"/>
    <w:rsid w:val="000F5B2A"/>
    <w:rsid w:val="00136680"/>
    <w:rsid w:val="00145812"/>
    <w:rsid w:val="001810FB"/>
    <w:rsid w:val="0020613A"/>
    <w:rsid w:val="002F236C"/>
    <w:rsid w:val="003C1956"/>
    <w:rsid w:val="00485AB9"/>
    <w:rsid w:val="00492770"/>
    <w:rsid w:val="004D4869"/>
    <w:rsid w:val="00613383"/>
    <w:rsid w:val="0062098E"/>
    <w:rsid w:val="00663A3D"/>
    <w:rsid w:val="007B7B63"/>
    <w:rsid w:val="007D4495"/>
    <w:rsid w:val="007F40D1"/>
    <w:rsid w:val="008E16C7"/>
    <w:rsid w:val="009207B7"/>
    <w:rsid w:val="00AA468E"/>
    <w:rsid w:val="00AD5DAF"/>
    <w:rsid w:val="00BD6766"/>
    <w:rsid w:val="00BE7690"/>
    <w:rsid w:val="00C51EB5"/>
    <w:rsid w:val="00D1457E"/>
    <w:rsid w:val="00D538E0"/>
    <w:rsid w:val="00DF23C0"/>
    <w:rsid w:val="00EC251E"/>
    <w:rsid w:val="00F848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C42E7"/>
  <w15:chartTrackingRefBased/>
  <w15:docId w15:val="{687E6E1A-8753-44EC-90DC-F55D0637B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49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1</Pages>
  <Words>1966</Words>
  <Characters>11208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jpfina1 jpfina1</dc:creator>
  <cp:keywords/>
  <dc:description/>
  <cp:lastModifiedBy>jpfina1 jpfina1</cp:lastModifiedBy>
  <cp:revision>10</cp:revision>
  <dcterms:created xsi:type="dcterms:W3CDTF">2022-05-05T19:46:00Z</dcterms:created>
  <dcterms:modified xsi:type="dcterms:W3CDTF">2022-06-22T12:59:00Z</dcterms:modified>
</cp:coreProperties>
</file>