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C5145" w14:textId="66C54140" w:rsidR="00C2316A" w:rsidRDefault="009907FD"/>
    <w:p w14:paraId="5A098E9E" w14:textId="4765E299" w:rsidR="000F54D9" w:rsidRDefault="001B0D34" w:rsidP="000F54D9">
      <w:pPr>
        <w:spacing w:after="0" w:line="480" w:lineRule="auto"/>
        <w:jc w:val="both"/>
        <w:rPr>
          <w:rFonts w:ascii="Times New Roman" w:hAnsi="Times New Roman" w:cs="Times New Roman"/>
          <w:noProof/>
          <w:sz w:val="20"/>
          <w:szCs w:val="20"/>
        </w:rPr>
      </w:pPr>
      <w:r>
        <w:rPr>
          <w:rFonts w:ascii="Times New Roman" w:hAnsi="Times New Roman" w:cs="Times New Roman"/>
          <w:b/>
          <w:bCs/>
          <w:noProof/>
          <w:sz w:val="20"/>
          <w:szCs w:val="20"/>
        </w:rPr>
        <w:t xml:space="preserve">Supplementary </w:t>
      </w:r>
      <w:r w:rsidR="000F54D9">
        <w:rPr>
          <w:rFonts w:ascii="Times New Roman" w:hAnsi="Times New Roman" w:cs="Times New Roman"/>
          <w:b/>
          <w:bCs/>
          <w:noProof/>
          <w:sz w:val="20"/>
          <w:szCs w:val="20"/>
        </w:rPr>
        <w:t xml:space="preserve">Table </w:t>
      </w:r>
      <w:r w:rsidR="009907FD">
        <w:rPr>
          <w:rFonts w:ascii="Times New Roman" w:hAnsi="Times New Roman" w:cs="Times New Roman"/>
          <w:b/>
          <w:bCs/>
          <w:noProof/>
          <w:sz w:val="20"/>
          <w:szCs w:val="20"/>
        </w:rPr>
        <w:t>2</w:t>
      </w:r>
      <w:r w:rsidR="000F54D9">
        <w:rPr>
          <w:rFonts w:ascii="Times New Roman" w:hAnsi="Times New Roman" w:cs="Times New Roman"/>
          <w:noProof/>
          <w:sz w:val="20"/>
          <w:szCs w:val="20"/>
        </w:rPr>
        <w:t xml:space="preserve"> </w:t>
      </w:r>
      <w:r w:rsidR="000F54D9">
        <w:rPr>
          <w:rFonts w:ascii="Times New Roman" w:hAnsi="Times New Roman" w:cs="Times New Roman"/>
          <w:sz w:val="20"/>
          <w:szCs w:val="20"/>
        </w:rPr>
        <w:t>General characteristics of excluded studies and reason for exclusion</w:t>
      </w:r>
    </w:p>
    <w:tbl>
      <w:tblPr>
        <w:tblW w:w="9282" w:type="dxa"/>
        <w:tblInd w:w="-5" w:type="dxa"/>
        <w:tblLook w:val="04A0" w:firstRow="1" w:lastRow="0" w:firstColumn="1" w:lastColumn="0" w:noHBand="0" w:noVBand="1"/>
      </w:tblPr>
      <w:tblGrid>
        <w:gridCol w:w="1327"/>
        <w:gridCol w:w="1440"/>
        <w:gridCol w:w="1194"/>
        <w:gridCol w:w="1238"/>
        <w:gridCol w:w="1761"/>
        <w:gridCol w:w="850"/>
        <w:gridCol w:w="1472"/>
      </w:tblGrid>
      <w:tr w:rsidR="000F54D9" w:rsidRPr="000C26B9" w14:paraId="0F86137F" w14:textId="77777777" w:rsidTr="00D05366">
        <w:trPr>
          <w:trHeight w:val="593"/>
        </w:trPr>
        <w:tc>
          <w:tcPr>
            <w:tcW w:w="1327" w:type="dxa"/>
            <w:tcBorders>
              <w:top w:val="single" w:sz="4" w:space="0" w:color="auto"/>
              <w:bottom w:val="single" w:sz="4" w:space="0" w:color="auto"/>
            </w:tcBorders>
            <w:shd w:val="clear" w:color="auto" w:fill="auto"/>
            <w:hideMark/>
          </w:tcPr>
          <w:p w14:paraId="3BB13C7C" w14:textId="77777777" w:rsidR="000F54D9" w:rsidRPr="000C26B9" w:rsidRDefault="000F54D9" w:rsidP="00D05366">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First author</w:t>
            </w:r>
            <w:r w:rsidRPr="000C26B9">
              <w:rPr>
                <w:rFonts w:ascii="Times New Roman" w:hAnsi="Times New Roman" w:cs="Times New Roman"/>
                <w:b/>
                <w:bCs/>
                <w:color w:val="000000"/>
                <w:sz w:val="20"/>
                <w:szCs w:val="20"/>
                <w:lang w:val="en-US"/>
              </w:rPr>
              <w:br/>
              <w:t>last name</w:t>
            </w:r>
          </w:p>
        </w:tc>
        <w:tc>
          <w:tcPr>
            <w:tcW w:w="1440" w:type="dxa"/>
            <w:tcBorders>
              <w:top w:val="single" w:sz="4" w:space="0" w:color="auto"/>
              <w:bottom w:val="single" w:sz="4" w:space="0" w:color="auto"/>
            </w:tcBorders>
            <w:shd w:val="clear" w:color="auto" w:fill="auto"/>
            <w:noWrap/>
            <w:hideMark/>
          </w:tcPr>
          <w:p w14:paraId="196A28E8" w14:textId="77777777" w:rsidR="000F54D9" w:rsidRPr="000C26B9" w:rsidRDefault="000F54D9" w:rsidP="00D05366">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Study type</w:t>
            </w:r>
          </w:p>
        </w:tc>
        <w:tc>
          <w:tcPr>
            <w:tcW w:w="1194" w:type="dxa"/>
            <w:tcBorders>
              <w:top w:val="single" w:sz="4" w:space="0" w:color="auto"/>
              <w:bottom w:val="single" w:sz="4" w:space="0" w:color="auto"/>
            </w:tcBorders>
            <w:shd w:val="clear" w:color="auto" w:fill="auto"/>
            <w:hideMark/>
          </w:tcPr>
          <w:p w14:paraId="18B0072D" w14:textId="77777777" w:rsidR="000F54D9" w:rsidRPr="000C26B9" w:rsidRDefault="000F54D9" w:rsidP="00D05366">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Publication</w:t>
            </w:r>
            <w:r w:rsidRPr="000C26B9">
              <w:rPr>
                <w:rFonts w:ascii="Times New Roman" w:hAnsi="Times New Roman" w:cs="Times New Roman"/>
                <w:b/>
                <w:bCs/>
                <w:color w:val="000000"/>
                <w:sz w:val="20"/>
                <w:szCs w:val="20"/>
                <w:lang w:val="en-US"/>
              </w:rPr>
              <w:br/>
              <w:t xml:space="preserve"> year</w:t>
            </w:r>
          </w:p>
        </w:tc>
        <w:tc>
          <w:tcPr>
            <w:tcW w:w="1238" w:type="dxa"/>
            <w:tcBorders>
              <w:top w:val="single" w:sz="4" w:space="0" w:color="auto"/>
              <w:bottom w:val="single" w:sz="4" w:space="0" w:color="auto"/>
            </w:tcBorders>
            <w:shd w:val="clear" w:color="auto" w:fill="auto"/>
            <w:hideMark/>
          </w:tcPr>
          <w:p w14:paraId="34101A59" w14:textId="77777777" w:rsidR="000F54D9" w:rsidRPr="000C26B9" w:rsidRDefault="000F54D9" w:rsidP="00D05366">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Study</w:t>
            </w:r>
            <w:r w:rsidRPr="000C26B9">
              <w:rPr>
                <w:rFonts w:ascii="Times New Roman" w:hAnsi="Times New Roman" w:cs="Times New Roman"/>
                <w:b/>
                <w:bCs/>
                <w:color w:val="000000"/>
                <w:sz w:val="20"/>
                <w:szCs w:val="20"/>
                <w:lang w:val="en-US"/>
              </w:rPr>
              <w:br/>
              <w:t>setting</w:t>
            </w:r>
          </w:p>
        </w:tc>
        <w:tc>
          <w:tcPr>
            <w:tcW w:w="1761" w:type="dxa"/>
            <w:tcBorders>
              <w:top w:val="single" w:sz="4" w:space="0" w:color="auto"/>
              <w:bottom w:val="single" w:sz="4" w:space="0" w:color="auto"/>
            </w:tcBorders>
            <w:shd w:val="clear" w:color="auto" w:fill="auto"/>
            <w:hideMark/>
          </w:tcPr>
          <w:p w14:paraId="68CF895E" w14:textId="77777777" w:rsidR="000F54D9" w:rsidRPr="000C26B9" w:rsidRDefault="000F54D9" w:rsidP="00D05366">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Study</w:t>
            </w:r>
            <w:r w:rsidRPr="000C26B9">
              <w:rPr>
                <w:rFonts w:ascii="Times New Roman" w:hAnsi="Times New Roman" w:cs="Times New Roman"/>
                <w:b/>
                <w:bCs/>
                <w:color w:val="000000"/>
                <w:sz w:val="20"/>
                <w:szCs w:val="20"/>
                <w:lang w:val="en-US"/>
              </w:rPr>
              <w:br/>
              <w:t>Population</w:t>
            </w:r>
          </w:p>
        </w:tc>
        <w:tc>
          <w:tcPr>
            <w:tcW w:w="850" w:type="dxa"/>
            <w:tcBorders>
              <w:top w:val="single" w:sz="4" w:space="0" w:color="auto"/>
              <w:bottom w:val="single" w:sz="4" w:space="0" w:color="auto"/>
            </w:tcBorders>
            <w:shd w:val="clear" w:color="auto" w:fill="auto"/>
            <w:hideMark/>
          </w:tcPr>
          <w:p w14:paraId="7CD5CE76" w14:textId="77777777" w:rsidR="000F54D9" w:rsidRPr="000C26B9" w:rsidRDefault="000F54D9" w:rsidP="00D05366">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Sample</w:t>
            </w:r>
            <w:r w:rsidRPr="000C26B9">
              <w:rPr>
                <w:rFonts w:ascii="Times New Roman" w:hAnsi="Times New Roman" w:cs="Times New Roman"/>
                <w:b/>
                <w:bCs/>
                <w:color w:val="000000"/>
                <w:sz w:val="20"/>
                <w:szCs w:val="20"/>
                <w:lang w:val="en-US"/>
              </w:rPr>
              <w:br/>
              <w:t>size</w:t>
            </w:r>
          </w:p>
        </w:tc>
        <w:tc>
          <w:tcPr>
            <w:tcW w:w="1472" w:type="dxa"/>
            <w:tcBorders>
              <w:top w:val="single" w:sz="4" w:space="0" w:color="auto"/>
              <w:bottom w:val="single" w:sz="4" w:space="0" w:color="auto"/>
            </w:tcBorders>
            <w:shd w:val="clear" w:color="auto" w:fill="auto"/>
            <w:hideMark/>
          </w:tcPr>
          <w:p w14:paraId="315E739D" w14:textId="77777777" w:rsidR="000F54D9" w:rsidRPr="000C26B9" w:rsidRDefault="000F54D9" w:rsidP="00D05366">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Reason for exclusion</w:t>
            </w:r>
          </w:p>
        </w:tc>
      </w:tr>
      <w:tr w:rsidR="000F54D9" w:rsidRPr="000C26B9" w14:paraId="7D3AAF49" w14:textId="77777777" w:rsidTr="00D05366">
        <w:trPr>
          <w:trHeight w:val="980"/>
        </w:trPr>
        <w:tc>
          <w:tcPr>
            <w:tcW w:w="1327" w:type="dxa"/>
            <w:tcBorders>
              <w:top w:val="single" w:sz="4" w:space="0" w:color="auto"/>
            </w:tcBorders>
            <w:shd w:val="clear" w:color="auto" w:fill="auto"/>
            <w:hideMark/>
          </w:tcPr>
          <w:p w14:paraId="25A6B13A" w14:textId="74815361"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Abubakar </w:t>
            </w:r>
            <w:r>
              <w:rPr>
                <w:rFonts w:ascii="Times New Roman" w:hAnsi="Times New Roman" w:cs="Times New Roman"/>
                <w:color w:val="000000"/>
                <w:sz w:val="20"/>
                <w:szCs w:val="20"/>
                <w:lang w:val="en-US"/>
              </w:rPr>
              <w:fldChar w:fldCharType="begin" w:fldLock="1"/>
            </w:r>
            <w:r w:rsidR="008C7F1B">
              <w:rPr>
                <w:rFonts w:ascii="Times New Roman" w:hAnsi="Times New Roman" w:cs="Times New Roman"/>
                <w:color w:val="000000"/>
                <w:sz w:val="20"/>
                <w:szCs w:val="20"/>
                <w:lang w:val="en-US"/>
              </w:rPr>
              <w:instrText>ADDIN CSL_CITATION {"citationItems":[{"id":"ITEM-1","itemData":{"DOI":"10.4314/tjpr.v13i9.20","ISSN":"15969827","abstract":"Purpose: To examine body mass index (BMI), occupation, sex, age, and duration of therapy as contributory factors in treatment failure in type 2 diabetic patients taking metformin and glibenclamide in a tertiary hospital in Northwestern Nigeria.\nMethod: A retrospective case control study was employed where variables (age, sex, body mass index, tribe, duration of therapy, glycaemic profile and occupation) for a total of 520 type 2 diabetic patients that took metformin and glibenclamide for a minimum of 1 year were examined. Patients were classified into two groups based on progression to triple oral therapy or a switch from metformin and glibenclamide therapy.\nResults: Of the 520 patients analysed, 276 failed treatment. Over 90% of the patients were &gt; 40 years while 61% had been on treatment for &gt; 4 years. The subjects’ mean age was 53.22 ± 9.03 years. The mean population body mass index (BMI) was 27 kg/m2. Housewives comprised more than half of the population (55.5%). The mean fasting blood glucose and 2 h post prandial blood glucose levels of group 1 were 5.99 ± 0.67 mmol/L and 8.76 ± 2.19 mmol/L respectively while the corresponding values for group 2 were 12.55 ± 4.12 mmol/L and 18.42 ± 5.3 mmol/L, respectively.\nConclusion: Progressive deterioration in pancreatic ß-cell function, BMI &gt; 28 kg/m2, advancing age, and young age at diagnosis were identified as contributory factors to the development of secondary failure in type 2 diabetics receiving metformin and glibenclamide.","author":[{"dropping-particle":"","family":"Abubakar","given":"Bilyaminu","non-dropping-particle":"","parse-names":false,"suffix":""},{"dropping-particle":"","family":"Giaze","given":"Rabiu T.","non-dropping-particle":"","parse-names":false,"suffix":""},{"dropping-particle":"","family":"Haliru","given":"Ahmad","non-dropping-particle":"","parse-names":false,"suffix":""}],"container-title":"Tropical Journal of Pharmaceutical Research","id":"ITEM-1","issue":"9","issued":{"date-parts":[["2014"]]},"page":"1521-1526","title":"Clinical investigation of treatment failure in type 2 diabetic patients treated with metformin and glibenclamide at a hospital in northwestern Nigeria","type":"article-journal","volume":"13"},"uris":["http://www.mendeley.com/documents/?uuid=fce413f6-3be8-4539-87a4-c95b7c96a1c5"]}],"mendeley":{"formattedCitation":"(74)","manualFormatting":"[1","plainTextFormattedCitation":"(74)","previouslyFormattedCitation":"(78)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340AE6">
              <w:rPr>
                <w:rFonts w:ascii="Times New Roman" w:hAnsi="Times New Roman" w:cs="Times New Roman"/>
                <w:noProof/>
                <w:color w:val="000000"/>
                <w:sz w:val="20"/>
                <w:szCs w:val="20"/>
                <w:lang w:val="en-US"/>
              </w:rPr>
              <w:t>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tcBorders>
              <w:top w:val="single" w:sz="4" w:space="0" w:color="auto"/>
            </w:tcBorders>
            <w:shd w:val="clear" w:color="auto" w:fill="auto"/>
            <w:hideMark/>
          </w:tcPr>
          <w:p w14:paraId="06E9B97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Retrospective</w:t>
            </w:r>
            <w:r w:rsidRPr="000C26B9">
              <w:rPr>
                <w:rFonts w:ascii="Times New Roman" w:hAnsi="Times New Roman" w:cs="Times New Roman"/>
                <w:color w:val="000000"/>
                <w:sz w:val="20"/>
                <w:szCs w:val="20"/>
                <w:lang w:val="en-US"/>
              </w:rPr>
              <w:br/>
              <w:t>case-control</w:t>
            </w:r>
            <w:r w:rsidRPr="000C26B9">
              <w:rPr>
                <w:rFonts w:ascii="Times New Roman" w:hAnsi="Times New Roman" w:cs="Times New Roman"/>
                <w:color w:val="000000"/>
                <w:sz w:val="20"/>
                <w:szCs w:val="20"/>
                <w:lang w:val="en-US"/>
              </w:rPr>
              <w:br/>
              <w:t>study</w:t>
            </w:r>
          </w:p>
        </w:tc>
        <w:tc>
          <w:tcPr>
            <w:tcW w:w="1194" w:type="dxa"/>
            <w:tcBorders>
              <w:top w:val="single" w:sz="4" w:space="0" w:color="auto"/>
            </w:tcBorders>
            <w:shd w:val="clear" w:color="auto" w:fill="auto"/>
            <w:hideMark/>
          </w:tcPr>
          <w:p w14:paraId="4F7DCBD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1238" w:type="dxa"/>
            <w:tcBorders>
              <w:top w:val="single" w:sz="4" w:space="0" w:color="auto"/>
            </w:tcBorders>
            <w:shd w:val="clear" w:color="auto" w:fill="auto"/>
            <w:noWrap/>
            <w:hideMark/>
          </w:tcPr>
          <w:p w14:paraId="2801283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tcBorders>
              <w:top w:val="single" w:sz="4" w:space="0" w:color="auto"/>
            </w:tcBorders>
            <w:shd w:val="clear" w:color="auto" w:fill="auto"/>
            <w:hideMark/>
          </w:tcPr>
          <w:p w14:paraId="4F7048D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r w:rsidRPr="000C26B9">
              <w:rPr>
                <w:rFonts w:ascii="Times New Roman" w:hAnsi="Times New Roman" w:cs="Times New Roman"/>
                <w:color w:val="000000"/>
                <w:sz w:val="20"/>
                <w:szCs w:val="20"/>
                <w:lang w:val="en-US"/>
              </w:rPr>
              <w:br/>
              <w:t xml:space="preserve">30-70 years; treatment failure with metformin and glibenclamide </w:t>
            </w:r>
          </w:p>
        </w:tc>
        <w:tc>
          <w:tcPr>
            <w:tcW w:w="850" w:type="dxa"/>
            <w:tcBorders>
              <w:top w:val="single" w:sz="4" w:space="0" w:color="auto"/>
            </w:tcBorders>
            <w:shd w:val="clear" w:color="auto" w:fill="auto"/>
            <w:hideMark/>
          </w:tcPr>
          <w:p w14:paraId="21A6C31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520</w:t>
            </w:r>
          </w:p>
        </w:tc>
        <w:tc>
          <w:tcPr>
            <w:tcW w:w="1472" w:type="dxa"/>
            <w:tcBorders>
              <w:top w:val="single" w:sz="4" w:space="0" w:color="auto"/>
            </w:tcBorders>
            <w:shd w:val="clear" w:color="auto" w:fill="auto"/>
            <w:noWrap/>
            <w:hideMark/>
          </w:tcPr>
          <w:p w14:paraId="1597D7B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65F9B988" w14:textId="77777777" w:rsidTr="00D05366">
        <w:trPr>
          <w:trHeight w:val="630"/>
        </w:trPr>
        <w:tc>
          <w:tcPr>
            <w:tcW w:w="1327" w:type="dxa"/>
            <w:shd w:val="clear" w:color="auto" w:fill="auto"/>
            <w:hideMark/>
          </w:tcPr>
          <w:p w14:paraId="4F638BBD" w14:textId="4DAC35BF"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Abutair </w:t>
            </w:r>
            <w:r w:rsidR="00DB47EB">
              <w:rPr>
                <w:rFonts w:ascii="Times New Roman" w:hAnsi="Times New Roman" w:cs="Times New Roman"/>
                <w:color w:val="000000"/>
                <w:sz w:val="20"/>
                <w:szCs w:val="20"/>
                <w:lang w:val="en-US"/>
              </w:rPr>
              <w:t>[2</w:t>
            </w:r>
            <w:r>
              <w:rPr>
                <w:rFonts w:ascii="Times New Roman" w:hAnsi="Times New Roman" w:cs="Times New Roman"/>
                <w:color w:val="000000"/>
                <w:sz w:val="20"/>
                <w:szCs w:val="20"/>
                <w:lang w:val="en-US"/>
              </w:rPr>
              <w:t>]</w:t>
            </w:r>
          </w:p>
        </w:tc>
        <w:tc>
          <w:tcPr>
            <w:tcW w:w="1440" w:type="dxa"/>
            <w:shd w:val="clear" w:color="auto" w:fill="auto"/>
            <w:hideMark/>
          </w:tcPr>
          <w:p w14:paraId="38F4B43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Randomized controlled trial</w:t>
            </w:r>
          </w:p>
        </w:tc>
        <w:tc>
          <w:tcPr>
            <w:tcW w:w="1194" w:type="dxa"/>
            <w:shd w:val="clear" w:color="auto" w:fill="auto"/>
            <w:hideMark/>
          </w:tcPr>
          <w:p w14:paraId="1EB1902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1CF4AFB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Palestine</w:t>
            </w:r>
          </w:p>
        </w:tc>
        <w:tc>
          <w:tcPr>
            <w:tcW w:w="1761" w:type="dxa"/>
            <w:shd w:val="clear" w:color="auto" w:fill="auto"/>
            <w:hideMark/>
          </w:tcPr>
          <w:p w14:paraId="7204EC9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41F6690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40</w:t>
            </w:r>
          </w:p>
        </w:tc>
        <w:tc>
          <w:tcPr>
            <w:tcW w:w="1472" w:type="dxa"/>
            <w:shd w:val="clear" w:color="auto" w:fill="auto"/>
            <w:hideMark/>
          </w:tcPr>
          <w:p w14:paraId="25270BB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Setting outside sub-Saharan Africa</w:t>
            </w:r>
          </w:p>
        </w:tc>
      </w:tr>
      <w:tr w:rsidR="000F54D9" w:rsidRPr="000C26B9" w14:paraId="04A2CD6E" w14:textId="77777777" w:rsidTr="00D05366">
        <w:trPr>
          <w:trHeight w:val="630"/>
        </w:trPr>
        <w:tc>
          <w:tcPr>
            <w:tcW w:w="1327" w:type="dxa"/>
            <w:shd w:val="clear" w:color="auto" w:fill="auto"/>
            <w:noWrap/>
            <w:hideMark/>
          </w:tcPr>
          <w:p w14:paraId="384F83E1" w14:textId="4623712A"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Adeniyi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{"citationItems":[{"id":"ITEM-1","itemData":{"DOI":"10.1155/2013/310574","ISSN":"23146133","PMID":"24078913","abstract":"Gender is a major determinant of the outcomes of many health interventions. This study documents the order of significant improvements in metabolic parameters of patients with type 2 diabetes mellitus (T2DM) having metabolic syndrome within 12 weeks of physical exercise programmes. Twenty-nine patients, mean age 49.6 ± 3.7 years, presenting with high fasting plasma glucose, high triglycerides, hypertension, and high waist circumference undertook a thrice weekly aerobic and endurance exercise programme in addition to their drugs and diet. Variables were assessed at baseline and end of every two weeks for twelve weeks. Compared with baseline, significant improvement (P&lt;0.05) in the metabolic parameters occurred in this order for the male participants: fasting glucose (2nd week), triglycerides and waist circumference (4th week), and systolic blood pressure (12th week). For the female participants, it was fasting glucose (4th week), triglycerides (6th week), and waist circumference (10th week). Regardless of the gender, fasting glucose was the first to improve significantly, followed by triglycerides. Hypertension did not improve significantly at all in the female participants as they may require more than twelve weeks of therapeutic exercise for any significant improvement in hypertension. © 2013 A. F. Adeniyi et al.","author":[{"dropping-particle":"","family":"Adeniyi","given":"A. F.","non-dropping-particle":"","parse-names":false,"suffix":""},{"dropping-particle":"","family":"Uloko","given":"A. E.","non-dropping-particle":"","parse-names":false,"suffix":""},{"dropping-particle":"","family":"Ogwumike","given":"O. O.","non-dropping-particle":"","parse-names":false,"suffix":""},{"dropping-particle":"","family":"Sanya","given":"A. O.","non-dropping-particle":"","parse-names":false,"suffix":""},{"dropping-particle":"","family":"Fasanmade","given":"A. A.","non-dropping-particle":"","parse-names":false,"suffix":""}],"container-title":"BioMed Research International","id":"ITEM-1","issued":{"date-parts":[["2013"]]},"publisher":"Hindawi Limited","title":"Time course of improvement of metabolic parameters after a 12 week physical exercise Programme in patients with type 2 diabetes: The influence of gender in a Nigerian population","type":"article-journal","volume":"2013"},"uris":["http://www.mendeley.com/documents/?uuid=43d3f900-c4ed-3d3d-bb7b-c1a239e7bca9"]}],"mendeley":{"formattedCitation":"(76)","manualFormatting":"[14","plainTextFormattedCitation":"(76)","previouslyFormattedCitation":"(80)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DB47EB">
              <w:rPr>
                <w:rFonts w:ascii="Times New Roman" w:hAnsi="Times New Roman" w:cs="Times New Roman"/>
                <w:color w:val="000000"/>
                <w:sz w:val="20"/>
                <w:szCs w:val="20"/>
                <w:lang w:val="en-US"/>
              </w:rPr>
              <w:t>3</w:t>
            </w:r>
            <w:r>
              <w:rPr>
                <w:rFonts w:ascii="Times New Roman" w:hAnsi="Times New Roman" w:cs="Times New Roman"/>
                <w:color w:val="000000"/>
                <w:sz w:val="20"/>
                <w:szCs w:val="20"/>
                <w:lang w:val="en-US"/>
              </w:rPr>
              <w:t>]</w:t>
            </w:r>
          </w:p>
        </w:tc>
        <w:tc>
          <w:tcPr>
            <w:tcW w:w="1440" w:type="dxa"/>
            <w:shd w:val="clear" w:color="auto" w:fill="auto"/>
            <w:hideMark/>
          </w:tcPr>
          <w:p w14:paraId="5D8310A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Experimental </w:t>
            </w:r>
            <w:r w:rsidRPr="000C26B9">
              <w:rPr>
                <w:rFonts w:ascii="Times New Roman" w:hAnsi="Times New Roman" w:cs="Times New Roman"/>
                <w:color w:val="000000"/>
                <w:sz w:val="20"/>
                <w:szCs w:val="20"/>
                <w:lang w:val="en-US"/>
              </w:rPr>
              <w:br/>
              <w:t xml:space="preserve">study </w:t>
            </w:r>
          </w:p>
        </w:tc>
        <w:tc>
          <w:tcPr>
            <w:tcW w:w="1194" w:type="dxa"/>
            <w:shd w:val="clear" w:color="auto" w:fill="auto"/>
            <w:noWrap/>
            <w:hideMark/>
          </w:tcPr>
          <w:p w14:paraId="082390B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5772B9F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6754B5C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noWrap/>
            <w:hideMark/>
          </w:tcPr>
          <w:p w14:paraId="37CF9CD1"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29</w:t>
            </w:r>
          </w:p>
        </w:tc>
        <w:tc>
          <w:tcPr>
            <w:tcW w:w="1472" w:type="dxa"/>
            <w:shd w:val="clear" w:color="auto" w:fill="auto"/>
            <w:hideMark/>
          </w:tcPr>
          <w:p w14:paraId="32BFD6DE"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influence of gender on time for glycaemic improvement </w:t>
            </w:r>
          </w:p>
        </w:tc>
      </w:tr>
      <w:tr w:rsidR="000F54D9" w:rsidRPr="000C26B9" w14:paraId="6C0579BF" w14:textId="77777777" w:rsidTr="00D05366">
        <w:trPr>
          <w:trHeight w:val="1043"/>
        </w:trPr>
        <w:tc>
          <w:tcPr>
            <w:tcW w:w="1327" w:type="dxa"/>
            <w:shd w:val="clear" w:color="auto" w:fill="auto"/>
            <w:noWrap/>
            <w:hideMark/>
          </w:tcPr>
          <w:p w14:paraId="74AFB313" w14:textId="6DB5C678"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Adisa </w:t>
            </w:r>
            <w:r>
              <w:rPr>
                <w:rFonts w:ascii="Times New Roman" w:hAnsi="Times New Roman" w:cs="Times New Roman"/>
                <w:color w:val="000000"/>
                <w:sz w:val="20"/>
                <w:szCs w:val="20"/>
                <w:lang w:val="en-US"/>
              </w:rPr>
              <w:fldChar w:fldCharType="begin" w:fldLock="1"/>
            </w:r>
            <w:r w:rsidR="008C7F1B">
              <w:rPr>
                <w:rFonts w:ascii="Times New Roman" w:hAnsi="Times New Roman" w:cs="Times New Roman"/>
                <w:color w:val="000000"/>
                <w:sz w:val="20"/>
                <w:szCs w:val="20"/>
                <w:lang w:val="en-US"/>
              </w:rPr>
              <w:instrText>ADDIN CSL_CITATION {"citationItems":[{"id":"ITEM-1","itemData":{"DOI":"10.4314/gmj.v51i2.4","ISSN":"00169560","PMID":"28955102","abstract":"OBJECTIVES: To evaluate available and desired sources and types of social-support among hypertensive and type-2-diabetes (T2D) patients. Associations of medication adherence and clinical outcome with access to most available social-support and medicine affordability were subsequently investigated.\nDESIGN: Cross-sectional questionnaire-guided interview among 250-hypertensive and 200-T2D patients, and review of medical records to retrieve disease-specific clinical parameters.\nSETTINGS: University College Hospital and Ring-Road State Hospital, Ibadan, southwestern Nigeria.\nPARTICIPANTS: Adults out-patients with hypertension, T2D, and T2D comorbid with hypertension were enrolled, while in-patients were excluded.\nRESULTS: Family source of support was the most available [hypertensive (225; 90.0%); T2D (174; 87.0%)], but government and non-governmental organisation support were largely desired, with financial support preferred, 233(93.2%) hypertensive and 190(95.0%) T2D, respectively. Adherent hypertensive patients with or without access to family support were (127; 56.4%) versus (18; 72.0%), p=0.135; while for T2D were (103; 59.2%) versus (21; 80.8%), p=0.035. Mean systolic blood pressure of hypertensive and fasting plasma glucose of T2D with access to family and financial support were better than their counterparts without access (p&gt;0.05). Hypertensive (110; 76.4%) and T2D (87; 87.0%) participants who consistently afford medicine expenses had significantly better adherence and outcome (p&lt;0.05).\nCONCLUSIONS: Family source of support is the most accessible, but government and non-governmental organisation support were largely desired. Access to family support did not positively influence medication adherence, while access to financial support marginally impacted on outcome among hypertensive and T2D patients. However, unwavering tendency for therapy affordability significantly influenced adherence and outcome, thus, the need for expanded social-support system in order to consistently ensure improved outcome.\nFUNDING: None declared.","author":[{"dropping-particle":"","family":"Adisa","given":"Rasaq","non-dropping-particle":"","parse-names":false,"suffix":""},{"dropping-particle":"","family":"Olajide","given":"Olamide O.","non-dropping-particle":"","parse-names":false,"suffix":""},{"dropping-particle":"","family":"Fakeye","given":"Titilayo O.","non-dropping-particle":"","parse-names":false,"suffix":""}],"container-title":"Ghana medical journal","id":"ITEM-1","issue":"2","issued":{"date-parts":[["2017"]]},"page":"64-77","title":"Social Support, Treatment Adherence and Outcome among Hypertensive and Type 2 Diabetes Patients in Ambulatory Care Settings in southwestern Nigeria","type":"article-journal","volume":"51"},"uris":["http://www.mendeley.com/documents/?uuid=f17d77c6-4131-40e6-bd9b-b1a1f97d0978"]}],"mendeley":{"formattedCitation":"(77)","manualFormatting":"[1","plainTextFormattedCitation":"(77)","previouslyFormattedCitation":"(81)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DB47EB">
              <w:rPr>
                <w:rFonts w:ascii="Times New Roman" w:hAnsi="Times New Roman" w:cs="Times New Roman"/>
                <w:color w:val="000000"/>
                <w:sz w:val="20"/>
                <w:szCs w:val="20"/>
                <w:lang w:val="en-US"/>
              </w:rPr>
              <w:t>4]</w:t>
            </w:r>
          </w:p>
        </w:tc>
        <w:tc>
          <w:tcPr>
            <w:tcW w:w="1440" w:type="dxa"/>
            <w:shd w:val="clear" w:color="auto" w:fill="auto"/>
            <w:hideMark/>
          </w:tcPr>
          <w:p w14:paraId="1375D00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29B9394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41D7829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03B9588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Hypertension, type 2 diabetes, and Type 2 diabetes comorbid with hypertension</w:t>
            </w:r>
          </w:p>
        </w:tc>
        <w:tc>
          <w:tcPr>
            <w:tcW w:w="850" w:type="dxa"/>
            <w:shd w:val="clear" w:color="auto" w:fill="auto"/>
            <w:hideMark/>
          </w:tcPr>
          <w:p w14:paraId="7886416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450</w:t>
            </w:r>
          </w:p>
        </w:tc>
        <w:tc>
          <w:tcPr>
            <w:tcW w:w="1472" w:type="dxa"/>
            <w:shd w:val="clear" w:color="auto" w:fill="auto"/>
            <w:noWrap/>
            <w:hideMark/>
          </w:tcPr>
          <w:p w14:paraId="5188111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242A3919" w14:textId="77777777" w:rsidTr="00D05366">
        <w:trPr>
          <w:trHeight w:val="440"/>
        </w:trPr>
        <w:tc>
          <w:tcPr>
            <w:tcW w:w="1327" w:type="dxa"/>
            <w:shd w:val="clear" w:color="auto" w:fill="auto"/>
            <w:noWrap/>
            <w:hideMark/>
          </w:tcPr>
          <w:p w14:paraId="291C8A07" w14:textId="66C27CB1"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Adisa </w:t>
            </w:r>
            <w:r>
              <w:rPr>
                <w:rFonts w:ascii="Times New Roman" w:hAnsi="Times New Roman" w:cs="Times New Roman"/>
                <w:color w:val="000000"/>
                <w:sz w:val="20"/>
                <w:szCs w:val="20"/>
                <w:lang w:val="en-US"/>
              </w:rPr>
              <w:fldChar w:fldCharType="begin" w:fldLock="1"/>
            </w:r>
            <w:r w:rsidR="008C7F1B">
              <w:rPr>
                <w:rFonts w:ascii="Times New Roman" w:hAnsi="Times New Roman" w:cs="Times New Roman"/>
                <w:color w:val="000000"/>
                <w:sz w:val="20"/>
                <w:szCs w:val="20"/>
                <w:lang w:val="en-US"/>
              </w:rPr>
              <w:instrText>ADDIN CSL_CITATION {"citationItems":[{"id":"ITEM-1","itemData":{"DOI":"10.4314/gmj.v50i2.7","ISSN":"00169560","abstract":"Objectives: To evaluate management approach and outcome in two endocrinologist-managed clinics using data on treatment adherence, diabetes-specific parameters, prescribed medications and self-management practices among ambulatory type 2 diabetes patients. Opinion on cause(s) and perceived fear about diabetes were also explored. Design: A cross-sectional prospective study using semi-structured interview among consented patients for eight-week, and a review of participants' case notes at 3-month post-interactive contact for details of diabetes-specific parameters and antidiabetes medications Settings: The University College Hospital (UCH) and Obafemi Awolowo University Teaching Hospitals Complex (OAUTHC) in southwestern Nigeria. Participants: Adult patients with type 2 diabetes, on therapies for &gt;3-month and who had average fasting blood glucose (FBG)&gt;6.0 mmol/L were enrolled. All patients with type 1 diabetes, and type 2 diabetes who decline participation were excluded. Out of 185 participants who were approached, 176(95.1%) consented and completed the study including 113(64.2%) from UCH and 63(35.8%) in OAUTHC. Results: Mean FBG for patients were 9.6 mmol/L in UCH and 11.0 mmol/L in OAUTHC (p=0.03). Medication adherence among patients was 47(46.5%) in UCH and 31(52.5%) in OAUTHC (p=0.46). Prescribed antidiabetes medications between the clinics significantly differ. Practice of self-monitoring of blood glucose among participants was 26(23.0%) in UCH and 13(20.6%) in OAUTHC (p=0.72). Thirty-two participants (29.4%) in UCH and 33(43.4%) from OAUTHC (p=0.02) mentioned complications as perceived fear about type 2 diabetes. Conclusion: There are differences and similarities between the diabetes-specialty clinics with respect to diabetes management and outcome. This underscores the necessity for a protocol-driven treatment approach in ensuring improved diabetes care and outcome.","author":[{"dropping-particle":"","family":"Adisa","given":"R","non-dropping-particle":"","parse-names":false,"suffix":""},{"dropping-particle":"","family":"Fakeye","given":"T O","non-dropping-particle":"","parse-names":false,"suffix":""}],"container-title":"Ghana Medical Journal","id":"ITEM-1","issue":"2","issued":{"date-parts":[["2016"]]},"note":"Accession Number: 20163252938. Adisa, R. (author); Email Address: adisaras73@yahoo.co.uk; Fakeye, T. O. (author). Issue Info: 50, 2. Publication Date: 20160101. Note: 72. Number of Pages: 13. Document Type: Journal Article. Language: English. Subject Subsets: Rural Development; Tropical Diseases; CAB Abstracts 1973-Current; Global Health 1973- Current; CABI Full Text. Has References: 72.","page":"90-102","publisher":"Ghana Medical Association","publisher-place":"Department of Clinical Pharmacy &amp; Pharmacy Administration, Faculty of Pharmacy, University of Ibadan, Ibadan, Oyo State, Nigeria.","title":"Do diabetes-specialty clinics differ in management approach and outcome? A cross-sectional assessment of ambulatory type 2 diabetes patients in two teaching hospitals in Nigeria.","type":"article-journal","volume":"50"},"uris":["http://www.mendeley.com/documents/?uuid=8e5e12f0-dcd2-4187-b6d8-c7c999904e3d"]}],"mendeley":{"formattedCitation":"(78)","manualFormatting":"[1","plainTextFormattedCitation":"(78)","previouslyFormattedCitation":"(82)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DB47EB">
              <w:rPr>
                <w:rFonts w:ascii="Times New Roman" w:hAnsi="Times New Roman" w:cs="Times New Roman"/>
                <w:color w:val="000000"/>
                <w:sz w:val="20"/>
                <w:szCs w:val="20"/>
                <w:lang w:val="en-US"/>
              </w:rPr>
              <w:t>5</w:t>
            </w:r>
            <w:r>
              <w:rPr>
                <w:rFonts w:ascii="Times New Roman" w:hAnsi="Times New Roman" w:cs="Times New Roman"/>
                <w:color w:val="000000"/>
                <w:sz w:val="20"/>
                <w:szCs w:val="20"/>
                <w:lang w:val="en-US"/>
              </w:rPr>
              <w:t>]</w:t>
            </w:r>
          </w:p>
        </w:tc>
        <w:tc>
          <w:tcPr>
            <w:tcW w:w="1440" w:type="dxa"/>
            <w:shd w:val="clear" w:color="auto" w:fill="auto"/>
            <w:hideMark/>
          </w:tcPr>
          <w:p w14:paraId="46E7E8E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49DF1F9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noWrap/>
            <w:hideMark/>
          </w:tcPr>
          <w:p w14:paraId="0FCBC1B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16D4605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51-70 years</w:t>
            </w:r>
          </w:p>
        </w:tc>
        <w:tc>
          <w:tcPr>
            <w:tcW w:w="850" w:type="dxa"/>
            <w:shd w:val="clear" w:color="auto" w:fill="auto"/>
            <w:hideMark/>
          </w:tcPr>
          <w:p w14:paraId="6C813DB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176</w:t>
            </w:r>
          </w:p>
        </w:tc>
        <w:tc>
          <w:tcPr>
            <w:tcW w:w="1472" w:type="dxa"/>
            <w:shd w:val="clear" w:color="auto" w:fill="auto"/>
            <w:noWrap/>
            <w:hideMark/>
          </w:tcPr>
          <w:p w14:paraId="3529EB0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0EC9D1A6" w14:textId="77777777" w:rsidTr="00D05366">
        <w:trPr>
          <w:trHeight w:val="827"/>
        </w:trPr>
        <w:tc>
          <w:tcPr>
            <w:tcW w:w="1327" w:type="dxa"/>
            <w:shd w:val="clear" w:color="auto" w:fill="auto"/>
            <w:noWrap/>
            <w:hideMark/>
          </w:tcPr>
          <w:p w14:paraId="02DD277D" w14:textId="55DBCA3C"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Adisa </w:t>
            </w:r>
            <w:r w:rsidR="00DB47EB">
              <w:rPr>
                <w:rFonts w:ascii="Times New Roman" w:hAnsi="Times New Roman" w:cs="Times New Roman"/>
                <w:color w:val="000000"/>
                <w:sz w:val="20"/>
                <w:szCs w:val="20"/>
                <w:lang w:val="en-US"/>
              </w:rPr>
              <w:t>[6</w:t>
            </w:r>
            <w:r>
              <w:rPr>
                <w:rFonts w:ascii="Times New Roman" w:hAnsi="Times New Roman" w:cs="Times New Roman"/>
                <w:color w:val="000000"/>
                <w:sz w:val="20"/>
                <w:szCs w:val="20"/>
                <w:lang w:val="en-US"/>
              </w:rPr>
              <w:t>]</w:t>
            </w:r>
          </w:p>
        </w:tc>
        <w:tc>
          <w:tcPr>
            <w:tcW w:w="1440" w:type="dxa"/>
            <w:shd w:val="clear" w:color="auto" w:fill="auto"/>
            <w:hideMark/>
          </w:tcPr>
          <w:p w14:paraId="79408AB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Prospective cross-sectional and retrospective Review </w:t>
            </w:r>
          </w:p>
        </w:tc>
        <w:tc>
          <w:tcPr>
            <w:tcW w:w="1194" w:type="dxa"/>
            <w:shd w:val="clear" w:color="auto" w:fill="auto"/>
            <w:noWrap/>
            <w:hideMark/>
          </w:tcPr>
          <w:p w14:paraId="3C17C54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76F7804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1000A43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03A9BBF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176</w:t>
            </w:r>
          </w:p>
        </w:tc>
        <w:tc>
          <w:tcPr>
            <w:tcW w:w="1472" w:type="dxa"/>
            <w:shd w:val="clear" w:color="auto" w:fill="auto"/>
            <w:noWrap/>
            <w:hideMark/>
          </w:tcPr>
          <w:p w14:paraId="219C934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0B7F2330" w14:textId="77777777" w:rsidTr="00D05366">
        <w:trPr>
          <w:trHeight w:val="773"/>
        </w:trPr>
        <w:tc>
          <w:tcPr>
            <w:tcW w:w="1327" w:type="dxa"/>
            <w:shd w:val="clear" w:color="auto" w:fill="auto"/>
            <w:noWrap/>
            <w:hideMark/>
          </w:tcPr>
          <w:p w14:paraId="6F7C8726" w14:textId="16E25244"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Aga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{"citationItems":[{"id":"ITEM-1","itemData":{"DOI":"10.1002/nur.21999","ISBN":"0160-6891","abstract":"Heart failure (HF) is a comorbidity that complicates type 2 diabetes mellitus (T2D) management and increases the chance of death. However, little is known concerning factors related to diabetes self-efficacy in comorbid HF. This secondary data analysis was aimed at describing sociodemographic and clinical correlates of diabetes self-efficacy in adults with T2D and comorbid HF. A correlational design was used to analyze cross-sectional baseline data from a randomized study of 180 participants that tested a 6-month integrated self-care intervention targeting adults with concomitant HF and T2D. Participants were enrolled from one of four large urban-tertiary hospitals in Atlanta, GA, during 2010-2013. Data were collected from medical records and self-report. We used stepwise multiple linear regressions to examine variables associated with diabetes self-efficacy. The participants' mean age was 58.1 +/- 10.7 years and the majority were male (n = 118; 65.6%) and African American (n = 119; 66.1%). Good self-rated health and presence of implantable cardioverter-defibrillator (ICD) had significant positive relationships with diabetes self-efficacy, while taking both oral antiglycemic medication and insulin, history of depression, cardiac pacemaker, and taking digitalis were negatively related. These variables collectively explained 22.4% of the variation in diabetes self-efficacy. One study implication is that using self-rated health provides a quick, patient-centered assessment to evaluate patient health status. Further studies are warranted to ascertain the pathways linking ICD, pacemaker, and digitalis treatment with diabetes self-efficacy.","author":[{"dropping-particle":"","family":"Aga","given":"F","non-dropping-particle":"","parse-names":false,"suffix":""},{"dropping-particle":"","family":"Dunbar","given":"S B","non-dropping-particle":"","parse-names":false,"suffix":""},{"dropping-particle":"","family":"Kebede","given":"T","non-dropping-particle":"","parse-names":false,"suffix":""},{"dropping-particle":"","family":"Higgins","given":"M K","non-dropping-particle":"","parse-names":false,"suffix":""},{"dropping-particle":"","family":"Gary","given":"R","non-dropping-particle":"","parse-names":false,"suffix":""}],"container-title":"Research in Nursing &amp; Health","id":"ITEM-1","issue":"1","issued":{"date-parts":[["2020"]]},"note":"Aga, Fekadu Dunbar, Sandra B. Kebede, Tedla Higgins, Melinda Kay Gary, Rebecca\n1098-240x","page":"79-89","title":"Sociodemographic and clinical correlates of diabetes self-efficacy in adults with type 2 diabetes and comorbid heart failure","type":"article-journal","volume":"43"},"uris":["http://www.mendeley.com/documents/?uuid=7a376162-dd05-44ff-b750-f8372a7be076"]}],"mendeley":{"formattedCitation":"(80)","manualFormatting":"[18","plainTextFormattedCitation":"(80)","previouslyFormattedCitation":"(84)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DB47EB">
              <w:rPr>
                <w:rFonts w:ascii="Times New Roman" w:hAnsi="Times New Roman" w:cs="Times New Roman"/>
                <w:color w:val="000000"/>
                <w:sz w:val="20"/>
                <w:szCs w:val="20"/>
                <w:lang w:val="en-US"/>
              </w:rPr>
              <w:t>7</w:t>
            </w:r>
            <w:r>
              <w:rPr>
                <w:rFonts w:ascii="Times New Roman" w:hAnsi="Times New Roman" w:cs="Times New Roman"/>
                <w:color w:val="000000"/>
                <w:sz w:val="20"/>
                <w:szCs w:val="20"/>
                <w:lang w:val="en-US"/>
              </w:rPr>
              <w:t>]</w:t>
            </w:r>
          </w:p>
        </w:tc>
        <w:tc>
          <w:tcPr>
            <w:tcW w:w="1440" w:type="dxa"/>
            <w:shd w:val="clear" w:color="auto" w:fill="auto"/>
            <w:hideMark/>
          </w:tcPr>
          <w:p w14:paraId="17599F5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 correlational study</w:t>
            </w:r>
          </w:p>
        </w:tc>
        <w:tc>
          <w:tcPr>
            <w:tcW w:w="1194" w:type="dxa"/>
            <w:shd w:val="clear" w:color="auto" w:fill="auto"/>
            <w:noWrap/>
            <w:hideMark/>
          </w:tcPr>
          <w:p w14:paraId="64427AA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1238" w:type="dxa"/>
            <w:shd w:val="clear" w:color="auto" w:fill="auto"/>
            <w:noWrap/>
            <w:hideMark/>
          </w:tcPr>
          <w:p w14:paraId="6569809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USA</w:t>
            </w:r>
          </w:p>
        </w:tc>
        <w:tc>
          <w:tcPr>
            <w:tcW w:w="1761" w:type="dxa"/>
            <w:shd w:val="clear" w:color="auto" w:fill="auto"/>
            <w:hideMark/>
          </w:tcPr>
          <w:p w14:paraId="1B77D63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Adult patients with comorbid heart failure and Type 2 diabetes</w:t>
            </w:r>
          </w:p>
        </w:tc>
        <w:tc>
          <w:tcPr>
            <w:tcW w:w="850" w:type="dxa"/>
            <w:shd w:val="clear" w:color="auto" w:fill="auto"/>
            <w:hideMark/>
          </w:tcPr>
          <w:p w14:paraId="5F62956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180</w:t>
            </w:r>
          </w:p>
        </w:tc>
        <w:tc>
          <w:tcPr>
            <w:tcW w:w="1472" w:type="dxa"/>
            <w:shd w:val="clear" w:color="auto" w:fill="auto"/>
            <w:hideMark/>
          </w:tcPr>
          <w:p w14:paraId="640AC04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Setting outside sub-Saharan Africa</w:t>
            </w:r>
          </w:p>
        </w:tc>
      </w:tr>
      <w:tr w:rsidR="000F54D9" w:rsidRPr="000C26B9" w14:paraId="784A58AC" w14:textId="77777777" w:rsidTr="00D05366">
        <w:trPr>
          <w:trHeight w:val="630"/>
        </w:trPr>
        <w:tc>
          <w:tcPr>
            <w:tcW w:w="1327" w:type="dxa"/>
            <w:shd w:val="clear" w:color="auto" w:fill="auto"/>
            <w:noWrap/>
            <w:hideMark/>
          </w:tcPr>
          <w:p w14:paraId="27758F2D" w14:textId="4E1CBA6D"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Amendezo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{"citationItems":[{"id":"ITEM-1","itemData":{"ISBN":"01688227","abstract":"MEDLINE Abstract: AIM:&lt;BR&gt;Evidence to show whether lifestyle intervention programs are beneficial for patients with diabetes in resource-limited countries is lacking. The present study assessed the additional efficacy of a structured lifestyle education program, as compared to the current standard of diabetic care in Rwanda.&lt;BR&gt;METHODS:&lt;BR&gt;251 consecutive adult patients attending a tertiary diabetic care practice were randomly assigned to either an intervention group (standard of care plus monthly lifestyle group education sessions of 45min duration) or to a control group. The primary outcome was between-groups difference in glycated hemoglobin (HbA1c) observed after 12-months follow up. Outcome measures in the intervention and control groups were compared using the ANCOVA test with a two-sided significance of 5%.&lt;BR&gt;RESULTS:&lt;BR&gt;Of the 251 subjects recruited, 223 were included in the analysis; of whom 115 were assigned to the intervention group, and 108 to the control group. After 12-months, the median HbA1c levels reduced by 1.70 (95% CI: -2.09 to -1.31; p&lt;0.001) in the intervention group; and by 0.52 (95% CI: -0.95 to -0.10; p=0.01) in the control group. The difference in HbA1c reduction between the intervention and control groups was statistically significant (p&lt;0.001) after adjustment for subjects' age, sex, education level, BMI, diabetes duration and diabetic medications.&lt;BR&gt;CONCLUSIONS:&lt;BR&gt;This study demonstrated that a structured lifestyle group education program for people with diabetes is an attractive option in a resource-limited setting, as it showed significant benefits in improved glycemic control over a 12-month period.&lt;BR&gt;TRIAL REGISTRATION:&lt;BR&gt;ClinicalTrials.gov: NCT02032108.&lt;BR&gt;Copyright © 2017 Elsevier B.V. All rights reserved.&lt;BR&gt;","author":[{"dropping-particle":"","family":"AmendezoEtienne","given":"","non-dropping-particle":"","parse-names":false,"suffix":""},{"dropping-particle":"","family":"Walker Timothy","given":"David","non-dropping-particle":"","parse-names":false,"suffix":""},{"dropping-particle":"","family":"Karamuka","given":"Vincent","non-dropping-particle":"","parse-names":false,"suffix":""},{"dropping-particle":"","family":"Robinson","given":"Brian","non-dropping-particle":"","parse-names":false,"suffix":""},{"dropping-particle":"","family":"Kavabushi","given":"Patrick","non-dropping-particle":"","parse-names":false,"suffix":""},{"dropping-particle":"","family":"Ntirenganya","given":"Cyprien","non-dropping-particle":"","parse-names":false,"suffix":""},{"dropping-particle":"","family":"Uwiragiye","given":"Joseph","non-dropping-particle":"","parse-names":false,"suffix":""},{"dropping-particle":"","family":"Mukantagwabira","given":"Donatille","non-dropping-particle":"","parse-names":false,"suffix":""},{"dropping-particle":"","family":"Bisimwa","given":"Jeanne","non-dropping-particle":"","parse-names":false,"suffix":""},{"dropping-particle":"","family":"Uwintwali Marie","given":"Henriette","non-dropping-particle":"","parse-names":false,"suffix":""},{"dropping-particle":"","family":"Umulisa","given":"Henriette","non-dropping-particle":"","parse-names":false,"suffix":""},{"dropping-particle":"","family":"Niyomwungeri","given":"Scholastique","non-dropping-particle":"","parse-names":false,"suffix":""},{"dropping-particle":"","family":"Ndayambaje","given":"Bernard","non-dropping-particle":"","parse-names":false,"suffix":""},{"dropping-particle":"","family":"Dusabejambo","given":"Vincent","non-dropping-particle":"","parse-names":false,"suffix":""},{"dropping-particle":"","family":"Bavuma","given":"Charlotte","non-dropping-particle":"","parse-names":false,"suffix":""}],"container-title":"Diabetes Research and Clinical Practice","id":"ITEM-1","issued":{"date-parts":[["2017"]]},"note":"Note: E-mail: amendezoe@gmail.com; Address: Department of Internal Medicine, University of Rwanda, Rwanda; King Faisal Hospital, Kigali, Rwanda. Electronic address: Department of Internal Medicine, University of Rwanda, Rwanda; University Teaching Hospital of Butare, Rwanda.; University Teaching Hospital of Kigali, Rwanda.; University Teaching Hospital of Kigali, Rwanda; Human Resources for Health, Rwanda; Brown University, USA.; Department of Internal Medicine, University of Rwanda, Rwanda; University Teaching Hospital of Kigali, Rwanda.; Department of Internal Medicine, University of Rwanda, Rwanda; University Teaching Hospital of Butare, Rwanda.; University Teaching Hospital of Kigali, Rwanda.; University Teaching Hospital of Kigali, Rwanda.; University Teaching Hospital of Kigali, Rwanda.; University Teaching Hospital of Kigali, Rwanda.; University Teaching Hospital of Kigali, Rwanda.; University Teaching Hospital of Kigali, Rwanda.; University Teaching Hospital of Kigali, Rwanda.; Department of Internal Medicine, University of Rwanda, Rwanda; University Teaching Hospital of Kigali, Rwanda.; Department of Internal Medicine, University of Rwanda, Rwanda; University Teaching Hospital of Kigali, Rwanda; Record Source: This record is provided from the MEDLINE database of the National Library of Medicine (NLM), United States. The index terms may have been modified to conform with terminology used throughout the database. Database Contributor: MEDLINE. Database Contributor ID: 28237859. Language: English. Document Type: Article. Publication Type: Journal Article; Randomized Controlled Trial. Accession Number: 28237859.","page":"129-137","title":"Effects of a lifestyle education program on glycemic control among patients with diabetes at Kigali University Hospital, Rwanda: A randomized controlled trial","type":"article-journal","volume":"126"},"uris":["http://www.mendeley.com/documents/?uuid=a8c66349-de65-443d-b206-52536090c7af"]}],"mendeley":{"formattedCitation":"(81)","manualFormatting":"[19","plainTextFormattedCitation":"(81)","previouslyFormattedCitation":"(85)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DB47EB">
              <w:rPr>
                <w:rFonts w:ascii="Times New Roman" w:hAnsi="Times New Roman" w:cs="Times New Roman"/>
                <w:color w:val="000000"/>
                <w:sz w:val="20"/>
                <w:szCs w:val="20"/>
                <w:lang w:val="en-US"/>
              </w:rPr>
              <w:t>8</w:t>
            </w:r>
            <w:r>
              <w:rPr>
                <w:rFonts w:ascii="Times New Roman" w:hAnsi="Times New Roman" w:cs="Times New Roman"/>
                <w:color w:val="000000"/>
                <w:sz w:val="20"/>
                <w:szCs w:val="20"/>
                <w:lang w:val="en-US"/>
              </w:rPr>
              <w:t>]</w:t>
            </w:r>
          </w:p>
        </w:tc>
        <w:tc>
          <w:tcPr>
            <w:tcW w:w="1440" w:type="dxa"/>
            <w:shd w:val="clear" w:color="auto" w:fill="auto"/>
            <w:hideMark/>
          </w:tcPr>
          <w:p w14:paraId="640287A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Randomized Controlled Trial</w:t>
            </w:r>
          </w:p>
        </w:tc>
        <w:tc>
          <w:tcPr>
            <w:tcW w:w="1194" w:type="dxa"/>
            <w:shd w:val="clear" w:color="auto" w:fill="auto"/>
            <w:noWrap/>
            <w:hideMark/>
          </w:tcPr>
          <w:p w14:paraId="501B683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4678D4B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Rwanda</w:t>
            </w:r>
          </w:p>
        </w:tc>
        <w:tc>
          <w:tcPr>
            <w:tcW w:w="1761" w:type="dxa"/>
            <w:shd w:val="clear" w:color="auto" w:fill="auto"/>
            <w:hideMark/>
          </w:tcPr>
          <w:p w14:paraId="2484BA0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12E0B68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223</w:t>
            </w:r>
          </w:p>
        </w:tc>
        <w:tc>
          <w:tcPr>
            <w:tcW w:w="1472" w:type="dxa"/>
            <w:shd w:val="clear" w:color="auto" w:fill="auto"/>
            <w:hideMark/>
          </w:tcPr>
          <w:p w14:paraId="51C7C7D7"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7155B863" w14:textId="77777777" w:rsidTr="00D05366">
        <w:trPr>
          <w:trHeight w:val="260"/>
        </w:trPr>
        <w:tc>
          <w:tcPr>
            <w:tcW w:w="1327" w:type="dxa"/>
            <w:shd w:val="clear" w:color="auto" w:fill="auto"/>
            <w:noWrap/>
            <w:hideMark/>
          </w:tcPr>
          <w:p w14:paraId="5738A8F5" w14:textId="354BE40B"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Anakwue </w:t>
            </w:r>
            <w:r w:rsidR="00DB47EB">
              <w:rPr>
                <w:rFonts w:ascii="Times New Roman" w:hAnsi="Times New Roman" w:cs="Times New Roman"/>
                <w:color w:val="000000"/>
                <w:sz w:val="20"/>
                <w:szCs w:val="20"/>
                <w:lang w:val="en-US"/>
              </w:rPr>
              <w:t>[9</w:t>
            </w:r>
            <w:r>
              <w:rPr>
                <w:rFonts w:ascii="Times New Roman" w:hAnsi="Times New Roman" w:cs="Times New Roman"/>
                <w:color w:val="000000"/>
                <w:sz w:val="20"/>
                <w:szCs w:val="20"/>
                <w:lang w:val="en-US"/>
              </w:rPr>
              <w:t>]</w:t>
            </w:r>
          </w:p>
        </w:tc>
        <w:tc>
          <w:tcPr>
            <w:tcW w:w="1440" w:type="dxa"/>
            <w:shd w:val="clear" w:color="auto" w:fill="auto"/>
            <w:hideMark/>
          </w:tcPr>
          <w:p w14:paraId="33B69D3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r w:rsidRPr="000C26B9">
              <w:rPr>
                <w:rFonts w:ascii="Times New Roman" w:hAnsi="Times New Roman" w:cs="Times New Roman"/>
                <w:color w:val="000000"/>
                <w:sz w:val="20"/>
                <w:szCs w:val="20"/>
                <w:lang w:val="en-US"/>
              </w:rPr>
              <w:br/>
              <w:t xml:space="preserve"> </w:t>
            </w:r>
          </w:p>
        </w:tc>
        <w:tc>
          <w:tcPr>
            <w:tcW w:w="1194" w:type="dxa"/>
            <w:shd w:val="clear" w:color="auto" w:fill="auto"/>
            <w:noWrap/>
            <w:hideMark/>
          </w:tcPr>
          <w:p w14:paraId="7FB920A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7C26041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597923A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1759AA64"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84</w:t>
            </w:r>
          </w:p>
        </w:tc>
        <w:tc>
          <w:tcPr>
            <w:tcW w:w="1472" w:type="dxa"/>
            <w:shd w:val="clear" w:color="auto" w:fill="auto"/>
            <w:hideMark/>
          </w:tcPr>
          <w:p w14:paraId="65EA874E"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373C60E7" w14:textId="77777777" w:rsidTr="00D05366">
        <w:trPr>
          <w:trHeight w:val="512"/>
        </w:trPr>
        <w:tc>
          <w:tcPr>
            <w:tcW w:w="1327" w:type="dxa"/>
            <w:shd w:val="clear" w:color="auto" w:fill="auto"/>
            <w:noWrap/>
            <w:hideMark/>
          </w:tcPr>
          <w:p w14:paraId="008FB43E" w14:textId="5A0462FB"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Anetor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{"citationItems":[{"id":"ITEM-1","itemData":{"DOI":"10.3389/fpubh.2016.00114","abstract":"Cadmium (Cd) has recently emerged as a major concern not only in environmental toxicology but also in metabolic diseases such as diabetes mellitus and its complications. Conflicting data aside, these studies have not been examined in a clinical population undergoing management as well as possible modulation by the prominent metabolic antagonist of Cd such as zinc (Zn). This study examined the relationship between cadmium levels, glycemic control, and renal pathology in established type II diabetic patients with focus on populations exposed to modern environmental health hazards (MEHHs). Sixty-five participants, consisting of 45 type-2 diabetics and 20 non-diabetics were enrolled for the study, mean age 61.51 +/- 5.27 years. Glycated hemoglobin (HbAlc) was used to classify them into three sub-groups: (A) good glycemic control (44.4%), (B) fair glycemic control (24.4%), and (C) poor glycemic control (31.196). Plasma levels of glucose, Cd, Zn, HbAlc, creatinine, urinary creatinine, microalbuminuria, and estimated glomerular filtration rate (eGFR) were determined in all participants using standard methods. Fasting plasma glucose was higher in diabetics than in non-diabetics (p = 0.000) as well as Zn level, though not significantly. Interestingly, Cd level, Cd/Zn ratio, and urinary creatinine were significantly lower in diabetics than in non-diabetics. The group with poor glycemic control (C) had significantly higher Cd level compared to the one with good glycemic control (group A). The renal function revealed that microalbuminuria and urinary albumin/creatinine ratio (UACR) was significantly higher in diabetics than in non-diabetics, while eGFR was found to be similar in both diabetics and non-diabetics. UACR inversely correlated with Cd level, while plasma creatinine level positively correlated with Cd but not significantly. Correlation between Cd and HbAlc revealed non-significant inverse correlation (r = 0.007; p &gt; 0.05), while Zn showed a significant inverse correlation with Cd (r = 0.317; p &lt; 0.014). The lower Cd level in diabetics compared to non-diabetics probably reflects the modulating effect of Zn in treated diabetics given nutritional education in addition to their regular regime, including good sources of Zn. The renal insufficiency with increasing Cd level may suggest that the progression of renal impairment may not be responsive to the putative modulating effect of Zn.","author":[{"dropping-particle":"","family":"Anetor","given":"J I","non-dropping-particle":"","parse-names":false,"suffix":""},{"dropping-particle":"","family":"Uche","given":"C Z","non-dropping-particle":"","parse-names":false,"suffix":""},{"dropping-particle":"","family":"Ayita","given":"E B","non-dropping-particle":"","parse-names":false,"suffix":""},{"dropping-particle":"","family":"Adedapo","given":"S K","non-dropping-particle":"","parse-names":false,"suffix":""},{"dropping-particle":"","family":"Adeleye","given":"J O","non-dropping-particle":"","parse-names":false,"suffix":""},{"dropping-particle":"","family":"Anetor","given":"G O","non-dropping-particle":"","parse-names":false,"suffix":""},{"dropping-particle":"","family":"Akinlade","given":"S K","non-dropping-particle":"","parse-names":false,"suffix":""}],"container-title":"Frontiers in Public Health","id":"ITEM-1","issued":{"date-parts":[["2016"]]},"note":"Anetor, John I. Uche, Chukwuemelie Z. Ayita, Emmanuel B. Adedapo, Solomon K. Adeleye, Jokotade O. Anetor, Gloria O. Akinlade, Sola K.\n2296-2565","title":"Cadmium Level, Glycemic Control, and Indices of Renal Function in Treated Type NN Diabetics: Implications for Polluted Environments","type":"article-journal","volume":"4"},"uris":["http://www.mendeley.com/documents/?uuid=a69e855d-4741-4218-b2e7-3ac2787b93f4"]}],"mendeley":{"formattedCitation":"(83)","manualFormatting":"[21","plainTextFormattedCitation":"(83)","previouslyFormattedCitation":"(87)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4024ED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Case-control</w:t>
            </w:r>
          </w:p>
        </w:tc>
        <w:tc>
          <w:tcPr>
            <w:tcW w:w="1194" w:type="dxa"/>
            <w:shd w:val="clear" w:color="auto" w:fill="auto"/>
            <w:noWrap/>
            <w:hideMark/>
          </w:tcPr>
          <w:p w14:paraId="07968CC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noWrap/>
            <w:hideMark/>
          </w:tcPr>
          <w:p w14:paraId="35A3A65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62322DD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and healthy controls</w:t>
            </w:r>
          </w:p>
        </w:tc>
        <w:tc>
          <w:tcPr>
            <w:tcW w:w="850" w:type="dxa"/>
            <w:shd w:val="clear" w:color="auto" w:fill="auto"/>
            <w:hideMark/>
          </w:tcPr>
          <w:p w14:paraId="3A15706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65</w:t>
            </w:r>
          </w:p>
        </w:tc>
        <w:tc>
          <w:tcPr>
            <w:tcW w:w="1472" w:type="dxa"/>
            <w:shd w:val="clear" w:color="auto" w:fill="auto"/>
            <w:noWrap/>
            <w:hideMark/>
          </w:tcPr>
          <w:p w14:paraId="63866E2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2F443F9E" w14:textId="77777777" w:rsidTr="00D05366">
        <w:trPr>
          <w:trHeight w:val="315"/>
        </w:trPr>
        <w:tc>
          <w:tcPr>
            <w:tcW w:w="1327" w:type="dxa"/>
            <w:shd w:val="clear" w:color="auto" w:fill="auto"/>
            <w:noWrap/>
            <w:hideMark/>
          </w:tcPr>
          <w:p w14:paraId="225E4121" w14:textId="3879F05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 xml:space="preserve">Angamo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{"citationItems":[{"id":"ITEM-1","itemData":{"DOI":"10.1371/journal.pone.0061759","ISBN":"1932-6203","abstract":"Background: Good glycemic control reduces the risk of diabetic complications. Despite this, achieving good glycemic control remains a challenge in diabetic patients. The objective of this study is to identify determinants of glycemic control among insulin treated diabetic patients at Jimma University Hospital, Southwest Ethiopia. Methods: Hospital-based cross-sectional study was conducted on systematically sampled 284 insulin-treated diabetic patients with a regular follow up. Data was collected by interviewing patients during hospital visits and reviewing respective databases of September 2010 to December 2011. Data collection took place from February 20 to May 20, 2012. Poor glycemic control was defined as fasting blood sugar (FBS) &gt;= 126 mg/dL. Binary logistic regression analysis was conducted to identify predictors of poor glycemic control. Results: Patients had a mean age of 41.37 (+/- 15.08) years, 58.5% were males, the mean duration of insulin treatment was 4.9 (+/- 5.1) years, 18.3% achieved good glycemic control (FBS &lt;= 126 mg/dL), 95% self-reported repeated use of disposable insulin syringe-needle and 48% correctly rotating insulin injection sites. Most (83.1%) of study participants had one or more complications. On multivariable logistic regression analyses, body weight of &gt;70 Kg (AOR = 0.21; P&lt;0.001), total daily dose of insulin &lt;= 35 IU/day (AOR = 0.26; P&lt;0.001), total daily dose variation without checking glycemic level (AOR = 3.39; P = 0.020), knowledge deficit about signs and symptoms of hyperglycemia (AOR = 3.60; P = 0.004), and non-adherence to dietary management (AOR = 0.35; P = 0.005) were independent predictors of poor glycemic control. Conclusions: The proportion of patients with poor glycemic control was high, which resulted in the development of one or more complications regardless of duration on insulin treatment. Hence, appropriate management of patients focusing on the relevant associated factors and independent predictors of poor glycemic control would be of great benefit in glycemic control.","author":[{"dropping-particle":"","family":"Angamo","given":"M T","non-dropping-particle":"","parse-names":false,"suffix":""},{"dropping-particle":"","family":"Melese","given":"B H","non-dropping-particle":"","parse-names":false,"suffix":""},{"dropping-particle":"","family":"Ayen","given":"W Y","non-dropping-particle":"","parse-names":false,"suffix":""}],"container-title":"PLoS One","id":"ITEM-1","issue":"4","issued":{"date-parts":[["2013"]]},"note":"Angamo, Mulugeta Tarekegn Melese, Belete Habte Ayen, Wubeante Yenet\nAngamo, Mulugeta/O-9568-2014\nAngamo, Mulugeta/0000-0002-8604-6258","title":"Determinants of Glycemic Control among Insulin Treated Diabetic Patients in Southwest Ethiopia: Hospital Based Cross Sectional Study","type":"article-journal","volume":"8"},"uris":["http://www.mendeley.com/documents/?uuid=1969c6c4-c93d-456b-afe6-276358a9bdad"]}],"mendeley":{"formattedCitation":"(84)","manualFormatting":"[22","plainTextFormattedCitation":"(84)","previouslyFormattedCitation":"(88)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4F5663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255EC33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3F73E52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5C2AF0A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765EBDD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284</w:t>
            </w:r>
          </w:p>
        </w:tc>
        <w:tc>
          <w:tcPr>
            <w:tcW w:w="1472" w:type="dxa"/>
            <w:shd w:val="clear" w:color="auto" w:fill="auto"/>
            <w:hideMark/>
          </w:tcPr>
          <w:p w14:paraId="2BA68B8C"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139CDE2F" w14:textId="77777777" w:rsidTr="00D05366">
        <w:trPr>
          <w:trHeight w:val="630"/>
        </w:trPr>
        <w:tc>
          <w:tcPr>
            <w:tcW w:w="1327" w:type="dxa"/>
            <w:shd w:val="clear" w:color="auto" w:fill="auto"/>
            <w:noWrap/>
            <w:hideMark/>
          </w:tcPr>
          <w:p w14:paraId="68496E5B" w14:textId="4C18FCF8"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Anyakudo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{"citationItems":[{"id":"ITEM-1","itemData":{"DOI":"10.9734/BJAST/2014/10271","ISSN":"22310843","abstract":"This experimentally-controlled designed study investigated the effects of selected food processing methods: boiling, flouring, frying, pounding and roasting on proximate nutrient compositions of white yam (Diascorea rotundata)-based diets and postprandial glycemic profiles in male type 2 diabetic Nigerians. Proximate composition of yam meals (raw and processed) and 50 g digestible carbohydrates of served portions were determined and analyzed using standard methods of food analysis. The glycemic index (GI) was determined using 20 volunteers (10 type 2 diabetic patients and ten healthy (control) subjects; age range 30-70 years) who consumed served portions of each processed meals containing 50 g digestible carbohydrates. Postprandial capillary blood glucose concentrations taken half hourly for two hours using glucometer were used to construct the mean incremental glycemic response (GR) curve from which the GI was calculated. Product of each processing method was classified into low or high GI diet based on the international GI classification of foods while the glycemic profile to each processed meal was based on the pattern of the mean postprandial glycemic responses. Fibre, protein and calorie contents of the processed yam meals increased significantly (P≤0.05) compared with the raw meal while their ash and moisture contents decreased according to the degree and extent of exposure to heat. Roasting of yam gave the highest GI (93.3±4.0%) while frying gave the lowest GI (36.2±2.7%). Postprandial glycemic response patterns (glycemic profile) varied with the different processing methods: High-GI meal induced quick GR with robust (undesirable) glycemic profile while low-GI meal caused delayed GR with low (desirable) glycemic profile. Methods of food processing improved or worsened glycemic profile in type 2 diabetic Nigerians depending on their degree and extent of alteration of food proximate composition, glycemic index values and the postprandial glycemic responses. Dietary recommendation for diabetics should focus both on the source of carbohydrates and the processing method(s) which favor low-GI diets and desirable impact on glycemic profile.","author":[{"dropping-particle":"","family":"Anyakudo","given":"M M C","non-dropping-particle":"","parse-names":false,"suffix":""}],"container-title":"British Journal of Applied Science &amp; Technology","id":"ITEM-1","issue":"27","issued":{"date-parts":[["2014"]]},"note":"Accession Number: 20143380304. Anyakudo, M. M. C. (author); Email Address: micmagkudos@yahoo.com. Issue Info: 4, 27. Publication Date: 20140101. Note: 28. Number of Pages: 11. Document Type: Journal Article. Language: English. Subject Subsets: Human Nutrition; Tropical Diseases; Horticultural Science; CAB Abstracts 1973-Current; Global Health 1973- Current; Nutrition and Food Sciences Database. Has References: 28.","page":"3995-4005","publisher":"SCIENCEDOMAIN International","publisher-place":"Department of Physiology, College of Health Sciences, Bowen University, P.M.B 284, Iwo, Osun State, Nigeria.","title":"Effects of food processing methods on diets proximate nutrient composition and glycemic profile in male type 2 diabetic subjects.","type":"article-journal","volume":"4"},"uris":["http://www.mendeley.com/documents/?uuid=ad9d3e72-7509-4fd7-b999-e7ce36621d51"]}],"mendeley":{"formattedCitation":"(85)","manualFormatting":"[23","plainTextFormattedCitation":"(85)","previouslyFormattedCitation":"(89)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41B90B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Experimental controlled study </w:t>
            </w:r>
          </w:p>
        </w:tc>
        <w:tc>
          <w:tcPr>
            <w:tcW w:w="1194" w:type="dxa"/>
            <w:shd w:val="clear" w:color="auto" w:fill="auto"/>
            <w:noWrap/>
            <w:hideMark/>
          </w:tcPr>
          <w:p w14:paraId="108BBFC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1238" w:type="dxa"/>
            <w:shd w:val="clear" w:color="auto" w:fill="auto"/>
            <w:noWrap/>
            <w:hideMark/>
          </w:tcPr>
          <w:p w14:paraId="5C4831F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58B0DAC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Male Type 2 diabetes</w:t>
            </w:r>
          </w:p>
        </w:tc>
        <w:tc>
          <w:tcPr>
            <w:tcW w:w="850" w:type="dxa"/>
            <w:shd w:val="clear" w:color="auto" w:fill="auto"/>
            <w:hideMark/>
          </w:tcPr>
          <w:p w14:paraId="13C67B5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w:t>
            </w:r>
          </w:p>
        </w:tc>
        <w:tc>
          <w:tcPr>
            <w:tcW w:w="1472" w:type="dxa"/>
            <w:shd w:val="clear" w:color="auto" w:fill="auto"/>
            <w:hideMark/>
          </w:tcPr>
          <w:p w14:paraId="407640B3"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postprandial glycemic index of food processing methods</w:t>
            </w:r>
          </w:p>
        </w:tc>
      </w:tr>
      <w:tr w:rsidR="000F54D9" w:rsidRPr="000C26B9" w14:paraId="42F16BDF" w14:textId="77777777" w:rsidTr="00D05366">
        <w:trPr>
          <w:trHeight w:val="315"/>
        </w:trPr>
        <w:tc>
          <w:tcPr>
            <w:tcW w:w="1327" w:type="dxa"/>
            <w:shd w:val="clear" w:color="auto" w:fill="auto"/>
            <w:noWrap/>
            <w:hideMark/>
          </w:tcPr>
          <w:p w14:paraId="04046BAC" w14:textId="2B6904A2"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Asfaw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{"citationItems":[{"id":"ITEM-1","itemData":{"DOI":"10.4103/2045-080x.137542","ISSN":"2045-080X","abstract":"&lt;b&gt;Background:&lt;/b&gt; Prevalence of type II diabetes mellitus(T2DM) is substantially increasing in Ethiopia but there are no studies on its drug therapy.&lt;br&gt; &lt;b&gt;Objective:&lt;/b&gt; To assess drug therapy for T2DM and check association between fasting blood glucose levels with patient demographics, clinical characteristics and medications.&lt;br&gt; &lt;b&gt;Materials&lt;/b&gt; &lt;b&gt;and&lt;/b&gt; &lt;b&gt;Methods:&lt;/b&gt; A cross-sectional institution based study was conducted on T2DM patients over a 1 month period using patient chart review and key informant interview at the diabetes clinic of Tikur Anbessa Specialized Hospital (TASH).&lt;br&gt; &lt;b&gt;Results:&lt;/b&gt; Of 103 patients enrolled females accounted 59.2%. The mean age was 52.2 years and 96.12% of patients were from Addis Ababa. The mean fasting blood glucose (FBG) and body mass index (BMI) were 155.99 mg/dl and 26.4 kg/m &lt;sup&gt;2&lt;/sup&gt; respectively. About 51.45% of the patients were overweight; and neutral protamine hagedorn insuline (NPH) (56.3%), metformin plus glibenclamide (19.4%) and metformin (10.7%) were the most common drug therapies. But there was no significant association of FBG levels of patients with either, gender, age, BMI or medications.&lt;br&gt;&lt;b&gt;Conclusions:&lt;/b&gt; The drug therapy at the diabetes clinic was in line with recommendations of International Diabetes Federation (IDF)despite lack of uniform guideline.","author":[{"dropping-particle":"","family":"Hawaze","given":"Segewkal","non-dropping-particle":"","parse-names":false,"suffix":""},{"dropping-particle":"","family":"Anshabo","given":"AbelTesfaye","non-dropping-particle":"","parse-names":false,"suffix":""},{"dropping-particle":"","family":"Asfaw","given":"AlemsegedAyele","non-dropping-particle":"","parse-names":false,"suffix":""},{"dropping-particle":"","family":"Mamo","given":"NahomMulugeta","non-dropping-particle":"","parse-names":false,"suffix":""}],"container-title":"Archives of Pharmacy Practice","id":"ITEM-1","issue":"3","issued":{"date-parts":[["2014"]]},"page":"113","title":"Assessment of type II diabetes mellitus drug therapy in diabetes clinic of a tertiary care teaching hospital in Addis Ababa","type":"article-journal","volume":"5"},"uris":["http://www.mendeley.com/documents/?uuid=a6ddee9e-7519-4b07-9d8a-eef9f6704b78"]}],"mendeley":{"formattedCitation":"(86)","manualFormatting":"[24","plainTextFormattedCitation":"(86)","previouslyFormattedCitation":"(90)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38A35A9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6DD7E431"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1238" w:type="dxa"/>
            <w:shd w:val="clear" w:color="auto" w:fill="auto"/>
            <w:noWrap/>
            <w:hideMark/>
          </w:tcPr>
          <w:p w14:paraId="0E5A1D9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322F0CF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52104B8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103</w:t>
            </w:r>
          </w:p>
        </w:tc>
        <w:tc>
          <w:tcPr>
            <w:tcW w:w="1472" w:type="dxa"/>
            <w:shd w:val="clear" w:color="auto" w:fill="auto"/>
            <w:noWrap/>
            <w:hideMark/>
          </w:tcPr>
          <w:p w14:paraId="562E229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766EC093" w14:textId="77777777" w:rsidTr="00D05366">
        <w:trPr>
          <w:trHeight w:val="315"/>
        </w:trPr>
        <w:tc>
          <w:tcPr>
            <w:tcW w:w="1327" w:type="dxa"/>
            <w:shd w:val="clear" w:color="auto" w:fill="auto"/>
            <w:noWrap/>
            <w:hideMark/>
          </w:tcPr>
          <w:p w14:paraId="42C41743" w14:textId="3861AA36"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Awadalla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{"citationItems":[{"id":"ITEM-1","itemData":{"DOI":"10.1016/j.dsx.2017.07.039","ISSN":"18780334","PMID":"28789834","abstract":"Background Diabetes mellitus (DM) is a major health problem in Sudan and is a leading cause of morbidity and mortality. The objective of this study is to determine the prevalence of complications of type 2 diabetes across different cities in the country. Methods Individuals with type 2 diabetes, who have been on treatment for DM for at least one year and volunteered to participate, were selected from two diabetes centers in Sudan (Khartoum and Atbara). Participants were interviewed using standardized pretested questionnaire to record medical history, socio-demographic, life style characteristics and presence of complications of diabetes. Results Four hundred and twenty four individuals with T2DM were included in this study (50.7% males and 49.3% females). Good glycemic control (HbA1c &lt;7) was found in 15.7%. Hypertension was reported in 39.9% and myocardial infarction in 5.9%, while high cholesterol and triglyceride noted in 59.9%, 32.5% respectively. Low HDL was noted in 52.6%. Other complications like peripheral neuropathy, retinopathy and diabetic foot were observed in 68.2%, 72.6% and 12.7% respectively. Factors significantly associated with these complications were longer duration of diabetes (P &lt; 0.001), and living in urban areas (P &lt; 0.004). Conclusion High prevalence of complications of type 2 diabetes were observed especially in those with longer duration of diabetes and poor control.","author":[{"dropping-particle":"","family":"Awadalla","given":"Heitham","non-dropping-particle":"","parse-names":false,"suffix":""},{"dropping-particle":"","family":"Noor","given":"Sufian K.","non-dropping-particle":"","parse-names":false,"suffix":""},{"dropping-particle":"","family":"Elmadhoun","given":"Wadie M.","non-dropping-particle":"","parse-names":false,"suffix":""},{"dropping-particle":"","family":"Almobarak","given":"Ahmed O.","non-dropping-particle":"","parse-names":false,"suffix":""},{"dropping-particle":"","family":"Elmak","given":"Nehad E.","non-dropping-particle":"","parse-names":false,"suffix":""},{"dropping-particle":"","family":"Abdelaziz","given":"Sulaf I.","non-dropping-particle":"","parse-names":false,"suffix":""},{"dropping-particle":"","family":"Sulaiman","given":"Amel A.","non-dropping-particle":"","parse-names":false,"suffix":""},{"dropping-particle":"","family":"Ahmed","given":"Mohamed H.","non-dropping-particle":"","parse-names":false,"suffix":""}],"container-title":"Diabetes and Metabolic Syndrome: Clinical Research and Reviews","id":"ITEM-1","issued":{"date-parts":[["2017"]]},"page":"S1047-S1051","title":"Diabetes complications in Sudanese individuals with type 2 diabetes: Overlooked problems in sub-Saharan Africa?","type":"article-journal","volume":"11"},"uris":["http://www.mendeley.com/documents/?uuid=ac1d7393-3243-4515-8ee8-941b1bd9b2f7"]}],"mendeley":{"formattedCitation":"(87)","manualFormatting":"[25","plainTextFormattedCitation":"(87)","previouslyFormattedCitation":"(91)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77BD499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33BD276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7A9D9CD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Sudan</w:t>
            </w:r>
          </w:p>
        </w:tc>
        <w:tc>
          <w:tcPr>
            <w:tcW w:w="1761" w:type="dxa"/>
            <w:shd w:val="clear" w:color="auto" w:fill="auto"/>
            <w:hideMark/>
          </w:tcPr>
          <w:p w14:paraId="0B97D38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5A9BBF6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424</w:t>
            </w:r>
          </w:p>
        </w:tc>
        <w:tc>
          <w:tcPr>
            <w:tcW w:w="1472" w:type="dxa"/>
            <w:shd w:val="clear" w:color="auto" w:fill="auto"/>
            <w:noWrap/>
            <w:hideMark/>
          </w:tcPr>
          <w:p w14:paraId="240BDEC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716E3DCE" w14:textId="77777777" w:rsidTr="00D05366">
        <w:trPr>
          <w:trHeight w:val="315"/>
        </w:trPr>
        <w:tc>
          <w:tcPr>
            <w:tcW w:w="1327" w:type="dxa"/>
            <w:shd w:val="clear" w:color="auto" w:fill="auto"/>
            <w:noWrap/>
            <w:hideMark/>
          </w:tcPr>
          <w:p w14:paraId="11DEB566" w14:textId="07129163"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Awadalla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{"citationItems":[{"id":"ITEM-1","itemData":{"DOI":"10.1016/j.dsx.2018.06.004","ISSN":"18780334","PMID":"29954711","abstract":"Background: Diabetes mellitus (DM) is a major health problem in Sudan and is a leading cause of morbidity and mortality. Dyslipidemia is a major complication of diabetes and an important risk factor for cardiovascular disease (CVD). The objective of this study was to determine the prevalence of dyslipidemia and its co-relation with the glycemic control in individuals with diabetes in River Nile State, Sudan. Methods: Individuals with diabetes attended, Naserudin Karamalla Diabetic (NKDM) Centre, in Atbara teaching hospital during study period, who volunteered to participate were included. Only those on treatment for DM for at least one year were included. Venous samples were collected for cholesterol, triglycerides, HDL, LDL, blood glucose and Glycosylated hemoglobin. Participants were interviewed using standardized pretested questionnaire to record medical history and sociodemographic characteristics. Blood pressure, body mass index (BMI) and waist circumference were measured. Results: A total of 188 individuals were included. The mean age was 49.5 + 13.9 and (128) 68.1% were females. Most patients were having DM for at least 3–5 years 69 (36.7%). Poor diabetes control (HbA1c &gt;7) was recorded in 87.2%, hypercholesterolemia, hypertriglyceridemia and high LDL were identified in 36.6%, 27.7% and 26.6% respectively. In addition, HDL was low in 61.2% of patients. Conclusion: Low HDL is a prominent feature in two thirds of individuals with diabetes, while high cholesterol and high triglyceride were seen in over one quarter.","author":[{"dropping-particle":"","family":"Awadalla","given":"Heitham","non-dropping-particle":"","parse-names":false,"suffix":""},{"dropping-particle":"","family":"Noor","given":"Sufian K.","non-dropping-particle":"","parse-names":false,"suffix":""},{"dropping-particle":"","family":"Elmadhoun","given":"Wadie M.","non-dropping-particle":"","parse-names":false,"suffix":""},{"dropping-particle":"","family":"Bushara","given":"Sarra O.","non-dropping-particle":"","parse-names":false,"suffix":""},{"dropping-particle":"","family":"Almobarak","given":"Ahmed O.","non-dropping-particle":"","parse-names":false,"suffix":""},{"dropping-particle":"","family":"Sulaiman","given":"Amel Abdalrhim","non-dropping-particle":"","parse-names":false,"suffix":""},{"dropping-particle":"","family":"Ahmed","given":"Mohamed H.","non-dropping-particle":"","parse-names":false,"suffix":""}],"container-title":"Diabetes and Metabolic Syndrome: Clinical Research and Reviews","id":"ITEM-1","issue":"6","issued":{"date-parts":[["2018"]]},"page":"961-964","title":"Comparison of serum lipid profile in type 2 diabetes with and without adequate diabetes control in Sudanese population in north of Sudan","type":"article-journal","volume":"12"},"uris":["http://www.mendeley.com/documents/?uuid=ad568621-4767-4477-9004-cd804df6c490"]}],"mendeley":{"formattedCitation":"(88)","manualFormatting":"[26","plainTextFormattedCitation":"(88)","previouslyFormattedCitation":"(92)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7E1D66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1DEB312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62C9185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Sudan</w:t>
            </w:r>
          </w:p>
        </w:tc>
        <w:tc>
          <w:tcPr>
            <w:tcW w:w="1761" w:type="dxa"/>
            <w:shd w:val="clear" w:color="auto" w:fill="auto"/>
            <w:hideMark/>
          </w:tcPr>
          <w:p w14:paraId="57B8329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20-75 years</w:t>
            </w:r>
          </w:p>
        </w:tc>
        <w:tc>
          <w:tcPr>
            <w:tcW w:w="850" w:type="dxa"/>
            <w:shd w:val="clear" w:color="auto" w:fill="auto"/>
            <w:hideMark/>
          </w:tcPr>
          <w:p w14:paraId="5079113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188</w:t>
            </w:r>
          </w:p>
        </w:tc>
        <w:tc>
          <w:tcPr>
            <w:tcW w:w="1472" w:type="dxa"/>
            <w:shd w:val="clear" w:color="auto" w:fill="auto"/>
            <w:noWrap/>
            <w:hideMark/>
          </w:tcPr>
          <w:p w14:paraId="4F9710D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27411C82" w14:textId="77777777" w:rsidTr="00D05366">
        <w:trPr>
          <w:trHeight w:val="620"/>
        </w:trPr>
        <w:tc>
          <w:tcPr>
            <w:tcW w:w="1327" w:type="dxa"/>
            <w:shd w:val="clear" w:color="auto" w:fill="auto"/>
            <w:noWrap/>
            <w:hideMark/>
          </w:tcPr>
          <w:p w14:paraId="2D45F409" w14:textId="7DF96E9B"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Awodele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{"citationItems":[{"id":"ITEM-1","itemData":{"DOI":"10.4314/ahs.v15i2.26","ISBN":"1680-6905","abstract":"Background: Poor adherence is an obstacle in therapeutic control of diabetes. Despite the advances in the treatment of diabetes mellitus over the years, diabetes places an immense burden on the individuals living with the condition, their families and the overall health care system. Objective: Evaluation of the impact of medication adherence on the clinical outcomes of type 2 diabetes patients at Alimosho general hospital, Igando Lagos state. Method: The medication adherence study was both descriptive (retrospective) and prospective. The retrospective study assessed the prevalence of medication non-adherence leading to poor glycemic control. This involved the review of case notes of one-hundred and fifty two randomly selected patients. Prospective study was done by counselling and educating the patients on medication adherence and assessing their medication adherence and the impact of medication adherence on glycemic control. Results: The proportions of females/males with type 2 DM was found to be 69% and 31% respectively. 51.32% of these patients viewed their medications to be unaffordable. 56.6% of the patient population were 61 years and above in age. There was a significant relationship between patient age, gender and adherence to medication. There was however no significant P &gt;= 0.05 association between educational level and adherence. Health education and counselling resulted in adherence rate and clinical parameters improvements. Conclusion: Non-adherence is a major factor that could lead to morbidity and mortality in diabetic patients. The overall improvement in adherence rate of 86.8% was observed with a decline in non-adherence rate after interventions.","author":[{"dropping-particle":"","family":"Awodele","given":"O","non-dropping-particle":"","parse-names":false,"suffix":""},{"dropping-particle":"","family":"Osuolale","given":"J A","non-dropping-particle":"","parse-names":false,"suffix":""}],"container-title":"African Health Sciences","id":"ITEM-1","issue":"2","issued":{"date-parts":[["2015"]]},"note":"Awodele, Olufunsho Osuolale, Jemeela A.\n1729-0503","page":"513-522","title":"Medication adherence in type 2 diabetes patients: study of patients in Alimosho General Hospital, Igando, Lagos, Nigeria","type":"article-journal","volume":"15"},"uris":["http://www.mendeley.com/documents/?uuid=cbcb0152-9979-4c6a-8e04-4932e42fe85c"]}],"mendeley":{"formattedCitation":"(89)","manualFormatting":"[27","plainTextFormattedCitation":"(89)","previouslyFormattedCitation":"(93)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r w:rsidRPr="000C26B9">
              <w:rPr>
                <w:rFonts w:ascii="Times New Roman" w:hAnsi="Times New Roman" w:cs="Times New Roman"/>
                <w:color w:val="000000"/>
                <w:sz w:val="20"/>
                <w:szCs w:val="20"/>
                <w:lang w:val="en-US"/>
              </w:rPr>
              <w:t xml:space="preserve">            </w:t>
            </w:r>
          </w:p>
        </w:tc>
        <w:tc>
          <w:tcPr>
            <w:tcW w:w="1440" w:type="dxa"/>
            <w:shd w:val="clear" w:color="auto" w:fill="auto"/>
            <w:hideMark/>
          </w:tcPr>
          <w:p w14:paraId="6FAFBBD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Descriptive and prospective study </w:t>
            </w:r>
          </w:p>
        </w:tc>
        <w:tc>
          <w:tcPr>
            <w:tcW w:w="1194" w:type="dxa"/>
            <w:shd w:val="clear" w:color="auto" w:fill="auto"/>
            <w:noWrap/>
            <w:hideMark/>
          </w:tcPr>
          <w:p w14:paraId="43C5CDEB"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16798DC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5042051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hideMark/>
          </w:tcPr>
          <w:p w14:paraId="0FC9CA0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152</w:t>
            </w:r>
          </w:p>
        </w:tc>
        <w:tc>
          <w:tcPr>
            <w:tcW w:w="1472" w:type="dxa"/>
            <w:shd w:val="clear" w:color="auto" w:fill="auto"/>
            <w:hideMark/>
          </w:tcPr>
          <w:p w14:paraId="4B582863"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medication adherence</w:t>
            </w:r>
          </w:p>
          <w:p w14:paraId="10124080" w14:textId="77777777" w:rsidR="000F54D9" w:rsidRPr="000C26B9" w:rsidRDefault="000F54D9" w:rsidP="00D05366">
            <w:pPr>
              <w:rPr>
                <w:rFonts w:ascii="Times New Roman" w:hAnsi="Times New Roman" w:cs="Times New Roman"/>
                <w:color w:val="000000"/>
                <w:sz w:val="20"/>
                <w:szCs w:val="20"/>
                <w:lang w:val="en-US"/>
              </w:rPr>
            </w:pPr>
          </w:p>
        </w:tc>
      </w:tr>
      <w:tr w:rsidR="000F54D9" w:rsidRPr="000C26B9" w14:paraId="36188B69" w14:textId="77777777" w:rsidTr="00D05366">
        <w:trPr>
          <w:trHeight w:val="1745"/>
        </w:trPr>
        <w:tc>
          <w:tcPr>
            <w:tcW w:w="1327" w:type="dxa"/>
            <w:shd w:val="clear" w:color="auto" w:fill="auto"/>
            <w:noWrap/>
            <w:hideMark/>
          </w:tcPr>
          <w:p w14:paraId="07EF6EF0" w14:textId="2DB79EFA"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Azar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{"citationItems":[{"id":"ITEM-1","itemData":{"ISBN":"14628902","ISSN":"14628902","abstract":"MEDLINE Abstract: AIMS:&lt;BR&gt;Compare effects of liraglutide 1.8 mg and sulphonylurea, both combined with metformin, on glycaemic control in patients with type 2 diabetes (T2D) fasting during Ramadan.&lt;BR&gt;MATERIALS AND METHODS:&lt;BR&gt;In this up to 33-week, open-label, active-controlled, parallel-group trial, adults [glycated haemoglobin (HbA1c) 7%-10% (53-86 mmol/mol); body mass index ≥20 kg/m(2) ; intent to fast] were randomized (1:1) ≥10 weeks before Ramadan to either switch to once-daily liraglutide (final dose 1.8 mg) or continue pre-trial sulphonylurea at maximum tolerated dose, both with metformin.&lt;BR&gt;PRIMARY ENDPOINT:&lt;BR&gt;change in fructosamine, a validated marker of short-term glycaemic control, during Ramadan.&lt;BR&gt;RESULTS:&lt;BR&gt;Similar reductions in fructosamine levels were observed for both groups during Ramadan [liraglutide (-12.8 µmol/L); sulphonylurea (-16.4 µmol/L); estimated treatment difference (ETD) 3.51 µmol/L (95% CI: -5.26; 12.28); p = 0.43], despite lower fructosamine levels in the liraglutide group at start of Ramadan. Fewer documented symptomatic hypoglycaemic episodes were reported in liraglutide-treated (2%, three subjects) versus sulphonylurea-treated patients (11%, 18 subjects). No severe hypoglycaemic episodes were reported by either group. Body weight decreased more during Ramadan with liraglutide (ETD: -0.54 kg; 95% CI: -0.94;-0.14; p = 0.0091). The proportion of patients reporting adverse events was similar between groups. Liraglutide led to greater HbA1c reduction [ETD: -0.59% (-6.40 mmol/mol), 95% CI: -0.79; -0.38%; -8.63; -4.17 mmol/mol; p &lt; 0.0001].&lt;BR&gt;CONCLUSIONS:&lt;BR&gt;Despite lower fructosamine levels and body weight at the beginning of Ramadan, use of liraglutide showed similar glycaemic improvements, fewer hypoglycaemic episodes and greater body weight reduction compared with sulphonylurea. LIRA-Ramadan provides evidence for liraglutide being safe and efficacious for management of T2D during Ramadan fasting.&lt;BR&gt;© 2016 The Authors. Diabetes, Obesity and Metabolism published by John Wiley &amp; Sons Ltd.&lt;BR&gt;","author":[{"dropping-particle":"","family":"Azar","given":"S T","non-dropping-particle":"","parse-names":false,"suffix":""},{"dropping-particle":"","family":"Echtay","given":"A","non-dropping-particle":"","parse-names":false,"suffix":""},{"dropping-particle":"","family":"Wan Bebakar","given":"W M","non-dropping-particle":"","parse-names":false,"suffix":""},{"dropping-particle":"","family":"Araj","given":"S","non-dropping-particle":"Al","parse-names":false,"suffix":""},{"dropping-particle":"","family":"Berrah","given":"A","non-dropping-particle":"","parse-names":false,"suffix":""},{"dropping-particle":"","family":"Omar","given":"M","non-dropping-particle":"","parse-names":false,"suffix":""},{"dropping-particle":"","family":"Mutha","given":"A","non-dropping-particle":"","parse-names":false,"suffix":""},{"dropping-particle":"","family":"Torníe","given":"K","non-dropping-particle":"","parse-names":false,"suffix":""},{"dropping-particle":"","family":"Kaltoft","given":"M S","non-dropping-particle":"","parse-names":false,"suffix":""},{"dropping-particle":"","family":"Shehadeh","given":"N","non-dropping-particle":"","parse-names":false,"suffix":""},{"dropping-particle":"","family":"AzarS","given":"T","non-dropping-particle":"","parse-names":false,"suffix":""},{"dropping-particle":"","family":"Echtay","given":"A","non-dropping-particle":"","parse-names":false,"suffix":""},{"dropping-particle":"","family":"Wan Bebakar","given":"W M","non-dropping-particle":"","parse-names":false,"suffix":""},{"dropping-particle":"","family":"Araj","given":"S","non-dropping-particle":"Al","parse-names":false,"suffix":""},{"dropping-particle":"","family":"Berrah","given":"A","non-dropping-particle":"","parse-names":false,"suffix":""},{"dropping-particle":"","family":"Omar","given":"M","non-dropping-particle":"","parse-names":false,"suffix":""},{"dropping-particle":"","family":"Mutha","given":"A","non-dropping-particle":"","parse-names":false,"suffix":""},{"dropping-particle":"","family":"Torníe","given":"K","non-dropping-particle":"","parse-names":false,"suffix":""},{"dropping-particle":"","family":"Kaltoft","given":"M S","non-dropping-particle":"","parse-names":false,"suffix":""},{"dropping-particle":"","family":"Shehadeh","given":"N","non-dropping-particle":"","parse-names":false,"suffix":""}],"container-title":"Diabetes, obesity &amp; metabolism","id":"ITEM-1","issue":"10","issued":{"date-parts":[["2016","1","1"]]},"note":"Note: E-mail: sazar@aub.edu.lb; CAS Registry Number: 839I73S42A; 9100L32L2N; Address: Dept. of Internal Medicine, American University of Beirut Medical Centre, Beirut, Lebanon. Dept. of Internal Medicine, Rafik Hariri University, Beirut, Lebanon.; Dept. of Medicine, Universiti Sains Malaysia, Penang, Malaysia.; Obaidulla Hospital, Ras al-Khairmah, United Arab Emirates.; Dept. of Medicine, University Hospital Bab El Oued, Algiers, Algeria.; Dept. of Diabetes and Endocrinology, University of KwaZulu-Natal, KwaZulu-Natal, Republic of South Africa.; Diabetes Care &amp;amp; Research Centre, Nagpur, India.; Medical &amp;amp; Science, GLP-1 &amp;amp; Obesity, Novo Nordisk A/S, Copenhagen, Denmark.; Medical &amp;amp; Science, GLP-1 &amp;amp; Obesity, Novo Nordisk A/S, Copenhagen, Denmark.; Pediatric Diabetes Unit at Meyer Children's Hospital, Rambam Medical Centre and Bruce Rappaport Faculty of Medicine, Technion, Haifa, Israel; Record Source: This record is provided from the MEDLINE database of the National Library of Medicine (NLM), United States. The index terms may have been modified to conform with terminology used throughout the database. Database Contributor: MEDLINE. Database Contributor ID: 27376711. Language: English. Document Type: Article. Publication Type: Journal Article. Accession Number: 27376711.","page":"1025-1033","title":"Efficacy and safety of liraglutide compared to sulphonylurea during Ramadan in patients with type 2 diabetes (LIRA-Ramadan): a randomized trial","type":"article-journal","volume":"18"},"uris":["http://www.mendeley.com/documents/?uuid=36ffa68b-cc28-403f-acf6-b585757cabb9"]}],"mendeley":{"formattedCitation":"(90)","manualFormatting":"[28","plainTextFormattedCitation":"(90)","previouslyFormattedCitation":"(94)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17</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077F9A2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Randomized, parallel, open-label, active-controlled trial</w:t>
            </w:r>
          </w:p>
        </w:tc>
        <w:tc>
          <w:tcPr>
            <w:tcW w:w="1194" w:type="dxa"/>
            <w:shd w:val="clear" w:color="auto" w:fill="auto"/>
            <w:noWrap/>
            <w:hideMark/>
          </w:tcPr>
          <w:p w14:paraId="454956A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hideMark/>
          </w:tcPr>
          <w:p w14:paraId="298F37D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Algeria,</w:t>
            </w:r>
            <w:r w:rsidRPr="000C26B9">
              <w:rPr>
                <w:rFonts w:ascii="Times New Roman" w:hAnsi="Times New Roman" w:cs="Times New Roman"/>
                <w:color w:val="000000"/>
                <w:sz w:val="20"/>
                <w:szCs w:val="20"/>
                <w:lang w:val="en-US"/>
              </w:rPr>
              <w:br/>
              <w:t>Israel,</w:t>
            </w:r>
            <w:r w:rsidRPr="000C26B9">
              <w:rPr>
                <w:rFonts w:ascii="Times New Roman" w:hAnsi="Times New Roman" w:cs="Times New Roman"/>
                <w:color w:val="000000"/>
                <w:sz w:val="20"/>
                <w:szCs w:val="20"/>
                <w:lang w:val="en-US"/>
              </w:rPr>
              <w:br/>
              <w:t>India, Lebanon, Malaysia, South Africa, and United Arab Emirates</w:t>
            </w:r>
          </w:p>
        </w:tc>
        <w:tc>
          <w:tcPr>
            <w:tcW w:w="1761" w:type="dxa"/>
            <w:shd w:val="clear" w:color="auto" w:fill="auto"/>
            <w:hideMark/>
          </w:tcPr>
          <w:p w14:paraId="765EED4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r w:rsidRPr="000C26B9">
              <w:rPr>
                <w:rFonts w:ascii="Times New Roman" w:hAnsi="Times New Roman" w:cs="Times New Roman"/>
                <w:color w:val="000000"/>
                <w:sz w:val="20"/>
                <w:szCs w:val="20"/>
                <w:lang w:val="en-US"/>
              </w:rPr>
              <w:br/>
              <w:t>18-80 years</w:t>
            </w:r>
          </w:p>
        </w:tc>
        <w:tc>
          <w:tcPr>
            <w:tcW w:w="850" w:type="dxa"/>
            <w:shd w:val="clear" w:color="auto" w:fill="auto"/>
            <w:hideMark/>
          </w:tcPr>
          <w:p w14:paraId="32C1AE6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343</w:t>
            </w:r>
          </w:p>
        </w:tc>
        <w:tc>
          <w:tcPr>
            <w:tcW w:w="1472" w:type="dxa"/>
            <w:shd w:val="clear" w:color="auto" w:fill="auto"/>
            <w:hideMark/>
          </w:tcPr>
          <w:p w14:paraId="4B4BCD87"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 international</w:t>
            </w:r>
            <w:r w:rsidRPr="000C26B9">
              <w:rPr>
                <w:rFonts w:ascii="Times New Roman" w:hAnsi="Times New Roman" w:cs="Times New Roman"/>
                <w:color w:val="000000"/>
                <w:sz w:val="20"/>
                <w:szCs w:val="20"/>
                <w:lang w:val="en-US"/>
              </w:rPr>
              <w:t xml:space="preserve"> study with sites outside sub-Saharan Africa</w:t>
            </w:r>
          </w:p>
        </w:tc>
      </w:tr>
      <w:tr w:rsidR="000F54D9" w:rsidRPr="000C26B9" w14:paraId="3F6EC778" w14:textId="77777777" w:rsidTr="00D05366">
        <w:trPr>
          <w:trHeight w:val="315"/>
        </w:trPr>
        <w:tc>
          <w:tcPr>
            <w:tcW w:w="1327" w:type="dxa"/>
            <w:shd w:val="clear" w:color="auto" w:fill="auto"/>
            <w:noWrap/>
            <w:hideMark/>
          </w:tcPr>
          <w:p w14:paraId="66A90D0A" w14:textId="25316739"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Azenabor</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{"citationItems":[{"id":"ITEM-1","itemData":{"ISBN":"1682-024X","abstract":"Objective: Diabetes mellitus has been associated with increased risk of oxidative stress. There is limited information on the significance of an early marker of oxidative stress which can reflect the total antioxidative activity, especially in poorly controlled diabetes mellitus. The aim of this study was to establish association of glycaemic control determinants and total antioxidant activity and also to evaluate the frequency of occurrence of reduced antioxidant activity in poorly controlled glycaemia. Methodology: This was a cross sectional study carried over three months. The study population consisted of two hundred type 2 diabetes mellitus patients attending the diabetic clinics of Lagos State University Teaching Hospital, Ikeja and General Hospital, Gbagada. These categories of patients were males and females between the ages of 40 and 60 years. Glycaemic control was assessed using fasting plasma glucose, fructosamine and glycosylated haemoglobin. Biochemical parameters were compared using students't test, Pearson's correlation coefficient and analysis of variance. Results: This study demonstrated reduced total antioxidant activity in Nigerian diabetics in comparison with control subjects (p &lt; 0.05) and was observed to be much lower in complicated diabetes mellitus patients. Consistent negative association of total antioxidant activity with short, medium and long term glycaemic control determinants fasting plasma glucose \"r = -0.43, p = 0.001\", fructosamine \"r = -0.42, p = 0.002'' and glycosylated haemoglobin \"r = -0.35, p = 0.030\" was observed. Conclusion: The clinical usefulness of total antioxidant activity as a surrogate marker of glycaemic control is shown. This may be useful in the early detection of diabetic complications. Significant reduction of total antioxidant activity especially among diabetics with complications suggests a possible role of this in the pathogenesis of diabetic complications.","author":[{"dropping-particle":"","family":"Azenabor","given":"A","non-dropping-particle":"","parse-names":false,"suffix":""},{"dropping-particle":"","family":"Ogbera","given":"A O","non-dropping-particle":"","parse-names":false,"suffix":""},{"dropping-particle":"","family":"Ogunyemi","given":"E O","non-dropping-particle":"","parse-names":false,"suffix":""},{"dropping-particle":"","family":"Okafor","given":"C J","non-dropping-particle":"","parse-names":false,"suffix":""}],"container-title":"Pakistan Journal of Medical Sciences","id":"ITEM-1","issue":"4","issued":{"date-parts":[["2011"]]},"note":"Azenabor, Alfred Ogbera, Anthonia O. Ogunyemi, E. O. Okafor, Chukwuma J.\nOkafor, Chukwuma/AAN-9623-2020\nOgbera, Anthonia/0000-0002-6110-794X; Okafor, Chukwuma/0000-0002-2815-1439","page":"739-743","title":"Oxidative stress and glycaemic control determinants in Type 2 DM","type":"article-journal","volume":"27"},"uris":["http://www.mendeley.com/documents/?uuid=92ef8cf7-a783-436e-bd9f-6558c617907c"]}],"mendeley":{"formattedCitation":"(91)","manualFormatting":"[29","plainTextFormattedCitation":"(91)","previouslyFormattedCitation":"(95)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DB47EB">
              <w:rPr>
                <w:rFonts w:ascii="Times New Roman" w:hAnsi="Times New Roman" w:cs="Times New Roman"/>
                <w:color w:val="000000"/>
                <w:sz w:val="20"/>
                <w:szCs w:val="20"/>
                <w:lang w:val="en-US"/>
              </w:rPr>
              <w:t>18</w:t>
            </w:r>
            <w:r>
              <w:rPr>
                <w:rFonts w:ascii="Times New Roman" w:hAnsi="Times New Roman" w:cs="Times New Roman"/>
                <w:color w:val="000000"/>
                <w:sz w:val="20"/>
                <w:szCs w:val="20"/>
                <w:lang w:val="en-US"/>
              </w:rPr>
              <w:t>]</w:t>
            </w:r>
            <w:r w:rsidRPr="000C26B9">
              <w:rPr>
                <w:rFonts w:ascii="Times New Roman" w:hAnsi="Times New Roman" w:cs="Times New Roman"/>
                <w:color w:val="000000"/>
                <w:sz w:val="20"/>
                <w:szCs w:val="20"/>
                <w:lang w:val="en-US"/>
              </w:rPr>
              <w:t xml:space="preserve">               </w:t>
            </w:r>
          </w:p>
        </w:tc>
        <w:tc>
          <w:tcPr>
            <w:tcW w:w="1440" w:type="dxa"/>
            <w:shd w:val="clear" w:color="auto" w:fill="auto"/>
            <w:hideMark/>
          </w:tcPr>
          <w:p w14:paraId="7E6626E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2FF03A5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2011</w:t>
            </w:r>
          </w:p>
        </w:tc>
        <w:tc>
          <w:tcPr>
            <w:tcW w:w="1238" w:type="dxa"/>
            <w:shd w:val="clear" w:color="auto" w:fill="auto"/>
            <w:noWrap/>
            <w:hideMark/>
          </w:tcPr>
          <w:p w14:paraId="2DFA4F1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76B9873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40-60 years</w:t>
            </w:r>
          </w:p>
        </w:tc>
        <w:tc>
          <w:tcPr>
            <w:tcW w:w="850" w:type="dxa"/>
            <w:shd w:val="clear" w:color="auto" w:fill="auto"/>
            <w:hideMark/>
          </w:tcPr>
          <w:p w14:paraId="4684281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300</w:t>
            </w:r>
          </w:p>
        </w:tc>
        <w:tc>
          <w:tcPr>
            <w:tcW w:w="1472" w:type="dxa"/>
            <w:shd w:val="clear" w:color="auto" w:fill="auto"/>
            <w:noWrap/>
            <w:hideMark/>
          </w:tcPr>
          <w:p w14:paraId="570394C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3AB65EE6" w14:textId="77777777" w:rsidTr="00D05366">
        <w:trPr>
          <w:trHeight w:val="630"/>
        </w:trPr>
        <w:tc>
          <w:tcPr>
            <w:tcW w:w="1327" w:type="dxa"/>
            <w:shd w:val="clear" w:color="auto" w:fill="auto"/>
            <w:noWrap/>
            <w:hideMark/>
          </w:tcPr>
          <w:p w14:paraId="17E71D24" w14:textId="0054875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Azubike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{"citationItems":[{"id":"ITEM-1","itemData":{"ISSN":"15966941","abstract":"Diabetic nephropathy (DN) is the leading cause of end-stage renal disease(ESRD) in advanced countries and the third commonest cause of ESRD in Nigeria. Management of diabetic ESRD adds additional economic and morbidity burden for the patient and the nation.The progression of DN can be retarded to delay commencement of renal replacement therapy if hyperglycemia, hypertension and proteinuria are controlled. Twenty-two newly-diagnosed DN patients due to type2 diabetes mellitus(8 males and 14females)were recruited for the study and followed up for 12 years. Their blood pressure (BP) and fasting blood sugar (FBS)were monitored quarterly at outpatient clinic visit while creatinine clearance (Crcl) and 24hours urine protein excretion (UPE) were assessed annually. Results were reviewed at the end of study and compared with values at initiation of study. There was significant reduction in blood pressure (BP) from onsetof study to end of follow-up (p&lt; 0.001). There were significant reductions in systolic blood pressure(SBP), diastolic blood pressure (DBP) and mean arterial pressure (p&lt;0.05). There was significant reduction in FBS (p&lt;0.01). Proteinuria increased progressively and significantly(p&lt;0.001) while Crcl decreased (p&lt;0.001). The annual rate of increase in proteinuria was 0.077g while Crcl reduced at the rate of 5.13ml/min/1.73m2/year (p&lt;0.001). Despite glycaemic andBP control, proteinuria increased while Crcl decreasedover the years but at lower rates than predicted for proteinuric diabetic patients. None of the patients needed renal replacement therapy by the end of study. Early and intensive glycaemic control, anti-hypertensive and anti-proteinuric therapies(use of angiotensin converting enzyme inhibitors-ACEIs and angiotensin receptor blockers-ARBs) can retard progressive nephropathy in Nigerian type2 diabetes mellitus patients.","author":[{"dropping-particle":"","family":"Azubike","given":"C. O.","non-dropping-particle":"","parse-names":false,"suffix":""},{"dropping-particle":"","family":"Unuigbe","given":"E. I.","non-dropping-particle":"","parse-names":false,"suffix":""}],"container-title":"Journal of Medicine and Biomedical Research","id":"ITEM-1","issue":"1","issued":{"date-parts":[["2013"]]},"page":"105-112","title":"Progression of diabetic nephropathy: A twelve-year follow-up of type2 diabetic patients","type":"article-journal","volume":"12"},"uris":["http://www.mendeley.com/documents/?uuid=4e81e9a2-eb01-492b-9cbf-f6e591a92f51"]}],"mendeley":{"formattedCitation":"(92)","manualFormatting":"[30","plainTextFormattedCitation":"(92)","previouslyFormattedCitation":"(96)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19</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85599B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Cohort study</w:t>
            </w:r>
          </w:p>
        </w:tc>
        <w:tc>
          <w:tcPr>
            <w:tcW w:w="1194" w:type="dxa"/>
            <w:shd w:val="clear" w:color="auto" w:fill="auto"/>
            <w:noWrap/>
            <w:hideMark/>
          </w:tcPr>
          <w:p w14:paraId="26F5C3D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3D66CCD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2BCD6E1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with diabetic nephropathy</w:t>
            </w:r>
          </w:p>
        </w:tc>
        <w:tc>
          <w:tcPr>
            <w:tcW w:w="850" w:type="dxa"/>
            <w:shd w:val="clear" w:color="auto" w:fill="auto"/>
            <w:hideMark/>
          </w:tcPr>
          <w:p w14:paraId="0304FFE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22</w:t>
            </w:r>
          </w:p>
        </w:tc>
        <w:tc>
          <w:tcPr>
            <w:tcW w:w="1472" w:type="dxa"/>
            <w:shd w:val="clear" w:color="auto" w:fill="auto"/>
            <w:hideMark/>
          </w:tcPr>
          <w:p w14:paraId="71D95C49"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progression glycaemia</w:t>
            </w:r>
            <w:r w:rsidRPr="000C26B9">
              <w:rPr>
                <w:rFonts w:ascii="Times New Roman" w:hAnsi="Times New Roman" w:cs="Times New Roman"/>
                <w:color w:val="000000"/>
                <w:sz w:val="20"/>
                <w:szCs w:val="20"/>
                <w:lang w:val="en-US"/>
              </w:rPr>
              <w:br/>
              <w:t>in diabetic nephropathy</w:t>
            </w:r>
          </w:p>
        </w:tc>
      </w:tr>
      <w:tr w:rsidR="000F54D9" w:rsidRPr="000C26B9" w14:paraId="63CAF8AE" w14:textId="77777777" w:rsidTr="00D05366">
        <w:trPr>
          <w:trHeight w:val="315"/>
        </w:trPr>
        <w:tc>
          <w:tcPr>
            <w:tcW w:w="1327" w:type="dxa"/>
            <w:shd w:val="clear" w:color="auto" w:fill="auto"/>
            <w:noWrap/>
            <w:hideMark/>
          </w:tcPr>
          <w:p w14:paraId="01636A36" w14:textId="543D8DE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Bello</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{"citationItems":[{"id":"ITEM-1","itemData":{"DOI":"10.11604/pamj.31/10/2019.34.123.18717","ISSN":"19378688","abstract":"Introduction: Dyslipidemia confers excess atherosclerotic cardiovascular risk in type 2 diabetes mellitus (DM) patients, and this requires prompt identification and management to reduce morbidity and mortality. This study assessed the prevalence and pattern of dyslipidemia in type 2 DM patients in Zaria, Northwestern Nigeria. Methods: This was a cross-sectional study of newly diagnosed type 2 DM patients at Ahmadu Bello University Teaching Hospital (ABUTH), Zaria. Demographic, clinical and laboratory data were extracted from the case notes of eligible patients and analyzed using STATA version 14. Continuous variables were presented as mean ± standard deviation (SD), or median and interquartile range (IQR) while categorical variables were as frequencies and percentages. Student t and chi-square tests were used to test for association at p &lt; 0.05. Results: A total of 322 subjects (161 male, 161 female) with a mean age of 53.5 ± 10.8 years partook in the study. The prevalence of dyslipidemia was 69.3%. Mixed dyslipidemia of high triglyceride (TG) and high low-density lipoprotein cholesterol (LDL-C) was present in 41.0%; high TG and low high-density lipoprotein cholesterol (HDL-C) in 2.8%; and high LDL and low HDL in 2.5%. Atherogenic dyslipidemia, isolated hypercholesterolemia and isolated low HDL-cholesterol were present in 3.4%, 2.5% and 23.6% respectively. Dyslipidemia status was not associated with age, sex, duration of DM or hypertension, obesity, and mean fasting blood sugar (FBS) and 2-hour postprandial glucose. Conclusion: the prevalence of dyslipidemia is high in the newly diagnosed type 2 DM patients and therefore, initial management should incorporate measures to control dyslipidemia.","author":[{"dropping-particle":"","family":"Bello-Ovosi","given":"B O","non-dropping-particle":"","parse-names":false,"suffix":""},{"dropping-particle":"","family":"Ovosi","given":"J O","non-dropping-particle":"","parse-names":false,"suffix":""},{"dropping-particle":"","family":"Ogunsina","given":"M A","non-dropping-particle":"","parse-names":false,"suffix":""},{"dropping-particle":"","family":"Asuke","given":"S","non-dropping-particle":"","parse-names":false,"suffix":""},{"dropping-particle":"","family":"Ibrahim","given":"M S","non-dropping-particle":"","parse-names":false,"suffix":""}],"container-title":"Pan African Medical Journal","id":"ITEM-1","issued":{"date-parts":[["2019"]]},"note":"Accession Number: 20203168721. Bello-Ovosi, B. O. (author); Ovosi, J. O. (author); Email Address: joeovosi@hotmail.com; Ogunsina, M. A. (author); Asuke, S. (author); Ibrahim, M. S. (author). Issue Info: 34. Publication Date: 20190101. Note: 52 ref. Document Type: Journal Article. Language: English. Subject Subsets: Tropical Diseases; Global Health 1973- Current; Nutrition and Food Sciences Database. CAS Registry Number: 57-88-5. Has References: 52 ref.","publisher":"African Field Epidemiology Network","publisher-place":"Department of Internal Medicine, Kaduna State University, Barau Dikko Teaching Hospital, Kaduna, Nigeria.","title":"Prevalence and pattern of dyslipidemia in patients with type 2 diabetes mellitus in Zaria, Northwestern Nigeria.","type":"article-journal","volume":"34"},"uris":["http://www.mendeley.com/documents/?uuid=2222ead0-5dcf-4aa1-adc0-646c0a64565e"]}],"mendeley":{"formattedCitation":"(93)","manualFormatting":"[31","plainTextFormattedCitation":"(93)","previouslyFormattedCitation":"(97)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5DEE462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19050F6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722D605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51D6266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1F8CF34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175</w:t>
            </w:r>
          </w:p>
        </w:tc>
        <w:tc>
          <w:tcPr>
            <w:tcW w:w="1472" w:type="dxa"/>
            <w:shd w:val="clear" w:color="auto" w:fill="auto"/>
            <w:hideMark/>
          </w:tcPr>
          <w:p w14:paraId="7D5C94F2"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 </w:t>
            </w:r>
          </w:p>
        </w:tc>
      </w:tr>
      <w:tr w:rsidR="000F54D9" w:rsidRPr="000C26B9" w14:paraId="2AF1C93C" w14:textId="77777777" w:rsidTr="00D05366">
        <w:trPr>
          <w:trHeight w:val="630"/>
        </w:trPr>
        <w:tc>
          <w:tcPr>
            <w:tcW w:w="1327" w:type="dxa"/>
            <w:shd w:val="clear" w:color="auto" w:fill="auto"/>
            <w:noWrap/>
            <w:hideMark/>
          </w:tcPr>
          <w:p w14:paraId="7CB31348" w14:textId="6D0C1F0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Biadgo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{"citationItems":[{"id":"ITEM-1","itemData":{"DOI":"10.2147/dmso.S97563","ISBN":"1178-7007","abstract":"Background: Diabetes mellitus is (DM) a global public health problem and a complex disease characterized by chronic hyperglycemia that leads to long-term macrovascular and microvascular complications. Recent studies have reported the role of hematological indices in contributing to the vascular injury in diabetic patients. Thus, the aim of this study was to determine hematological indices and their correlation with fasting blood glucose level and anthropometric measurement in type 2 DM patients in comparison with healthy controls. Methods: A comparative cross-sectional study was conducted at the chronic illness clinic of Gondar University Hospital from February to April 2015. A total of 296 participants (148 cases and 148 healthy controls) were selected using systematic random sampling technique. Data were collected using a pretested structured questionnaire. Fasting blood glucose levels and hematological indices were determined by using Bio Systems A25 and Sysmex-KX 21N analyzers, respectively. Independent sample t-test, Mann-Whitney U-test, and correlation statistics were used. A P-value,0.05 was considered as statistically significant. Result: There was significant difference in red blood cell distribution width (47.3 +/- 2.6 fL vs 45.2 +/- 3 fL) between diabetic patients and controls. Total white blood cells in 103/mu L (6.59 +/- 1.42 vs 5.56 +/- 1.38), absolute lymphocyte count in 103/mu L (2.60 +/- 0.70 vs 2.04 +/- 0.63), and absolute neutrophil count in 103/mu L (3.57 +/- 1.46 vs 3.11 +/- 1.04) increased significantly in diabetic patients compared with controls, respectively. Among platelet indices, mean platelet volume (10.4 +/- 1.1 fL vs 9.9 +/- 1.1 fL) and platelet distribution width (14.5 +/- 2.1 fL vs 13.4 +/- 2.1 fL) were found to be significantly increased in the diabetic patients (P&lt;0.05). Anthropometric measurements significantly correlated with white blood cell and platelet indices. Conclusion: The study showed statistically significant difference in some hematological parameters of diabetic patients compared to controls. Thus, hematological indices could be useful indicators of vascular complication and glycemic control in type 2 DM patients.","author":[{"dropping-particle":"","family":"Biadgo","given":"B","non-dropping-particle":"","parse-names":false,"suffix":""},{"dropping-particle":"","family":"Melku","given":"M","non-dropping-particle":"","parse-names":false,"suffix":""},{"dropping-particle":"","family":"Abebe","given":"S M","non-dropping-particle":"","parse-names":false,"suffix":""},{"dropping-particle":"","family":"Abebe","given":"M","non-dropping-particle":"","parse-names":false,"suffix":""}],"container-title":"Diabetes Metabolic Syndrome and Obesity-Targets and Therapy","id":"ITEM-1","issued":{"date-parts":[["2016"]]},"note":"Biadgo, Belete Melku, Mulugeta Abebe, Solomon Mekonnen Abebe, Molla\nAbebe, Molla/0000-0002-6405-6375","page":"91-99","title":"Hematological indices and their correlation with fasting blood glucose level and anthropometric measurements in type 2 diabetes mellitus patients in Gondar, Northwest Ethiopia","type":"article-journal","volume":"9"},"uris":["http://www.mendeley.com/documents/?uuid=9d92ee36-1a3d-47db-9964-b7268bcfc231"]}],"mendeley":{"formattedCitation":"(94)","manualFormatting":"[32","plainTextFormattedCitation":"(94)","previouslyFormattedCitation":"(98)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7CF7BCD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4713B44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noWrap/>
            <w:hideMark/>
          </w:tcPr>
          <w:p w14:paraId="59F9037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4106614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and healthy controls</w:t>
            </w:r>
          </w:p>
        </w:tc>
        <w:tc>
          <w:tcPr>
            <w:tcW w:w="850" w:type="dxa"/>
            <w:shd w:val="clear" w:color="auto" w:fill="auto"/>
            <w:hideMark/>
          </w:tcPr>
          <w:p w14:paraId="2CCF402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296</w:t>
            </w:r>
          </w:p>
        </w:tc>
        <w:tc>
          <w:tcPr>
            <w:tcW w:w="1472" w:type="dxa"/>
            <w:shd w:val="clear" w:color="auto" w:fill="auto"/>
            <w:noWrap/>
            <w:hideMark/>
          </w:tcPr>
          <w:p w14:paraId="25DD041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76332E39" w14:textId="77777777" w:rsidTr="00D05366">
        <w:trPr>
          <w:trHeight w:val="315"/>
        </w:trPr>
        <w:tc>
          <w:tcPr>
            <w:tcW w:w="1327" w:type="dxa"/>
            <w:shd w:val="clear" w:color="auto" w:fill="auto"/>
            <w:noWrap/>
            <w:hideMark/>
          </w:tcPr>
          <w:p w14:paraId="18C1BA19" w14:textId="1875E7C3"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 xml:space="preserve">Botha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{"citationItems":[{"id":"ITEM-1","itemData":{"ISBN":"16089677","abstract":"AFRICAN DEVELOPMENT Abstract: Background: Non-surgical weight management interventions are cornerstones of clinical guidelines for obese patients with type 2 diabetes, but there is a lack of systematic evidence regarding their effectiveness in the longer term. Methods: We used electronic health records to prospectively follow 23,208 patients with type 2 diabetes and obesity in a NHS Greater Glasgow and Clyde area in Scotland for up to 3 years between 2005 and 2014. Patients were stratified according to whether they were referred to and attended a lifestyle-based weight management service intervention, and by attainment of a target weight loss of at least 5kg over 7-9 sessions (\"successful completers\"). Main outcomes included change in weight, HbA1C, and diabetes medications. Results: Only 3471 potentially eligible patients were referred to the service, and less than half of those attended (n=1537). Of those who attended 7-9 sessions, &gt; 40% achieved a 5 kg weight loss. Successful completers (n=344) maintained greater weight loss (change at 3 years -8.03 kg; 95%CI -9.44;-6.62) than the phase 1 non-completers (n=729; -3.26 kg p","author":[{"dropping-particle":"","family":"Botha","given":"S","non-dropping-particle":"","parse-names":false,"suffix":""},{"dropping-particle":"","family":"Welsh","given":"P","non-dropping-particle":"","parse-names":false,"suffix":""},{"dropping-particle":"","family":"Logue","given":"J","non-dropping-particle":"","parse-names":false,"suffix":""},{"dropping-particle":"","family":"North-West University","given":"South Africa","non-dropping-particle":"","parse-names":false,"suffix":""}],"container-title":"Journal of Endocrinology, Metabolism and Diabetes of South Africa","id":"ITEM-1","issue":"1","issued":{"date-parts":[["2017","1","1"]]},"note":"Database Contributor: AFRICAN DEVELOPMENT DATABASE. Database Contributor ID: 1284094. Language: English. Publication Type: Conference / Workshop Abstract. Conference: 52nd SEMDSA Congress, 5-7 May 2017, Johannesburg, South Africa; 52nd SEMDSA Congress, 5-7 May 2017, Johannesburg, South Africa. Accession Number: 1284094.","page":"10","title":"The effect of non-surgical weight management on weight and glycaemic control in people with type 2 diabetes: Three-year outcomes from a real-life programme","type":"article","volume":"22"},"uris":["http://www.mendeley.com/documents/?uuid=b721c327-97fd-4499-8c97-3adefe919a6b"]}],"mendeley":{"formattedCitation":"(95)","manualFormatting":"[33","plainTextFormattedCitation":"(95)","previouslyFormattedCitation":"(99)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5B0D068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Cohort study</w:t>
            </w:r>
          </w:p>
        </w:tc>
        <w:tc>
          <w:tcPr>
            <w:tcW w:w="1194" w:type="dxa"/>
            <w:shd w:val="clear" w:color="auto" w:fill="auto"/>
            <w:noWrap/>
            <w:hideMark/>
          </w:tcPr>
          <w:p w14:paraId="1DBF704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5442754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Scotland</w:t>
            </w:r>
          </w:p>
        </w:tc>
        <w:tc>
          <w:tcPr>
            <w:tcW w:w="1761" w:type="dxa"/>
            <w:shd w:val="clear" w:color="auto" w:fill="auto"/>
            <w:hideMark/>
          </w:tcPr>
          <w:p w14:paraId="149B2FA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noWrap/>
            <w:hideMark/>
          </w:tcPr>
          <w:p w14:paraId="2080700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23,208</w:t>
            </w:r>
          </w:p>
        </w:tc>
        <w:tc>
          <w:tcPr>
            <w:tcW w:w="1472" w:type="dxa"/>
            <w:shd w:val="clear" w:color="auto" w:fill="auto"/>
            <w:hideMark/>
          </w:tcPr>
          <w:p w14:paraId="7A56FCF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Setting outside Sub-Saharan Africa</w:t>
            </w:r>
          </w:p>
        </w:tc>
      </w:tr>
      <w:tr w:rsidR="000F54D9" w:rsidRPr="000C26B9" w14:paraId="6DF5B64F" w14:textId="77777777" w:rsidTr="00D05366">
        <w:trPr>
          <w:trHeight w:val="1511"/>
        </w:trPr>
        <w:tc>
          <w:tcPr>
            <w:tcW w:w="1327" w:type="dxa"/>
            <w:shd w:val="clear" w:color="auto" w:fill="auto"/>
            <w:noWrap/>
            <w:hideMark/>
          </w:tcPr>
          <w:p w14:paraId="24813E37" w14:textId="19F1822D"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Bulbulia</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{"citationItems":[{"id":"ITEM-1","itemData":{"DOI":"10.1080/16089677.2019.1692471","ISSN":"1608-9677","abstract":"AFRICAN DEVELOPMENT Abstract: Background: The risk of complications from type 2 diabetes mellitus (T2DM) is high. Achieving targets reduces the morbidity and mortality. This study aims to assess whether patients at the Helen Joseph Hospital’s Diabetic Clinic are meeting the 2012 SEMDSA targets for diabetes.Methods: A retrospective clinical audit was carried out. The files of 321 patients with T2DM were reviewed. Glycated haemoglobin (HbA1c), blood pressure, abdominal circumference and lipograms were assessed.Results: The study population comprised majority black (n = 143; 44.6%) and coloured (n = 109; 34%) patients and was predominantly female (n = 200; 62.3%). The mean age was 59.4 years (SD 9.9 years). In total, 89.1% (n = 286) had hypertension, and 82.2% (n = 264) dyslipidaemia. The metabolic syndrome criteria were fulfilled by 266 (91.2%) patients. The majority did not exercise (n = 174; 56.3%). A small number smoked (n = 39; 12.5%) and used alcohol (n = 33; 10.6%). Mean HbA1c was 9.5% (SD 2.4; range 3.9-16.9%). Only 49 (15.3%) achieved the target HbA1c. Target blood pressure was achieved by 72 patients (25%). LDL target was achieved by 71 (22.6%) and abdominal circumference by 32 (11%) patients.Conclusions: Despite adequate protocols and access to tertiary medical care, a very small percentage of patients are achieving proposed targets. The reasons for this are likely multi-fold and further analysis is required to assess these","author":[{"dropping-particle":"","family":"Bulbulia","given":"S","non-dropping-particle":"","parse-names":false,"suffix":""},{"dropping-particle":"","family":"Variava","given":"F","non-dropping-particle":"","parse-names":false,"suffix":""},{"dropping-particle":"","family":"Bayat","given":"Z","non-dropping-particle":"","parse-names":false,"suffix":""}],"container-title":"Journal of Endocrinology, Metabolism and Diabetes of South Africa","id":"ITEM-1","issue":"1","issued":{"date-parts":[["2020"]]},"page":"12-17","title":"Are type 2 diabetic patients meeting targets? A Helen Joseph Hospital Diabetic Clinic Audit","type":"article-journal","volume":"25"},"uris":["http://www.mendeley.com/documents/?uuid=4a359476-c9a0-466d-a1da-b075205b0597"]}],"mendeley":{"formattedCitation":"(96)","manualFormatting":"[34","plainTextFormattedCitation":"(96)","previouslyFormattedCitation":"(100)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0D3C810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Retrospective</w:t>
            </w:r>
            <w:r w:rsidRPr="000C26B9">
              <w:rPr>
                <w:rFonts w:ascii="Times New Roman" w:hAnsi="Times New Roman" w:cs="Times New Roman"/>
                <w:color w:val="000000"/>
                <w:sz w:val="20"/>
                <w:szCs w:val="20"/>
                <w:lang w:val="en-US"/>
              </w:rPr>
              <w:br/>
              <w:t>cross sectional</w:t>
            </w:r>
            <w:r w:rsidRPr="000C26B9">
              <w:rPr>
                <w:rFonts w:ascii="Times New Roman" w:hAnsi="Times New Roman" w:cs="Times New Roman"/>
                <w:color w:val="000000"/>
                <w:sz w:val="20"/>
                <w:szCs w:val="20"/>
                <w:lang w:val="en-US"/>
              </w:rPr>
              <w:br/>
              <w:t>clinical audit</w:t>
            </w:r>
          </w:p>
        </w:tc>
        <w:tc>
          <w:tcPr>
            <w:tcW w:w="1194" w:type="dxa"/>
            <w:shd w:val="clear" w:color="auto" w:fill="auto"/>
            <w:noWrap/>
            <w:hideMark/>
          </w:tcPr>
          <w:p w14:paraId="652F849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1238" w:type="dxa"/>
            <w:shd w:val="clear" w:color="auto" w:fill="auto"/>
            <w:noWrap/>
            <w:hideMark/>
          </w:tcPr>
          <w:p w14:paraId="6AFFAAB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6D4612D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on either insulin only therapy or insulin</w:t>
            </w:r>
            <w:r w:rsidRPr="000C26B9">
              <w:rPr>
                <w:rFonts w:ascii="Times New Roman" w:hAnsi="Times New Roman" w:cs="Times New Roman"/>
                <w:color w:val="000000"/>
                <w:sz w:val="20"/>
                <w:szCs w:val="20"/>
                <w:lang w:val="en-US"/>
              </w:rPr>
              <w:br/>
              <w:t>and metformin therapy; 30-88 years</w:t>
            </w:r>
            <w:r w:rsidRPr="000C26B9">
              <w:rPr>
                <w:rFonts w:ascii="Times New Roman" w:hAnsi="Times New Roman" w:cs="Times New Roman"/>
                <w:color w:val="000000"/>
                <w:sz w:val="20"/>
                <w:szCs w:val="20"/>
                <w:lang w:val="en-US"/>
              </w:rPr>
              <w:br/>
              <w:t xml:space="preserve">  </w:t>
            </w:r>
          </w:p>
        </w:tc>
        <w:tc>
          <w:tcPr>
            <w:tcW w:w="850" w:type="dxa"/>
            <w:shd w:val="clear" w:color="auto" w:fill="auto"/>
            <w:noWrap/>
            <w:hideMark/>
          </w:tcPr>
          <w:p w14:paraId="344D977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321</w:t>
            </w:r>
          </w:p>
        </w:tc>
        <w:tc>
          <w:tcPr>
            <w:tcW w:w="1472" w:type="dxa"/>
            <w:shd w:val="clear" w:color="auto" w:fill="auto"/>
            <w:noWrap/>
            <w:hideMark/>
          </w:tcPr>
          <w:p w14:paraId="1FB7EC6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0016A75C" w14:textId="77777777" w:rsidTr="00D05366">
        <w:trPr>
          <w:trHeight w:val="315"/>
        </w:trPr>
        <w:tc>
          <w:tcPr>
            <w:tcW w:w="1327" w:type="dxa"/>
            <w:shd w:val="clear" w:color="auto" w:fill="auto"/>
            <w:noWrap/>
            <w:hideMark/>
          </w:tcPr>
          <w:p w14:paraId="065FF50E" w14:textId="38B29078"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Correia</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{"citationItems":[{"id":"ITEM-1","itemData":{"DOI":"10.11604/pamj.2020.37.126.26127","ISSN":"19378688","abstract":"Introduction: Diabetes care in Guinea-Bissau (GB) is characterized by a lack of properly trained healthcare professionals (HCPs) and guidelines for diagnosis, treatment and follow up of patients. To address these issues, this project was launched with the objective to train HCPs in the management of diabetic patients and establish a specialized diabetes clinic in the Hospital Nacional SimÃ£o Mendes, a public tertiary care hospital in Bissau, capital of GB. This project is led by the Geneva University Hospitals (HUG) in collaboration with the Swiss Association for the Aid to Diabetic People in Guinea-Bissau, with the support of the International Solidairty Office (SSI) of the State of Geneva, and AIDA (Ayuda, Intercambio y Desarrollo). Methods: Specialists from the HUG in collaboration with local experts in GB developed and delivered a culturally and contextually adapted training course pertaining to diabetes care to HCPs in this hospital. Pre and post training tests were conducted to assess differences in knowledge and practices. Following the training program, a diabetes clinic was set up and an audit was conducted to assess its performance. Results: A total of 24 HCP attended the training program and exhibited statistically significant improvements in their knowledge pertaining to diabetes care (mean difference between pre and post-test = 14.53, SD 11.60, t=-4.8, p &lt; 0.001). The diabetes clinic was established and provided consultations 2 days per week. A total of 63 patients consulted at this clinic, of which 49 had type two diabetes treated with oral antidiabetic drugs and 14 were type 1 diabetics treated with insulin. Patients had blood glucose measurements and recieved therapeutic, dietary and physical activity counselling. Several barriers leading to occasional interruptions of service were encountered, including a political instability in the country and strikes of healthcare staff demanding better wages and working conditions. Conclusion: This study delineates the feasibility of setting up a diabetes consultation clinic in GB despite important barriers. To ensure successful running of such consultation clinics, continued buy-in and support from stakeholders should be ensured. Diabetes training should be incorporated in pre-and post-graduate training curriculums of all HCP to help shape a better workforce.","author":[{"dropping-particle":"","family":"Correia","given":"J C","non-dropping-particle":"","parse-names":false,"suffix":""},{"dropping-particle":"","family":"Lopes","given":"A","non-dropping-particle":"","parse-names":false,"suffix":""},{"dropping-particle":"","family":"Nhabali","given":"A","non-dropping-particle":"","parse-names":false,"suffix":""},{"dropping-particle":"","family":"Madrigal","given":"V","non-dropping-particle":"","parse-names":false,"suffix":""},{"dropping-particle":"","family":"Errasti","given":"C R","non-dropping-particle":"","parse-names":false,"suffix":""},{"dropping-particle":"","family":"Brady","given":"E","non-dropping-particle":"","parse-names":false,"suffix":""},{"dropping-particle":"","family":"Hadjiconstantinou","given":"M","non-dropping-particle":"","parse-names":false,"suffix":""},{"dropping-particle":"","family":"Perolini","given":"M C","non-dropping-particle":"","parse-names":false,"suffix":""}],"container-title":"Pan African Medical Journal","id":"ITEM-1","issued":{"date-parts":[["2020"]]},"note":"Accession Number: 20210004984. Correia, J. C. (author); Email Address: jorgecesar.correia@hcuge.ch; Lopes, A. (author); Nhabali, A. (author); Madrigal, V. (author); Errasti, C. R. (author); Brady, E. (author); Hadjiconstantinou, M. (author); Perolini, M. C. (author). Issue Info: 37. Publication Date: 20200101. Note: 23 ref. Document Type: Journal Article. Language: English. Subject Subsets: Rural Development; Tropical Diseases; CAB Abstracts 1973-Current; Global Health 1973- Current. Has References: 23 ref.","publisher":"African Field Epidemiology Network","publisher-place":"Unit of Patient Education, Division of Endocrinology, Diabetology, Nutrition and Patient Education, WHO Collaborating Center, Department of Medicine, Geneva University Hospitals and University of Geneva, Geneva, Switzerland.","title":"Implementation and evaluation of a specialized diabetes clinic in Guinea-Bissau: lessons learnt from the field.","type":"article-journal","volume":"37"},"uris":["http://www.mendeley.com/documents/?uuid=261f69c0-b9af-4257-80fc-243b9bb9dd57"]}],"mendeley":{"formattedCitation":"(97)","manualFormatting":"[35","plainTextFormattedCitation":"(97)","previouslyFormattedCitation":"(101)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A48D36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Audit</w:t>
            </w:r>
          </w:p>
        </w:tc>
        <w:tc>
          <w:tcPr>
            <w:tcW w:w="1194" w:type="dxa"/>
            <w:shd w:val="clear" w:color="auto" w:fill="auto"/>
            <w:noWrap/>
            <w:hideMark/>
          </w:tcPr>
          <w:p w14:paraId="46E314E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1238" w:type="dxa"/>
            <w:shd w:val="clear" w:color="auto" w:fill="auto"/>
            <w:noWrap/>
            <w:hideMark/>
          </w:tcPr>
          <w:p w14:paraId="10A5866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Guinea-Bissau</w:t>
            </w:r>
          </w:p>
        </w:tc>
        <w:tc>
          <w:tcPr>
            <w:tcW w:w="1761" w:type="dxa"/>
            <w:shd w:val="clear" w:color="auto" w:fill="auto"/>
            <w:hideMark/>
          </w:tcPr>
          <w:p w14:paraId="39222F3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noWrap/>
            <w:hideMark/>
          </w:tcPr>
          <w:p w14:paraId="6F7AB00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63</w:t>
            </w:r>
          </w:p>
        </w:tc>
        <w:tc>
          <w:tcPr>
            <w:tcW w:w="1472" w:type="dxa"/>
            <w:shd w:val="clear" w:color="auto" w:fill="auto"/>
            <w:hideMark/>
          </w:tcPr>
          <w:p w14:paraId="50C06605"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66F951B9" w14:textId="77777777" w:rsidTr="00D05366">
        <w:trPr>
          <w:trHeight w:val="630"/>
        </w:trPr>
        <w:tc>
          <w:tcPr>
            <w:tcW w:w="1327" w:type="dxa"/>
            <w:shd w:val="clear" w:color="auto" w:fill="auto"/>
            <w:noWrap/>
            <w:hideMark/>
          </w:tcPr>
          <w:p w14:paraId="001F2A3A" w14:textId="5E5A5196"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Dalia</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{"citationItems":[{"id":"ITEM-1","itemData":{"ISSN":"03318540","abstract":"Background: Neuropathy is a common diabetic microvascular complication which reduces quality of life; causing pain and irritation in lower limbs and may result in amputation. Several Studies documented that vitamin D deficiency have extra skeletal effects including poor glycemic control and microvascular complications. Objectives: To explore the relationship between levels of vitamin D and diabetic neuropathy in Sudanese patients with type 2 diabetes mellitus. Methods: In this cross-sectional case control and hospital based study conducted at Jabber Abu Eliz Diabetes Centre (JAEDC), from February 2015 to November 2018, Sixty diabetic patients (thirty patients with neuropathy and thirty patients without neuropathy), and sixty healthy subjects were compared in terms of levels of vitamin D, C-peptide, lipid profile, HbA1C, C-reactive protein, and MAU. SPSS software was used for analysis of clinical variables. Results: Vitamin D levels where significantly decreased in diabetic patients and also in those with neuropathy when compared to those without neuropathy (P&lt;0.05) Vitamin D correlated significantly with age P (0.016), insignificantly with disease duration, BMI, HbA1C and MAU (P&gt;0.05). 86.8% of patients with neuropathy had vitamin D deficiency and 6.6% had insufficiency. Vitamin D levels where significantly reduced with increasing severity of neuropathy (P 0.001). Conclusion: Vitamin D levels are significantly decreased in diabetic patients especially in those with neuropathy. Severity of neuropathy is significantly correlated to severity of vitamin D deficiency. Diabetic patients should be screened for vitamin D level and supplementation should be prescribed to correct the deficiency.","author":[{"dropping-particle":"","family":"Dalia","given":"I W A","non-dropping-particle":"","parse-names":false,"suffix":""},{"dropping-particle":"","family":"Abdelmula","given":"M A","non-dropping-particle":"","parse-names":false,"suffix":""},{"dropping-particle":"","family":"Zeinab","given":"A E","non-dropping-particle":"","parse-names":false,"suffix":""},{"dropping-particle":"","family":"AbdElkarim","given":"A A","non-dropping-particle":"","parse-names":false,"suffix":""}],"container-title":"Nigerian Journal of Basic and Clinical Sciences","id":"ITEM-1","issue":"2","issued":{"date-parts":[["2019"]]},"note":"Accession Number: 20193496933. Dalia, I. W. A. (author); Email Address: Daliawigealla@yahoo.com; Abdelmula, M. A. (author); Zeinab, A. E. (author); AbdElkarim, A. A. (author). Issue Info: 16, 2. Publication Date: 20190101. Note: 17. Number of Pages: 5. Document Type: Journal Article. Language: English. Subject Subsets: Tropical Diseases; Human Nutrition; CAB Abstracts 1973-Current; Global Health 1973- Current; Nutrition and Food Sciences Database. CAS Registry Number: 1406-16-2. Has References: 17.","page":"78-82","publisher":"Medknow Publications","publisher-place":"Department of Clinical Chemistry, School of Medical Laboratory Science, Sharq Elniel College, Khartoum, Sudan.","title":"Association of vitamin D with diabetic neuropathy among Sudanese patients with type 2 diabetes mellitus.","type":"article-journal","volume":"16"},"uris":["http://www.mendeley.com/documents/?uuid=c3e09b2a-82d7-4cfa-b01e-993f3ed6398f"]}],"mendeley":{"formattedCitation":"(98)","manualFormatting":"[36","plainTextFormattedCitation":"(98)","previouslyFormattedCitation":"(102)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46A3903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 and case-control</w:t>
            </w:r>
          </w:p>
        </w:tc>
        <w:tc>
          <w:tcPr>
            <w:tcW w:w="1194" w:type="dxa"/>
            <w:shd w:val="clear" w:color="auto" w:fill="auto"/>
            <w:noWrap/>
            <w:hideMark/>
          </w:tcPr>
          <w:p w14:paraId="0BE08EBB"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40D046F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Sudan</w:t>
            </w:r>
          </w:p>
        </w:tc>
        <w:tc>
          <w:tcPr>
            <w:tcW w:w="1761" w:type="dxa"/>
            <w:shd w:val="clear" w:color="auto" w:fill="auto"/>
            <w:hideMark/>
          </w:tcPr>
          <w:p w14:paraId="113E6F6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and healthy controls</w:t>
            </w:r>
          </w:p>
        </w:tc>
        <w:tc>
          <w:tcPr>
            <w:tcW w:w="850" w:type="dxa"/>
            <w:shd w:val="clear" w:color="auto" w:fill="auto"/>
            <w:hideMark/>
          </w:tcPr>
          <w:p w14:paraId="2345ADA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120</w:t>
            </w:r>
          </w:p>
        </w:tc>
        <w:tc>
          <w:tcPr>
            <w:tcW w:w="1472" w:type="dxa"/>
            <w:shd w:val="clear" w:color="auto" w:fill="auto"/>
            <w:noWrap/>
            <w:hideMark/>
          </w:tcPr>
          <w:p w14:paraId="432469B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2C31B752" w14:textId="77777777" w:rsidTr="00D05366">
        <w:trPr>
          <w:trHeight w:val="690"/>
        </w:trPr>
        <w:tc>
          <w:tcPr>
            <w:tcW w:w="1327" w:type="dxa"/>
            <w:shd w:val="clear" w:color="auto" w:fill="auto"/>
            <w:noWrap/>
            <w:hideMark/>
          </w:tcPr>
          <w:p w14:paraId="05C10CCA" w14:textId="68A69882"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Darko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{"citationItems":[{"id":"ITEM-1","itemData":{"DOI":"10.1186/s12902-015-0047-9","ISSN":"14726823","PMID":"26391589","abstract":"BACKGROUND: A surge in pro-inflammatory markers, Il-6 and TNF-α, has been associated  with type 2 diabetes mellitus (T2DM). However, there is no data on the dynamics of these markers in T2DM Ghanaian populations. The aim of this study was to determine variations in the levels of IL-6 and TNF-α in T2DM patients. This study also examined the associations of IL-6 and TNF-α with anthropometric measurement and the effect of co-morbidity with hypertension using rural and urban dwellers in the Ashanti region, Ghana. METHODS: A nested case-control design using participants aged 25-70 years consisting of 77 T2DM ± hypertension patients and 112 controls were selected from a larger study on Research on Obesity and Diabetes among African Migrants (RODAM). Anthropometric measurements, blood pressure and body fat percentage were measured. Fasting blood samples were analyzed for glucose, IL-6 and TNF-α levels. RESULTS: The median level of IL-6 was significantly higher (p &lt; 0.0001) among rural dwellers compared to urban dwellers. Inversely, urban dwellers had significantly higher (p = 0.0424) median level of TNF-α compared to rural cases. No significant differences were observed in IL-6 (p = 0.3571) and TNF-α (p = 0.2581) among T2DM patients compared with T2DM ± hypertension patients. A weak negative correlation was found between IL-6 and BMI in urban T2DM. DISCUSSION: The average level of IL-6 was higher in rural T2DM participants compared with those in urban setting. However, higher levels of TNF-α was observed among the study participants with T2DM in urban settings compared to those of rural.</w:instrText>
            </w:r>
            <w:r>
              <w:rPr>
                <w:rFonts w:ascii="Tahoma" w:hAnsi="Tahoma" w:cs="Tahoma"/>
                <w:color w:val="000000"/>
                <w:sz w:val="20"/>
                <w:szCs w:val="20"/>
                <w:lang w:val="en-US"/>
              </w:rPr>
              <w:instrText>﻿</w:instrText>
            </w:r>
            <w:r>
              <w:rPr>
                <w:rFonts w:ascii="Times New Roman" w:hAnsi="Times New Roman" w:cs="Times New Roman"/>
                <w:color w:val="000000"/>
                <w:sz w:val="20"/>
                <w:szCs w:val="20"/>
                <w:lang w:val="en-US"/>
              </w:rPr>
              <w:instrText xml:space="preserve"> In this study, we observed that co-morbidity of hypertension had no significant effect on the levels of IL-6 and TNF-α. We are of the opinion that higher physical activity levels among rural particpants and high obesity levels in urabn participants explain the observation but needs more numbers to validate. CONCLUSION: This study revealed that IL-6 levels were higher among rural dwellers than urban while TNF-α levels were higher in urban dwellers than rural in patients with T2DM. There was no association of body fat percentage and body mass index with IL-6 and TNF-α levels. Co-morbidity of hypertension with T2DM had no effect on IL-6 and TNF-α levels.","author":[{"dropping-particle":"","family":"Darko","given":"Samuel N.","non-dropping-particle":"","parse-names":false,"suffix":""},{"dropping-particle":"","family":"Yar","given":"Denis D.","non-dropping-particle":"","parse-names":false,"suffix":""},{"dropping-particle":"","family":"Owusu-Dabo","given":"Ellis","non-dropping-particle":"","parse-names":false,"suffix":""},{"dropping-particle":"","family":"Awuah","given":"Anthony Afum-Adjei Adjei","non-dropping-particle":"","parse-names":false,"suffix":""},{"dropping-particle":"","family":"Dapaah","given":"Williams","non-dropping-particle":"","parse-names":false,"suffix":""},{"dropping-particle":"","family":"Addofoh","given":"Nicholas","non-dropping-particle":"","parse-names":false,"suffix":""},{"dropping-particle":"","family":"Salifu","given":"Samson P.","non-dropping-particle":"","parse-names":false,"suffix":""},{"dropping-particle":"","family":"Awua-Boateng","given":"Nana Y.","non-dropping-particle":"","parse-names":false,"suffix":""},{"dropping-particle":"","family":"Adomako-Boateng","given":"Fred","non-dropping-particle":"","parse-names":false,"suffix":""}],"container-title":"BMC endocrine disorders","id":"ITEM-1","issue":"1","issued":{"date-parts":[["2015","9"]]},"language":"eng","page":"1-7","publisher":"BMC Endocrine Disorders","title":"Variations in levels of IL-6 and TNF-α in type 2 diabetes mellitus between rural and  urban Ashanti Region of Ghana.","type":"article-journal","volume":"15"},"uris":["http://www.mendeley.com/documents/?uuid=b48a852a-cfcf-4bd9-bb03-0d6d66020c48"]}],"mendeley":{"formattedCitation":"(99)","manualFormatting":"[37","plainTextFormattedCitation":"(99)","previouslyFormattedCitation":"(103)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5A14480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Nested</w:t>
            </w:r>
            <w:r w:rsidRPr="000C26B9">
              <w:rPr>
                <w:rFonts w:ascii="Times New Roman" w:hAnsi="Times New Roman" w:cs="Times New Roman"/>
                <w:color w:val="000000"/>
                <w:sz w:val="20"/>
                <w:szCs w:val="20"/>
                <w:lang w:val="en-US"/>
              </w:rPr>
              <w:br/>
            </w:r>
            <w:r>
              <w:rPr>
                <w:rFonts w:ascii="Times New Roman" w:hAnsi="Times New Roman" w:cs="Times New Roman"/>
                <w:color w:val="000000"/>
                <w:sz w:val="20"/>
                <w:szCs w:val="20"/>
                <w:lang w:val="en-US"/>
              </w:rPr>
              <w:t>case-control</w:t>
            </w:r>
          </w:p>
        </w:tc>
        <w:tc>
          <w:tcPr>
            <w:tcW w:w="1194" w:type="dxa"/>
            <w:shd w:val="clear" w:color="auto" w:fill="auto"/>
            <w:noWrap/>
            <w:hideMark/>
          </w:tcPr>
          <w:p w14:paraId="571CC3B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058CDE4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Ghana</w:t>
            </w:r>
          </w:p>
        </w:tc>
        <w:tc>
          <w:tcPr>
            <w:tcW w:w="1761" w:type="dxa"/>
            <w:shd w:val="clear" w:color="auto" w:fill="auto"/>
            <w:hideMark/>
          </w:tcPr>
          <w:p w14:paraId="0839313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and controls; 25-70 years</w:t>
            </w:r>
          </w:p>
        </w:tc>
        <w:tc>
          <w:tcPr>
            <w:tcW w:w="850" w:type="dxa"/>
            <w:shd w:val="clear" w:color="auto" w:fill="auto"/>
            <w:hideMark/>
          </w:tcPr>
          <w:p w14:paraId="15223E3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189</w:t>
            </w:r>
          </w:p>
        </w:tc>
        <w:tc>
          <w:tcPr>
            <w:tcW w:w="1472" w:type="dxa"/>
            <w:shd w:val="clear" w:color="auto" w:fill="auto"/>
            <w:hideMark/>
          </w:tcPr>
          <w:p w14:paraId="5DB963AC"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variations in the levels of InterLeukin-6 and Tumor Necrosis Factor-α in patients with type 2 diabetes</w:t>
            </w:r>
          </w:p>
        </w:tc>
      </w:tr>
      <w:tr w:rsidR="000F54D9" w:rsidRPr="000C26B9" w14:paraId="5CB7434C" w14:textId="77777777" w:rsidTr="00D05366">
        <w:trPr>
          <w:trHeight w:val="315"/>
        </w:trPr>
        <w:tc>
          <w:tcPr>
            <w:tcW w:w="1327" w:type="dxa"/>
            <w:shd w:val="clear" w:color="auto" w:fill="auto"/>
            <w:noWrap/>
            <w:hideMark/>
          </w:tcPr>
          <w:p w14:paraId="0A52859B" w14:textId="7A4DA3C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Danquah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{"citationItems":[{"id":"ITEM-1","itemData":{"ISSN":"14712458","abstract":"Background: Sub-Saharan Africa faces a rapid spread of diabetes mellitus type 2 (DM2) but its potentially specific characteristics are inadequately defined. In this hospital-based study in Kumasi, Ghana, we aimed at characterizing clinical, anthropometric, socio-economic, nutritional and behavioural parameters of DM2 patients and at identifying associated factors. Methods: Between August 2007 and June 2008, 1466 individuals were recruited from diabetes and hypertension clinics, outpatients, community, and hospital staff. Fasting plasma glucose (FPG), serum lipids and urinary albumin were measured. Physical examination, anthropometry, and interviews on medical history, socio-economic status (SES), physical activity and nutritional behaviour were performed. Results: The majority of the 675 DM2 patients (mean FPG, 8.31 mmol/L) was female (75%) and aged 40-60 years (mean, 55 years). DM2 was known in 97% of patients, almost all were on medication. Many had hypertension (63%) and microalbuminuria (43%); diabetic complications occurred in 20%. Overweight (body mass index&gt;25 kg/m2), increased body fat (&gt;20% (male), &gt;33% (female)), and central adiposity (waist-to-hip ratio&gt;0.90 (male), &gt;0.85 (female)) were frequent occurring in 53%, 56%, and 75%, respectively. Triglycerides were increased (≥1.695 mmol/L) in 31% and cholesterol (≥5.17 mmol/L) in 65%. Illiteracy (46%) was high and SES indicators generally low. Factors independently associated with DM2 included a diabetes family history (adjusted odds ratio (aOR), 3.8; 95% confidence interval (95%CI), 2.6-5.5), abdominal adiposity (aOR, 2.6; 95%CI, 1.8-3.9), increased triglycerides (aOR, 1.8; 95%CI, 1.1-3.0), and also several indicators of low SES. Conclusions: In this study from urban Ghana, DM2 affects predominantly obese patients of rather low socio-economic status and frequently is accompanied by hypertension and hyperlipidaemia. Prevention and management need to account for a specific risk profile in this population.","author":[{"dropping-particle":"","family":"Danquah","given":"I","non-dropping-particle":"","parse-names":false,"suffix":""},{"dropping-particle":"","family":"Bedu-Addo","given":"G","non-dropping-particle":"","parse-names":false,"suffix":""},{"dropping-particle":"","family":"Terpe","given":"K J","non-dropping-particle":"","parse-names":false,"suffix":""},{"dropping-particle":"","family":"Micah","given":"F","non-dropping-particle":"","parse-names":false,"suffix":""},{"dropping-particle":"","family":"Amoako","given":"Y A","non-dropping-particle":"","parse-names":false,"suffix":""},{"dropping-particle":"","family":"Awuku","given":"Y A","non-dropping-particle":"","parse-names":false,"suffix":""},{"dropping-particle":"","family":"Dietz","given":"E","non-dropping-particle":"","parse-names":false,"suffix":""},{"dropping-particle":"van der","family":"Giet","given":"M","non-dropping-particle":"","parse-names":false,"suffix":""},{"dropping-particle":"","family":"Spranger","given":"J","non-dropping-particle":"","parse-names":false,"suffix":""},{"dropping-particle":"","family":"Mockenhaupt","given":"F P","non-dropping-particle":"","parse-names":false,"suffix":""}],"container-title":"BMC Public Health","id":"ITEM-1","issue":"210","issued":{"date-parts":[["2012"]]},"note":"Accession Number: 20123119444. Danquah, I. (author); Bedu-Addo, G. (author); Terpe, K. J. (author); Micah, F. (author); Amoako, Y. A. (author); Awuku, Y. A. (author); Dietz, E. (author); Giet, M. van der (author); Spranger, J. (author); Mockenhaupt, F. P. (author). Issue Info: 12, 210. Publication Date: 20120101. Note: 46. Note: der Giet, M. van. Note: van der Giet, M. Number of Pages: -1. Document Type: Journal Article. Language: English. Subject Subsets: Rural Development; Tropical Diseases; CAB Abstracts 1973-Current; Global Health 1973- Current; Nutrition and Food Sciences Database. CAS Registry Number: 50-99-7. Has References: 46. Has References: der Giet, M. van. Has References: van der Giet, M.","page":"(20 March 2012)","publisher":"BioMed Central Ltd","publisher-place":"Institute of Tropical Medicine and International Health, Charité - University Medicine Berlin, Berlin, Germany.","title":"Diabetes mellitus type 2 in urban Ghana: characteristics and associated factors.","type":"article-journal","volume":"12"},"uris":["http://www.mendeley.com/documents/?uuid=ba63536f-707f-483d-9bbb-700d7bb588c8"]}],"mendeley":{"formattedCitation":"(100)","manualFormatting":"[38","plainTextFormattedCitation":"(100)","previouslyFormattedCitation":"(104)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27</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ADC435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0F10CEC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2012</w:t>
            </w:r>
          </w:p>
        </w:tc>
        <w:tc>
          <w:tcPr>
            <w:tcW w:w="1238" w:type="dxa"/>
            <w:shd w:val="clear" w:color="auto" w:fill="auto"/>
            <w:noWrap/>
            <w:hideMark/>
          </w:tcPr>
          <w:p w14:paraId="12DA790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Ghana</w:t>
            </w:r>
          </w:p>
        </w:tc>
        <w:tc>
          <w:tcPr>
            <w:tcW w:w="1761" w:type="dxa"/>
            <w:shd w:val="clear" w:color="auto" w:fill="auto"/>
            <w:hideMark/>
          </w:tcPr>
          <w:p w14:paraId="626199E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5559C14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675</w:t>
            </w:r>
          </w:p>
        </w:tc>
        <w:tc>
          <w:tcPr>
            <w:tcW w:w="1472" w:type="dxa"/>
            <w:shd w:val="clear" w:color="auto" w:fill="auto"/>
            <w:hideMark/>
          </w:tcPr>
          <w:p w14:paraId="6F59A261"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prevalence of diabetes </w:t>
            </w:r>
          </w:p>
        </w:tc>
      </w:tr>
      <w:tr w:rsidR="000F54D9" w:rsidRPr="000C26B9" w14:paraId="4C406B50" w14:textId="77777777" w:rsidTr="00D05366">
        <w:trPr>
          <w:trHeight w:val="315"/>
        </w:trPr>
        <w:tc>
          <w:tcPr>
            <w:tcW w:w="1327" w:type="dxa"/>
            <w:shd w:val="clear" w:color="auto" w:fill="auto"/>
            <w:noWrap/>
            <w:hideMark/>
          </w:tcPr>
          <w:p w14:paraId="7D9D8F5A" w14:textId="200EDBD2"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Diaf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{"citationItems":[{"id":"ITEM-1","itemData":{"DOI":"10.3402/ljm.v10.27400","ISSN":"18196357","PMID":"25959906","abstract":"Background and objective: The incidence of diabetes co-morbidities could probably be better assessed by studying its associations with major corpulence parameters and glycaemic control indicators. We assessed the utility of body mass index (BMI), waist circumference (WC), and glycosylated haemoglobin (HbA1c) levels in metabolic control for type 2 diabetic patients. Methods: Fasting and postprandial blood samples were collected from 238 type 2 diabetic patients aged 57.4 00B1 911.9 years. The sera were analysed for glucose, HbA1c, total cholesterol (TC), triglycerides (TG), highdensity lipoprotein cholesterol (HDL-c), low-density lipoprotein cholesterol (LDL-c), and apolipoproteins (apoA-I and apoB). Ratios of lipids and apolipoproteins were calculated and their associations with BMI, WC, and HbA1c levels were analysed. Results: Our investigation showed increases in most fasting and postprandial lipid parameters according to BMI and WC. In men, postprandial HDL-c and TG levels were significantly higher (p &lt;0.05) in overweight and obese patients, respectively, as well as in patients with abdominal obesity. Contrariwise, postprandial TC levels were significantly higher (p &lt; 0.01) in overweight and abdominal obese women. However, elevations of apoA-I and apoB levels were according to BMI and WC in both genders. There was a strong influence of BMI,WC, and HbA1c levels on the apoB/apoA-I ratio compared to traditional fasting and postprandial lipid ratios in both men and women. The apoB/apoA-I ratio was more correlated with postprandial TC/HDL and LDL-c/HDL-c ratios in men and with postprandial TG/HDL-c in women. Conclusion: The apoB/apoA-I ratio is helpful in assessing metabolic risk caused by overall obesity, abdominal obesity and impaired glycaemia in type 2 diabetic patients.","author":[{"dropping-particle":"","family":"Diaf","given":"Mustapha","non-dropping-particle":"","parse-names":false,"suffix":""},{"dropping-particle":"","family":"Khaled","given":"Boumediene M.","non-dropping-particle":"","parse-names":false,"suffix":""},{"dropping-particle":"","family":"Sellam","given":"Fériel","non-dropping-particle":"","parse-names":false,"suffix":""}],"container-title":"Libyan Journal of Medicine","id":"ITEM-1","issue":"1","issued":{"date-parts":[["2015"]]},"publisher":"Co-Action Publishing","title":"Impact of corpulence parameters and haemoglobin A1c on metabolic control in type 2 diabetic patients: Comparison of apolipoprotein B/A-I ratio with fasting and postprandial conventional lipid ratios","type":"article-journal","volume":"10"},"uris":["http://www.mendeley.com/documents/?uuid=9e7a1ff8-1d1e-35a7-940a-9145437000b9"]}],"mendeley":{"formattedCitation":"(101)","manualFormatting":"[39","plainTextFormattedCitation":"(101)","previouslyFormattedCitation":"(105)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DB47EB">
              <w:rPr>
                <w:rFonts w:ascii="Times New Roman" w:hAnsi="Times New Roman" w:cs="Times New Roman"/>
                <w:color w:val="000000"/>
                <w:sz w:val="20"/>
                <w:szCs w:val="20"/>
                <w:lang w:val="en-US"/>
              </w:rPr>
              <w:t>28</w:t>
            </w:r>
            <w:r>
              <w:rPr>
                <w:rFonts w:ascii="Times New Roman" w:hAnsi="Times New Roman" w:cs="Times New Roman"/>
                <w:color w:val="000000"/>
                <w:sz w:val="20"/>
                <w:szCs w:val="20"/>
                <w:lang w:val="en-US"/>
              </w:rPr>
              <w:t>]</w:t>
            </w:r>
          </w:p>
        </w:tc>
        <w:tc>
          <w:tcPr>
            <w:tcW w:w="1440" w:type="dxa"/>
            <w:shd w:val="clear" w:color="auto" w:fill="auto"/>
            <w:hideMark/>
          </w:tcPr>
          <w:p w14:paraId="20915A3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194" w:type="dxa"/>
            <w:shd w:val="clear" w:color="auto" w:fill="auto"/>
            <w:noWrap/>
            <w:hideMark/>
          </w:tcPr>
          <w:p w14:paraId="033FE1C1"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44C46BC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Libya</w:t>
            </w:r>
          </w:p>
        </w:tc>
        <w:tc>
          <w:tcPr>
            <w:tcW w:w="1761" w:type="dxa"/>
            <w:shd w:val="clear" w:color="auto" w:fill="auto"/>
            <w:hideMark/>
          </w:tcPr>
          <w:p w14:paraId="3E68644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45DBC93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238</w:t>
            </w:r>
          </w:p>
        </w:tc>
        <w:tc>
          <w:tcPr>
            <w:tcW w:w="1472" w:type="dxa"/>
            <w:shd w:val="clear" w:color="auto" w:fill="auto"/>
            <w:hideMark/>
          </w:tcPr>
          <w:p w14:paraId="1BC4140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Setting outside sub-Saharan Africa</w:t>
            </w:r>
          </w:p>
        </w:tc>
      </w:tr>
      <w:tr w:rsidR="000F54D9" w:rsidRPr="000C26B9" w14:paraId="4B821B98" w14:textId="77777777" w:rsidTr="00D05366">
        <w:trPr>
          <w:trHeight w:val="630"/>
        </w:trPr>
        <w:tc>
          <w:tcPr>
            <w:tcW w:w="1327" w:type="dxa"/>
            <w:shd w:val="clear" w:color="auto" w:fill="auto"/>
            <w:noWrap/>
            <w:hideMark/>
          </w:tcPr>
          <w:p w14:paraId="5E61CD0E" w14:textId="47CBEA4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Dickie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{"citationItems":[{"id":"ITEM-1","itemData":{"ISBN":"14712458","abstract":"MEDLINE Abstract: BACKGROUND: Low levels of physical activity (PA) have been associated with increased risk for cardiovascular disease (CVD) and type 2 diabetes (T2D), but few studies have examined whether meeting international PA guidelines is associated with reduced risk in a black South African (SA) population. The aims of this study were to compare body composition and cardio-metabolic risk factors for CVD and T2D between active and inactive groups (part 1, cross-sectional analysis) and, to determine whether PA level predicts changes in body composition and cardio-metabolic risk factors for CVD and T2D at follow-up after 5.5-years (part 2, longitudinal analysis). METHODS: Part 1 included a sample of 240 apparently healthy black SA women (26 ± 7 years) who underwent the following measurements at baseline: PA (Global Physical Activity Questionnaire (GPAQ)), body composition and regional fat distribution (dual-energy x-ray absorptiometry and computerised tomography), blood pressure, fasting glucose, insulin and lipid concentrations. For part 2, a sub-sample of women (n = 57) underwent the same measurements after a 5.5-year period. RESULTS: At baseline, 61% of women were classified as meeting the guidelines for moderate- to vigorous-intensity physical activity (MVPA) according to GPAQ. Women who were active had significantly lower body weight (p &lt;; 0.001), body fat (BMI, fat mass, % body fat, waist circumference, central and appendicular fat mass, all p &lt;; 0.001), and measures of insulin resistance (fasting serum insulin and HOMA-IR, both p = 0.01), and higher high-density lipoprotein cholesterol (p = 0.041), compared to the inactive group. At follow-up, all body fat measures increased significantly in both groups and diastolic blood pressure decreased significantly in those who were active at baseline, but did not change in those who were inactive. CONCLUSIONS: Meeting PA guidelines was associated with decreased risk for CVD and T2D in black SA women, but did not prevent the increase in body fat over time. Interventions promoting physical activity to specifically address obesity in this high-risk group are recommended","author":[{"dropping-particle":"","family":"Dickie","given":"Kasha","non-dropping-particle":"","parse-names":false,"suffix":""},{"dropping-particle":"","family":"Micklesfield","given":"Lisa K","non-dropping-particle":"","parse-names":false,"suffix":""},{"dropping-particle":"","family":"Chantler","given":"Sarah","non-dropping-particle":"","parse-names":false,"suffix":""},{"dropping-particle":"V","family":"Lambert","given":"Estelle","non-dropping-particle":"","parse-names":false,"suffix":""},{"dropping-particle":"","family":"Goedecke","given":"Julia H","non-dropping-particle":"","parse-names":false,"suffix":""}],"container-title":"BMC public health","id":"ITEM-1","issued":{"date-parts":[["2014","1","1"]]},"note":"Note: E-mail: julia.goedecke@mrc.ac.za; Address: UCT/MRC Research Unit for Exercise Science and Sports Medicine, Department of Human Biology, University of Cape Town, Cape Town, South Africa; Record Source: This record is provided from the MEDLINE database of the National Library of Medicine (NLM), United States. The index terms may have been modified to conform with terminology used throughout the database. Database Contributor: MEDLINE. Database Contributor ID: 24886324. Language: English. Accession Number: 24886324.","page":"498","title":"Meeting physical activity guidelines is associated with reduced risk for cardiovascular disease in black South African women; a 5.5-year follow-up study","type":"article","volume":"14"},"uris":["http://www.mendeley.com/documents/?uuid=fbb610a9-cc36-49d0-a42c-aaf4fdffc03f"]}],"mendeley":{"formattedCitation":"(102)","manualFormatting":"[40","plainTextFormattedCitation":"(102)","previouslyFormattedCitation":"(106)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29</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90468A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Cohort study </w:t>
            </w:r>
          </w:p>
        </w:tc>
        <w:tc>
          <w:tcPr>
            <w:tcW w:w="1194" w:type="dxa"/>
            <w:shd w:val="clear" w:color="auto" w:fill="auto"/>
            <w:noWrap/>
            <w:hideMark/>
          </w:tcPr>
          <w:p w14:paraId="692EBA7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1238" w:type="dxa"/>
            <w:shd w:val="clear" w:color="auto" w:fill="auto"/>
            <w:noWrap/>
            <w:hideMark/>
          </w:tcPr>
          <w:p w14:paraId="40B40FC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South Africa </w:t>
            </w:r>
          </w:p>
        </w:tc>
        <w:tc>
          <w:tcPr>
            <w:tcW w:w="1761" w:type="dxa"/>
            <w:shd w:val="clear" w:color="auto" w:fill="auto"/>
            <w:hideMark/>
          </w:tcPr>
          <w:p w14:paraId="56CDB64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Healthy women without diabetes</w:t>
            </w:r>
          </w:p>
        </w:tc>
        <w:tc>
          <w:tcPr>
            <w:tcW w:w="850" w:type="dxa"/>
            <w:shd w:val="clear" w:color="auto" w:fill="auto"/>
            <w:hideMark/>
          </w:tcPr>
          <w:p w14:paraId="2CD7C1F4"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297</w:t>
            </w:r>
          </w:p>
        </w:tc>
        <w:tc>
          <w:tcPr>
            <w:tcW w:w="1472" w:type="dxa"/>
            <w:shd w:val="clear" w:color="auto" w:fill="auto"/>
            <w:hideMark/>
          </w:tcPr>
          <w:p w14:paraId="6C386B8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Study population other than patients with diabetes</w:t>
            </w:r>
          </w:p>
        </w:tc>
      </w:tr>
      <w:tr w:rsidR="000F54D9" w:rsidRPr="000C26B9" w14:paraId="73814354" w14:textId="77777777" w:rsidTr="00D05366">
        <w:trPr>
          <w:trHeight w:val="630"/>
        </w:trPr>
        <w:tc>
          <w:tcPr>
            <w:tcW w:w="1327" w:type="dxa"/>
            <w:shd w:val="clear" w:color="auto" w:fill="auto"/>
            <w:noWrap/>
            <w:hideMark/>
          </w:tcPr>
          <w:p w14:paraId="5969724E" w14:textId="7DCC0DDB"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Diouf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{"citationItems":[{"id":"ITEM-1","itemData":{"author":[{"dropping-particle":"","family":"Diouf","given":"N N","non-dropping-particle":"","parse-names":false,"suffix":""},{"dropping-particle":"","family":"Lo","given":"G","non-dropping-particle":"","parse-names":false,"suffix":""},{"dropping-particle":"","family":"Djité","given":"M","non-dropping-particle":"","parse-names":false,"suffix":""},{"dropping-particle":"","family":"Tine","given":"J A Diégane","non-dropping-particle":"","parse-names":false,"suffix":""},{"dropping-particle":"","family":"Diatta","given":"A","non-dropping-particle":"","parse-names":false,"suffix":""}],"id":"ITEM-1","issued":{"date-parts":[["2015"]]},"page":"10-13","title":"Evaluation de la microalbuminurie et du profil lipidique chez les diabétiques de type 2 diabetics","type":"article-journal"},"uris":["http://www.mendeley.com/documents/?uuid=14f01baa-ece7-4b7f-a771-5be128293c28"]}],"mendeley":{"formattedCitation":"(103)","manualFormatting":"[41","plainTextFormattedCitation":"(103)","previouslyFormattedCitation":"(107)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30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3D52FD3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33CA045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681689F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Senegal </w:t>
            </w:r>
          </w:p>
        </w:tc>
        <w:tc>
          <w:tcPr>
            <w:tcW w:w="1761" w:type="dxa"/>
            <w:shd w:val="clear" w:color="auto" w:fill="auto"/>
            <w:hideMark/>
          </w:tcPr>
          <w:p w14:paraId="43B8110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≥33 years</w:t>
            </w:r>
          </w:p>
        </w:tc>
        <w:tc>
          <w:tcPr>
            <w:tcW w:w="850" w:type="dxa"/>
            <w:shd w:val="clear" w:color="auto" w:fill="auto"/>
            <w:hideMark/>
          </w:tcPr>
          <w:p w14:paraId="07718E1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195</w:t>
            </w:r>
          </w:p>
        </w:tc>
        <w:tc>
          <w:tcPr>
            <w:tcW w:w="1472" w:type="dxa"/>
            <w:shd w:val="clear" w:color="auto" w:fill="auto"/>
            <w:noWrap/>
            <w:hideMark/>
          </w:tcPr>
          <w:p w14:paraId="2A64AE5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57968E34" w14:textId="77777777" w:rsidTr="00D05366">
        <w:trPr>
          <w:trHeight w:val="630"/>
        </w:trPr>
        <w:tc>
          <w:tcPr>
            <w:tcW w:w="1327" w:type="dxa"/>
            <w:shd w:val="clear" w:color="auto" w:fill="auto"/>
            <w:noWrap/>
            <w:hideMark/>
          </w:tcPr>
          <w:p w14:paraId="4100D3CB" w14:textId="2610FDC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Diouf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{"citationItems":[{"id":"ITEM-1","itemData":{"author":[{"dropping-particle":"","family":"Diouf","given":"N N","non-dropping-particle":"","parse-names":false,"suffix":""},{"dropping-particle":"","family":"Boye","given":"O","non-dropping-particle":"","parse-names":false,"suffix":""},{"dropping-particle":"","family":"Soumboundou","given":"M","non-dropping-particle":"","parse-names":false,"suffix":""},{"dropping-particle":"","family":"Guèye","given":"M W","non-dropping-particle":"","parse-names":false,"suffix":""},{"dropping-particle":"","family":"Sawaré","given":"E M","non-dropping-particle":"","parse-names":false,"suffix":""}],"id":"ITEM-1","issue":"2","issued":{"date-parts":[["2013"]]},"page":"269-272","title":"Article original Evaluation de l ’ équilibre glycémique chez les sujets âgés présentant un diabète de type 2 Assessment of glycemic control in elderly patients with type 2 diabetes","type":"article-journal","volume":"3"},"uris":["http://www.mendeley.com/documents/?uuid=5ef06105-250c-42b7-90a9-da475f4092ea"]}],"mendeley":{"formattedCitation":"(104)","manualFormatting":"[42","plainTextFormattedCitation":"(104)","previouslyFormattedCitation":"(108)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B47EB">
              <w:rPr>
                <w:rFonts w:ascii="Times New Roman" w:hAnsi="Times New Roman" w:cs="Times New Roman"/>
                <w:noProof/>
                <w:color w:val="000000"/>
                <w:sz w:val="20"/>
                <w:szCs w:val="20"/>
                <w:lang w:val="en-US"/>
              </w:rPr>
              <w:t>31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57C9EA5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Retrospective study</w:t>
            </w:r>
          </w:p>
        </w:tc>
        <w:tc>
          <w:tcPr>
            <w:tcW w:w="1194" w:type="dxa"/>
            <w:shd w:val="clear" w:color="auto" w:fill="auto"/>
            <w:noWrap/>
            <w:hideMark/>
          </w:tcPr>
          <w:p w14:paraId="782FCC0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5CB3A3E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Senegal </w:t>
            </w:r>
          </w:p>
        </w:tc>
        <w:tc>
          <w:tcPr>
            <w:tcW w:w="1761" w:type="dxa"/>
            <w:shd w:val="clear" w:color="auto" w:fill="auto"/>
            <w:hideMark/>
          </w:tcPr>
          <w:p w14:paraId="72A4A48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36-83 years</w:t>
            </w:r>
          </w:p>
        </w:tc>
        <w:tc>
          <w:tcPr>
            <w:tcW w:w="850" w:type="dxa"/>
            <w:shd w:val="clear" w:color="auto" w:fill="auto"/>
            <w:hideMark/>
          </w:tcPr>
          <w:p w14:paraId="314871F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130</w:t>
            </w:r>
          </w:p>
        </w:tc>
        <w:tc>
          <w:tcPr>
            <w:tcW w:w="1472" w:type="dxa"/>
            <w:shd w:val="clear" w:color="auto" w:fill="auto"/>
            <w:noWrap/>
            <w:hideMark/>
          </w:tcPr>
          <w:p w14:paraId="4348B6B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6B5B8110" w14:textId="77777777" w:rsidTr="00D05366">
        <w:trPr>
          <w:trHeight w:val="630"/>
        </w:trPr>
        <w:tc>
          <w:tcPr>
            <w:tcW w:w="1327" w:type="dxa"/>
            <w:shd w:val="clear" w:color="auto" w:fill="auto"/>
            <w:noWrap/>
            <w:hideMark/>
          </w:tcPr>
          <w:p w14:paraId="45DA472B" w14:textId="52188A9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Distiller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{"citationItems":[{"id":"ITEM-1","itemData":{"DOI":"10.1177/1932296816648165","ISBN":"1932296816","ISSN":"19322968","PMID":"27154973","abstract":"Background: In 2014, an innovative blinded continuous glucose monitoring system was introduced with automated ambulatory glucose profile (AGP) reporting. The clinical use and interpretation of this new technology has not previously been described. Therefore we wanted to understand its use in characterizing key factors related to glycemic control: glucose exposure, variability, and stability, and risk of hypoglycemia in clinical practice. Methods: Clinicians representing affiliated diabetes centers throughout South Africa were trained and subsequently were given flash glucose monitoring readers and 2-week glucose sensors to use at their discretion. After patient use, sensor data were collected and uploaded for AGP reporting. Results: Complete data (sensor AGP with corresponding clinical information) were obtained for 50 patients with type 1 (70%) and type 2 diabetes (30%), irrespective of therapy. Aggregated analysis of AGP data comparing patients with type 1 versus type 2 diabetes, revealed that despite similar HbA1c values between both groups (8.4 ± 2 vs 8.6 ± 1.7%, respectively), those with type 2 diabetes had lower mean glucose levels (9.2 ± 3 vs 10.3 mmol/l [166 ± 54 vs 185 mg/dl]) and lower indices of glucose variability (3.0 ± 1.5 vs 5.0 ± 1.9 mmol/l [54 ± 27 vs 90 ± 34.2 mg/dl]). This highlights key areas for future focus. Conclusions: Using AGP, the characteristics of glucose exposure, variability, stability, and hypoglycemia risk and occurrence were obtained within a short time and with minimal provider and patient input. In a survey at the time of the follow-up visit, clinicians indicated that aggregated AGP data analysis provided important new clinical information and insights.","author":[{"dropping-particle":"","family":"Distiller","given":"Larry A.","non-dropping-particle":"","parse-names":false,"suffix":""},{"dropping-particle":"","family":"Cranston","given":"Iain","non-dropping-particle":"","parse-names":false,"suffix":""},{"dropping-particle":"","family":"Mazze","given":"Roger","non-dropping-particle":"","parse-names":false,"suffix":""}],"container-title":"Journal of Diabetes Science and Technology","id":"ITEM-1","issue":"6","issued":{"date-parts":[["2016"]]},"page":"1294-1302","title":"First Clinical Experience with Retrospective Flash Glucose Monitoring (FGM) Analysis in South Africa: Characterizing Glycemic Control with Ambulatory Glucose Profile","type":"article-journal","volume":"10"},"uris":["http://www.mendeley.com/documents/?uuid=8ce40e45-df4b-4378-b124-53fab491e528"]}],"mendeley":{"formattedCitation":"(105)","manualFormatting":"[43","plainTextFormattedCitation":"(105)","previouslyFormattedCitation":"(109)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32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r w:rsidRPr="000C26B9">
              <w:rPr>
                <w:rFonts w:ascii="Times New Roman" w:hAnsi="Times New Roman" w:cs="Times New Roman"/>
                <w:color w:val="000000"/>
                <w:sz w:val="20"/>
                <w:szCs w:val="20"/>
                <w:lang w:val="en-US"/>
              </w:rPr>
              <w:t xml:space="preserve"> </w:t>
            </w:r>
          </w:p>
        </w:tc>
        <w:tc>
          <w:tcPr>
            <w:tcW w:w="1440" w:type="dxa"/>
            <w:shd w:val="clear" w:color="auto" w:fill="auto"/>
            <w:hideMark/>
          </w:tcPr>
          <w:p w14:paraId="61E9142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45B6628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noWrap/>
            <w:hideMark/>
          </w:tcPr>
          <w:p w14:paraId="00EF7AE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7E4B259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23EF0A9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50</w:t>
            </w:r>
          </w:p>
        </w:tc>
        <w:tc>
          <w:tcPr>
            <w:tcW w:w="1472" w:type="dxa"/>
            <w:shd w:val="clear" w:color="auto" w:fill="auto"/>
            <w:hideMark/>
          </w:tcPr>
          <w:p w14:paraId="247659B0"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 </w:t>
            </w:r>
            <w:r>
              <w:rPr>
                <w:rFonts w:ascii="Times New Roman" w:hAnsi="Times New Roman" w:cs="Times New Roman"/>
                <w:color w:val="000000"/>
                <w:sz w:val="20"/>
                <w:szCs w:val="20"/>
                <w:lang w:val="en-US"/>
              </w:rPr>
              <w:lastRenderedPageBreak/>
              <w:t>another outcome</w:t>
            </w:r>
          </w:p>
        </w:tc>
      </w:tr>
      <w:tr w:rsidR="000F54D9" w:rsidRPr="000C26B9" w14:paraId="7FF2F2BA" w14:textId="77777777" w:rsidTr="00D05366">
        <w:trPr>
          <w:trHeight w:val="702"/>
        </w:trPr>
        <w:tc>
          <w:tcPr>
            <w:tcW w:w="1327" w:type="dxa"/>
            <w:shd w:val="clear" w:color="auto" w:fill="auto"/>
            <w:noWrap/>
            <w:hideMark/>
          </w:tcPr>
          <w:p w14:paraId="307331A2" w14:textId="68D0091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 xml:space="preserve">Edo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{"citationItems":[{"id":"ITEM-1","itemData":{"DOI":"http://www.ajol.info/index.php/wajm/article/viewFile/77439/67885","ISBN":"0189160X","abstract":"BACKGROUND: Nigerians working in the oil industry appear to maintain a 'westernised' lifestyle and thus may be at increased risk for diabetes mellitus and related disorders. There are several reports on lipid profile in type 2 DM among Nigerians (non-oil workers) in the general population from different parts of the country. However the lipid profile of Nigerian oil workers with type 2 DM has not been previously reported. OBJECTIVE: To determine the serum lipid profile of Nigerian oil workers with or without type 2 diabetes mellitus. METHODS: Hospital records of Nigerian oil workers with type 2 diabetes mellitus were retrieved for the study. Data extracted included the patient's age, sex, weight, height, waist circumference, blood pressure and fasting lipid profile. Hospital staff without DM served as controls. RESULTS: There were 52 Nigerians with type 2 DM and 99 controls. Serum triglyceride levels were significantly higher in diabetics than in controls (1.91±1.10 vs 1.27±0.58 mmol/l, p&lt;0.001). The other lipid fractions were comparable in both diabetics and non-diabetics. High-density lipoprotein cholesterol abnormality was found in 32.7% of diabetic subjects. Serum total cholesterol dyslipidaemia, triglyceride dsylipidaemia and low-density lipoprotein cholesterol dyslipidaemia were found in 26.9%, 19.2% and 9.6% of the diabetic subjects respectively. CONCLUSION: Dyslipidaemia in Nigerian oil workers with T2DM is common and consists mainly of hypertriglycendaemic and low HDL cholesterol. Measures should be instituted to reduce the lipid levels in these patients in order to minimize the risk of cardiovascular events.","author":[{"dropping-particle":"","family":"Edo","given":"A","non-dropping-particle":"","parse-names":false,"suffix":""},{"dropping-particle":"","family":"Adediran","given":"O S","non-dropping-particle":"","parse-names":false,"suffix":""}],"container-title":"West African Journal of Medicine","id":"ITEM-1","issue":"3","issued":{"date-parts":[["2011"]]},"language":"Language of Summary: French","note":"Email Address: osayumen@yahoo.com; Adediran, O. S. (author). Issue Info: 30, 3. Publication Date: 20110101. Note: 18. Number of Pages: 4. Document Type: Journal Article. Language: English. Subject Subsets: Human Nutrition; Tropical Diseases; CAB Abstracts 1973-Current; Global Health 1973- Current; Nutrition and Food Sciences Database. CAS Registry Number: 57-88-5. Has References: 18.","page":"206-209","publisher":"West African College of Physicians","publisher-place":"Lagos, Nigeria","title":"Dyslipidaemia among Nigerian oil workers with type 2 diabetes mellitus","type":"article-journal","volume":"30"},"uris":["http://www.mendeley.com/documents/?uuid=b1610943-5de9-4ebf-96ed-5c971ff037d5"]}],"mendeley":{"formattedCitation":"(106)","manualFormatting":"[44","plainTextFormattedCitation":"(106)","previouslyFormattedCitation":"(110)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33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4E43E03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Randomized trial</w:t>
            </w:r>
          </w:p>
        </w:tc>
        <w:tc>
          <w:tcPr>
            <w:tcW w:w="1194" w:type="dxa"/>
            <w:shd w:val="clear" w:color="auto" w:fill="auto"/>
            <w:noWrap/>
            <w:hideMark/>
          </w:tcPr>
          <w:p w14:paraId="1CFD0841"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2011</w:t>
            </w:r>
          </w:p>
        </w:tc>
        <w:tc>
          <w:tcPr>
            <w:tcW w:w="1238" w:type="dxa"/>
            <w:shd w:val="clear" w:color="auto" w:fill="auto"/>
            <w:noWrap/>
            <w:hideMark/>
          </w:tcPr>
          <w:p w14:paraId="3232658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526DC38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Type 2 diabetes </w:t>
            </w:r>
          </w:p>
        </w:tc>
        <w:tc>
          <w:tcPr>
            <w:tcW w:w="850" w:type="dxa"/>
            <w:shd w:val="clear" w:color="auto" w:fill="auto"/>
            <w:hideMark/>
          </w:tcPr>
          <w:p w14:paraId="57F424C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w:t>
            </w:r>
          </w:p>
        </w:tc>
        <w:tc>
          <w:tcPr>
            <w:tcW w:w="1472" w:type="dxa"/>
            <w:shd w:val="clear" w:color="auto" w:fill="auto"/>
            <w:hideMark/>
          </w:tcPr>
          <w:p w14:paraId="4C33F2B5"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plasma glucose response</w:t>
            </w:r>
          </w:p>
        </w:tc>
      </w:tr>
      <w:tr w:rsidR="000F54D9" w:rsidRPr="000C26B9" w14:paraId="16F97A55" w14:textId="77777777" w:rsidTr="00D05366">
        <w:trPr>
          <w:trHeight w:val="548"/>
        </w:trPr>
        <w:tc>
          <w:tcPr>
            <w:tcW w:w="1327" w:type="dxa"/>
            <w:shd w:val="clear" w:color="auto" w:fill="auto"/>
            <w:noWrap/>
            <w:hideMark/>
          </w:tcPr>
          <w:p w14:paraId="2656B5C5" w14:textId="6BA84072"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Elkhidir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{"citationItems":[{"id":"ITEM-1","itemData":{"DOI":"10.1186/s13104-017-2604-y","ISSN":"17560500","PMID":"28709459","abstract":"Background: Management of type 2 diabetes mellitus aims to maintain a normal glycemic status, which if not, it may lead to acute and/or chronic diabetic complications. Earlier studies found Lipocalin-2 elevated in complications associated with type 2 diabetes mellitus such as ischemic heart disease. These lipocalin-2 changes had been linked to obesity and uncontrolled diabetes. So, it could be useful to understand the effect of glycemic control and obesity on lipocalin-2. Methods: This was a case control study. Fifty-seven patients with type 2 diabetes and 30 non-diabetic controls participated after getting a written consent. Weight (kg), height (m) and waist circumference (cm) were measured then the body mass index (kg/m2) was determined. Blood samples were collected after an overnight fasting. HbA1c, lipid profile and serum creatinine were measured using enzymatic methods. Lipocalin-2 was measured using sandwich ELISA. Results: Lipocalin-2 was found significantly higher in patients with type 2 diabetes (P = 0.001). However, it had no significant correlation with any of the studied variables. Females had elevated BMI compared to males in the patients group (P &lt; 0.001). HbA1c, serum creatinine, LDL and total cholesterol were elevated in patients with diabetes (P &lt; 0.02). HDL was lower in the patients (P = 0.002). Significant elevation in HbA1c was found in male patients (P = 0.028) compared to female patients. Patients were further classified into controlled, uncontrolled diabetics, obese and non-obese. There was a significant elevation in waist circumference in uncontrolled diabetics compared to controlled ones. Lipocalin-2 had no significant changes between controlled and uncontrolled diabetics nor non-obese and obese patients. Conclusion: Patients with type 2 diabetes mellitus have elevated level of serum lipocalin-2. There was no significant association found between lipocalin-2 and glycemic control nor obesity.","author":[{"dropping-particle":"","family":"Elkhidir","given":"Areej E.","non-dropping-particle":"","parse-names":false,"suffix":""},{"dropping-particle":"","family":"Eltaher","given":"Halima B.","non-dropping-particle":"","parse-names":false,"suffix":""},{"dropping-particle":"","family":"Mohamed","given":"Abdelrahim O.","non-dropping-particle":"","parse-names":false,"suffix":""}],"container-title":"BMC Research Notes","id":"ITEM-1","issue":"1","issued":{"date-parts":[["2017","7","14"]]},"page":"285","publisher":"BioMed Central Ltd.","title":"Association of lipocalin-2 level, glycemic status and obesity in type 2 diabetes mellitus","type":"article-journal","volume":"10"},"uris":["http://www.mendeley.com/documents/?uuid=23887f49-fb5d-30c7-88ea-b760b90d82b2"]}],"mendeley":{"formattedCitation":"(107)","manualFormatting":"[45","plainTextFormattedCitation":"(107)","previouslyFormattedCitation":"(111)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34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noWrap/>
            <w:hideMark/>
          </w:tcPr>
          <w:p w14:paraId="6788052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Case-control</w:t>
            </w:r>
          </w:p>
        </w:tc>
        <w:tc>
          <w:tcPr>
            <w:tcW w:w="1194" w:type="dxa"/>
            <w:shd w:val="clear" w:color="auto" w:fill="auto"/>
            <w:noWrap/>
            <w:hideMark/>
          </w:tcPr>
          <w:p w14:paraId="6839B68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091C365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Sudan</w:t>
            </w:r>
          </w:p>
        </w:tc>
        <w:tc>
          <w:tcPr>
            <w:tcW w:w="1761" w:type="dxa"/>
            <w:shd w:val="clear" w:color="auto" w:fill="auto"/>
            <w:hideMark/>
          </w:tcPr>
          <w:p w14:paraId="1A5D13D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Type 2 diabetes </w:t>
            </w:r>
            <w:r w:rsidRPr="000C26B9">
              <w:rPr>
                <w:rFonts w:ascii="Times New Roman" w:hAnsi="Times New Roman" w:cs="Times New Roman"/>
                <w:color w:val="000000"/>
                <w:sz w:val="20"/>
                <w:szCs w:val="20"/>
                <w:lang w:val="en-US"/>
              </w:rPr>
              <w:br/>
              <w:t>and healthy controls; 44-60 years</w:t>
            </w:r>
          </w:p>
        </w:tc>
        <w:tc>
          <w:tcPr>
            <w:tcW w:w="850" w:type="dxa"/>
            <w:shd w:val="clear" w:color="auto" w:fill="auto"/>
            <w:hideMark/>
          </w:tcPr>
          <w:p w14:paraId="7FCE614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87</w:t>
            </w:r>
          </w:p>
        </w:tc>
        <w:tc>
          <w:tcPr>
            <w:tcW w:w="1472" w:type="dxa"/>
            <w:shd w:val="clear" w:color="auto" w:fill="auto"/>
            <w:hideMark/>
          </w:tcPr>
          <w:p w14:paraId="2B77335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Ineligible data analysis </w:t>
            </w:r>
          </w:p>
        </w:tc>
      </w:tr>
      <w:tr w:rsidR="000F54D9" w:rsidRPr="000C26B9" w14:paraId="0FE3E781" w14:textId="77777777" w:rsidTr="00D05366">
        <w:trPr>
          <w:trHeight w:val="630"/>
        </w:trPr>
        <w:tc>
          <w:tcPr>
            <w:tcW w:w="1327" w:type="dxa"/>
            <w:shd w:val="clear" w:color="auto" w:fill="auto"/>
            <w:noWrap/>
            <w:hideMark/>
          </w:tcPr>
          <w:p w14:paraId="7BD6CDAA" w14:textId="52700294"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Essien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{"citationItems":[{"id":"ITEM-1","itemData":{"DOI":"10.1371/journal.pone.0168835","ISBN":"1111111111","ISSN":"19326203","PMID":"28045979","abstract":"Diabetes is now a global epidemic, but most cases are now in low- and middle-income countries. Diabetes self-management education (DSME) is key to enabling patients to manage their chronic condition and can reduce the occurrence of costly and devastating complications. However, there is limited evidence on the effectiveness of different DSME programmes in resource limited settings. Methods We conducted an unblinded, parallel-group, individually-randomised controlled trial at the University of Calabar Teaching Hospital (Nigeria) to evaluate whether an intensive and systematic DSME programme, using structured guidelines, improved glycaemic control compared to the existing ad hoc patient education (clinical practice was unchanged). Eligible patients (≥18 years, HbA1c &gt; 8.5% and physically able to participate) were randomly allocated by permuted block randomisation to participate for six months in either an intensive or conventional education group. The primary outcome was HbA1c (%) at six-months. Results We randomised 59 participants to each group and obtained six-month HbA1c outcomes from 53 and 51 participants in the intensive and conventional education groups, respectively. Intensive group participants had a mean six-month HbA1c (%) of 8.4 (95% CI: 8 to 8.9), while participants in the conventional education group had a mean six-month HbA1c (%) of 10.2 (95% CI: 9.8 to 10.7). The difference was statistically (P &lt; 0.0001) and clinically significant, with intensive group participants having HbA1c outcomes on average -1.8 (95% CI: -2.4 to -1.2) percentage points lower than conventional group participants. Results were robust to adjustment for a range of covariates and multiple imputation of missing outcome data. Conclusions This study demonstrates the effectiveness of a structured, guideline-based DSME intervention in a LMIC setting versus a pragmatic comparator. The intervention is potentially replicable at other levels of the Nigerian healthcare system and in other LMICs, where nurses/diabetes educators can run the programme.","author":[{"dropping-particle":"","family":"Essien","given":"Okon","non-dropping-particle":"","parse-names":false,"suffix":""},{"dropping-particle":"","family":"Otu","given":"Akaninyene","non-dropping-particle":"","parse-names":false,"suffix":""},{"dropping-particle":"","family":"Umoh","given":"Victor","non-dropping-particle":"","parse-names":false,"suffix":""},{"dropping-particle":"","family":"Enang","given":"Ofem","non-dropping-particle":"","parse-names":false,"suffix":""},{"dropping-particle":"","family":"Hicks","given":"Joseph Paul","non-dropping-particle":"","parse-names":false,"suffix":""},{"dropping-particle":"","family":"Walley","given":"John","non-dropping-particle":"","parse-names":false,"suffix":""}],"container-title":"PLoS ONE","id":"ITEM-1","issue":"1","issued":{"date-parts":[["2017"]]},"page":"1-12","title":"Intensive patient education improves glycaemic control in diabetes compared to conventional education: A randomised controlled trial in a nigerian tertiary care hospital","type":"article-journal","volume":"12"},"uris":["http://www.mendeley.com/documents/?uuid=a53399fc-7ea2-4ff8-b702-be0c5b74a7dc"]}],"mendeley":{"formattedCitation":"(108)","manualFormatting":"[46","plainTextFormattedCitation":"(108)","previouslyFormattedCitation":"(112)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35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7A9CFB3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Randomized</w:t>
            </w:r>
            <w:r w:rsidRPr="000C26B9">
              <w:rPr>
                <w:rFonts w:ascii="Times New Roman" w:hAnsi="Times New Roman" w:cs="Times New Roman"/>
                <w:color w:val="000000"/>
                <w:sz w:val="20"/>
                <w:szCs w:val="20"/>
                <w:lang w:val="en-US"/>
              </w:rPr>
              <w:br/>
              <w:t xml:space="preserve">controlled trial </w:t>
            </w:r>
          </w:p>
        </w:tc>
        <w:tc>
          <w:tcPr>
            <w:tcW w:w="1194" w:type="dxa"/>
            <w:shd w:val="clear" w:color="auto" w:fill="auto"/>
            <w:noWrap/>
            <w:hideMark/>
          </w:tcPr>
          <w:p w14:paraId="735DCAE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703D4DF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7AE3EA8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14A9C82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104</w:t>
            </w:r>
          </w:p>
        </w:tc>
        <w:tc>
          <w:tcPr>
            <w:tcW w:w="1472" w:type="dxa"/>
            <w:shd w:val="clear" w:color="auto" w:fill="auto"/>
            <w:hideMark/>
          </w:tcPr>
          <w:p w14:paraId="5070BBDD"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6B529C89" w14:textId="77777777" w:rsidTr="00D05366">
        <w:trPr>
          <w:trHeight w:val="980"/>
        </w:trPr>
        <w:tc>
          <w:tcPr>
            <w:tcW w:w="1327" w:type="dxa"/>
            <w:shd w:val="clear" w:color="auto" w:fill="auto"/>
            <w:noWrap/>
            <w:hideMark/>
          </w:tcPr>
          <w:p w14:paraId="3534E7A7" w14:textId="3BAF587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Ewenighi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{"citationItems":[{"id":"ITEM-1","itemData":{"ISSN":"00195359","abstract":"CONTEXT: It is established that glycemic control measures involving diet and oral medication reduces glycated hemoglobin concentration (HbA1c) in type 2 diabetic patients. AIMS: To determine whether glycemic levels after diabetic treatment is affected by age, gender, obesity, and diabetic duration in type 2 diabetic patients. SETTINGS AND DESIGN: A total of 52 type 2 diabetic patients participated in a 12-week diabetic management therapy involving oral medication (metformin) and lifestyle intervention (diet). MATERIALS AND METHODS: We compared the glycated hemoglobin reduction after treatment between the elderly and non-elderly; males and females; obese and non-obese; and newly diagnosed and long-standing diabetics. RESULTS: After the diabetic treatment, participants' mean HbA1c level indicated a reduction of 1.1±1.31%, weight loss of 2.46±1.79 kg, and BMI reduction of 0.94±0.69 kg/m2 . A total of 23 (44.2%) patients had an acceptable HbA1c level of &lt;6.5%. Significantly greater HbA1c reduction was observed in non-elderly, non-overweight/obese, and newly diagnosed diabetic patients compared to the elderly, overweight/obese, and long-standing diabetic patients respectively (P&lt;0.05 or P&lt;0.01). HbA1c reduction did not indicate sex differences. CONCLUSION: The present findings suggest lower responses to glycemic control therapy in elderly, overweight/obese, and long-standing diabetic patients when compared to the non-elderly, non-overweight/obese, and newly diagnosed diabetic patients. It is recommended that treatment criteria for type 2 diabetes should account for the age, level of adiposity, and diabetic duration of the patient in order to make optimal therapeutic decisions for the treatment of diabetes mellitus in adults.","author":[{"dropping-particle":"","family":"Ewenighi","given":"C O","non-dropping-particle":"","parse-names":false,"suffix":""},{"dropping-particle":"","family":"Uchechukwu","given":"D","non-dropping-particle":"","parse-names":false,"suffix":""},{"dropping-particle":"","family":"Adejumo","given":"B I","non-dropping-particle":"","parse-names":false,"suffix":""},{"dropping-particle":"","family":"Onyeanusi","given":"J C","non-dropping-particle":"","parse-names":false,"suffix":""},{"dropping-particle":"","family":"Nnatuanya","given":"I N","non-dropping-particle":"","parse-names":false,"suffix":""},{"dropping-particle":"","family":"Onoh","given":"O G","non-dropping-particle":"","parse-names":false,"suffix":""},{"dropping-particle":"","family":"Okorie","given":"C E","non-dropping-particle":"","parse-names":false,"suffix":""},{"dropping-particle":"","family":"Ogbuike","given":"O I","non-dropping-particle":"","parse-names":false,"suffix":""}],"container-title":"Indian Journal of Medical Sciences","id":"ITEM-1","issue":"3/4","issued":{"date-parts":[["2013"]]},"note":"Accession Number: 20143053700. Ewenighi, C. O. (author); Email Address: positivedoings@yahoo.com; Uchechukwu, D. (author); Adejumo, B. I. (author); Onyeanusi, J. C. (author); Nnatuanya, I. N. (author); Onoh, O. G. (author); Okorie, C. E. (author); Ogbuike, O. I. (author). Issue Info: 67, 3/4. Publication Date: 20130101. Note: 33. Number of Pages: 9. Document Type: Journal Article. Language: English. Subject Subsets: Human Nutrition; Tropical Diseases; CAB Abstracts 1973-Current; Global Health 1973- Current; Nutrition and Food Sciences Database. CAS Registry Number: 657-24-9. CAS Registry Number: 1115-70-4. Has References: 33.","page":"61-69","publisher":"Medknow Publications","publisher-place":"Department of Medical Laboratory Science, Ebonyi State University, Abakaliki, Ebonyi State, Nigeria.","title":"Responses to glycemic control therapy according to age, gender, level of adiposity, and duration of diabetes in type 2 diabetic patients.","type":"article-journal","volume":"67"},"uris":["http://www.mendeley.com/documents/?uuid=e9c4b49f-70e5-4ffa-94f9-5f979c9d17e5"]}],"mendeley":{"formattedCitation":"(109)","manualFormatting":"[47","plainTextFormattedCitation":"(109)","previouslyFormattedCitation":"(113)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36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49A7B674"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12-week</w:t>
            </w:r>
            <w:r w:rsidRPr="000C26B9">
              <w:rPr>
                <w:rFonts w:ascii="Times New Roman" w:hAnsi="Times New Roman" w:cs="Times New Roman"/>
                <w:color w:val="000000"/>
                <w:sz w:val="20"/>
                <w:szCs w:val="20"/>
                <w:lang w:val="en-US"/>
              </w:rPr>
              <w:t xml:space="preserve"> diabetic </w:t>
            </w:r>
            <w:r w:rsidRPr="000C26B9">
              <w:rPr>
                <w:rFonts w:ascii="Times New Roman" w:hAnsi="Times New Roman" w:cs="Times New Roman"/>
                <w:color w:val="000000"/>
                <w:sz w:val="20"/>
                <w:szCs w:val="20"/>
                <w:lang w:val="en-US"/>
              </w:rPr>
              <w:br/>
              <w:t xml:space="preserve">management therapy </w:t>
            </w:r>
          </w:p>
        </w:tc>
        <w:tc>
          <w:tcPr>
            <w:tcW w:w="1194" w:type="dxa"/>
            <w:shd w:val="clear" w:color="auto" w:fill="auto"/>
            <w:noWrap/>
            <w:hideMark/>
          </w:tcPr>
          <w:p w14:paraId="420F503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608614A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12D3BC2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noWrap/>
            <w:hideMark/>
          </w:tcPr>
          <w:p w14:paraId="5FE65B24"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52</w:t>
            </w:r>
          </w:p>
        </w:tc>
        <w:tc>
          <w:tcPr>
            <w:tcW w:w="1472" w:type="dxa"/>
            <w:shd w:val="clear" w:color="auto" w:fill="auto"/>
            <w:hideMark/>
          </w:tcPr>
          <w:p w14:paraId="234363A6"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responses to glycemic control therapy according to age, gender, level of adiposity, and duration of diabetes</w:t>
            </w:r>
          </w:p>
        </w:tc>
      </w:tr>
      <w:tr w:rsidR="000F54D9" w:rsidRPr="000C26B9" w14:paraId="161CC2BF" w14:textId="77777777" w:rsidTr="00D05366">
        <w:trPr>
          <w:trHeight w:val="315"/>
        </w:trPr>
        <w:tc>
          <w:tcPr>
            <w:tcW w:w="1327" w:type="dxa"/>
            <w:shd w:val="clear" w:color="auto" w:fill="auto"/>
            <w:noWrap/>
            <w:hideMark/>
          </w:tcPr>
          <w:p w14:paraId="5B4C2DAD" w14:textId="5C522C2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Ezenwaka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{"citationItems":[{"id":"ITEM-1","itemData":{"DOI":"10.3109/13813455.2014.884140","ISBN":"1381-3455","abstract":"Aim: To determine if there is any difference in indices of glycaemic control between type-2 diabetes patients who knew the laboratory tests for monitoring blood glucose and their peers who did not know. Methods: Eighty-nine type-2 diabetes patients were studied after an overnight fast. The patients' bio-data, blood pressure, anthropometric indices and baseline biochemical parameters and glycated haemoglobin A(1c) (HbA(1c)) were measured. After a breakfast of stewed boiled rice, a 2-hour postprandial blood glucose was measured and a questionnaire administered. Results: The patients' mean +/- SD HbA(1c) level was 8.6 +/- 2.4% and none of the patients knew about HbA(1c) test for monitoring glycaemic control. Interestingly, patients who knew about fasting blood glucose test had significantly lower HbA(1c) values than their counterparts who did not know (8.1 +/- 2.2 vs. 9.1 +/- 2.5%, p&lt;0.05). Conclusion: Diabetes self-management education incorporating laboratory-based information may assist to prevent poor glycaemic control in developing countries with increasing reports of hyperglycaemic emergencies.","author":[{"dropping-particle":"","family":"Ezenwaka","given":"C E","non-dropping-particle":"","parse-names":false,"suffix":""},{"dropping-particle":"","family":"Okoye","given":"O","non-dropping-particle":"","parse-names":false,"suffix":""},{"dropping-particle":"","family":"Esonwune","given":"C","non-dropping-particle":"","parse-names":false,"suffix":""},{"dropping-particle":"","family":"Dioka","given":"C","non-dropping-particle":"","parse-names":false,"suffix":""},{"dropping-particle":"","family":"Onuoha","given":"P","non-dropping-particle":"","parse-names":false,"suffix":""},{"dropping-particle":"","family":"Osuji","given":"C","non-dropping-particle":"","parse-names":false,"suffix":""},{"dropping-particle":"","family":"Oguejiofor","given":"O C","non-dropping-particle":"","parse-names":false,"suffix":""},{"dropping-particle":"","family":"Meludu","given":"S C","non-dropping-particle":"","parse-names":false,"suffix":""}],"container-title":"Archives of Physiology and Biochemistry","id":"ITEM-1","issue":"2","issued":{"date-parts":[["2014"]]},"note":"Ezenwaka, C. E. Okoye, O. Esonwune, C. Dioka, C. Onuoha, P. Osuji, C. Oguejiofor, O. C. Meludu, S. C.\n1744-4160","page":"86-90","title":"Is diabetes patients' knowledge of laboratory tests for monitoring blood glucose levels associated with better glycaemic control?","type":"article-journal","volume":"120"},"uris":["http://www.mendeley.com/documents/?uuid=1f9d835b-ebfa-41cb-9ab8-5560117e94c2"]}],"mendeley":{"formattedCitation":"(110)","manualFormatting":"[48","plainTextFormattedCitation":"(110)","previouslyFormattedCitation":"(114)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37</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481341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3BB7516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1238" w:type="dxa"/>
            <w:shd w:val="clear" w:color="auto" w:fill="auto"/>
            <w:noWrap/>
            <w:hideMark/>
          </w:tcPr>
          <w:p w14:paraId="02BBE05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7C99913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40-84 years</w:t>
            </w:r>
          </w:p>
        </w:tc>
        <w:tc>
          <w:tcPr>
            <w:tcW w:w="850" w:type="dxa"/>
            <w:shd w:val="clear" w:color="auto" w:fill="auto"/>
            <w:hideMark/>
          </w:tcPr>
          <w:p w14:paraId="2A63D1C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89</w:t>
            </w:r>
          </w:p>
        </w:tc>
        <w:tc>
          <w:tcPr>
            <w:tcW w:w="1472" w:type="dxa"/>
            <w:shd w:val="clear" w:color="auto" w:fill="auto"/>
            <w:noWrap/>
            <w:hideMark/>
          </w:tcPr>
          <w:p w14:paraId="5272B87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2A06885E" w14:textId="77777777" w:rsidTr="00D05366">
        <w:trPr>
          <w:trHeight w:val="630"/>
        </w:trPr>
        <w:tc>
          <w:tcPr>
            <w:tcW w:w="1327" w:type="dxa"/>
            <w:shd w:val="clear" w:color="auto" w:fill="auto"/>
            <w:noWrap/>
            <w:hideMark/>
          </w:tcPr>
          <w:p w14:paraId="6867CE5C" w14:textId="146312DF"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Farmer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{"citationItems":[{"id":"ITEM-1","itemData":{"DOI":"10.2196/12377","ISBN":"1929-0748","abstract":"Background: Health outcomes for people treated for type 2 diabetes could be substantially improved in sub-Saharan Africa. Failure to take medicine regularly to treat diabetes has been identified as a major problem. Resources to identify and support patients who are not making the best use of medicine in low-and middle-income settings are scarce. Mobile phones are widely available in these settings, including among people with diabetes; linked technologies, such as short message service (SMS) text messaging, have shown promise in delivering low-cost interventions efficiently. However, evidence showing that these interventions will work when carried out at a larger scale and measuring the extent to which they will improve health outcomes when added to usual care is limited. Objective: The objective of this trial is to test the effectiveness of sending brief, automated SMS text messages for improving health outcomes and medication adherence in patients with type 2 diabetes compared to an active control. Methods: We will carry out a randomized trial recruiting from clinics in two contrasting settings in sub-Saharan Africa: Cape Town, South Africa, and Lilongwe, Malawi. Intervention messages will advise people about the benefits of their diabetes treatment and offer motivation and encouragement around lifestyle and use of medication. We allocated patients, using randomization with a minimization algorithm, to receive either three to four intervention messages per week or non-health-related messages every 6 weeks. We will follow up with participants for 12 months, measuring important risk factors for poor health outcomes and complications in diabetes. This will enable us to estimate potential health benefits, including the primary outcome of hemoglobin A1c (HbA1c) levels as a marker for long-term blood glucose control and a secondary outcome of blood pressure control. We will record the costs of performing these activities and estimate cost-effectiveness. We will also use process evaluation to capture the collection of medication and assess the reception of the intervention by participants and health care workers. Results: Recruitment to the trial began in September 2016 and follow-up of participants was completed in October 2018. Data collection from electronic health records and other routinely collected sources is continuing. The database lock is anticipated in June 2019, followed by analysis and disclosing of group allocation. Conclusions: The knowledge g…","author":[{"dropping-particle":"","family":"Farmer","given":"A","non-dropping-particle":"","parse-names":false,"suffix":""},{"dropping-particle":"","family":"Bobrow","given":"K","non-dropping-particle":"","parse-names":false,"suffix":""},{"dropping-particle":"","family":"Leon","given":"N","non-dropping-particle":"","parse-names":false,"suffix":""},{"dropping-particle":"","family":"Williams","given":"N","non-dropping-particle":"","parse-names":false,"suffix":""},{"dropping-particle":"","family":"Phiri","given":"E","non-dropping-particle":"","parse-names":false,"suffix":""},{"dropping-particle":"","family":"Namadingo","given":"H","non-dropping-particle":"","parse-names":false,"suffix":""},{"dropping-particle":"","family":"Cooper","given":"S","non-dropping-particle":"","parse-names":false,"suffix":""},{"dropping-particle":"","family":"Prince","given":"J","non-dropping-particle":"","parse-names":false,"suffix":""},{"dropping-particle":"","family":"Crampin","given":"A","non-dropping-particle":"","parse-names":false,"suffix":""},{"dropping-particle":"","family":"Besada","given":"D","non-dropping-particle":"","parse-names":false,"suffix":""},{"dropping-particle":"","family":"Daviaud","given":"E","non-dropping-particle":"","parse-names":false,"suffix":""},{"dropping-particle":"","family":"Yu","given":"L M","non-dropping-particle":"","parse-names":false,"suffix":""},{"dropping-particle":"","family":"Ngoma","given":"J","non-dropping-particle":"","parse-names":false,"suffix":""},{"dropping-particle":"","family":"Springer","given":"D","non-dropping-particle":"","parse-names":false,"suffix":""},{"dropping-particle":"","family":"Pauly","given":"B","non-dropping-particle":"","parse-names":false,"suffix":""},{"dropping-particle":"","family":"Norris","given":"S","non-dropping-particle":"","parse-names":false,"suffix":""},{"dropping-particle":"","family":"Tarassenko","given":"L","non-dropping-particle":"","parse-names":false,"suffix":""},{"dropping-particle":"","family":"Nyirenda","given":"M","non-dropping-particle":"","parse-names":false,"suffix":""},{"dropping-particle":"","family":"Levitt","given":"N","non-dropping-particle":"","parse-names":false,"suffix":""}],"container-title":"Jmir Research Protocols","id":"ITEM-1","issue":"6","issued":{"date-parts":[["2019"]]},"note":"Farmer, Andrew Bobrow, Kirsty Leon, Natalie Williams, Nicola Phiri, Enita Namadingo, Hazel Cooper, Sara Prince, John Crampin, Amelia Besada, Donela Daviaud, Emmanuelle Yu, Ly-Mee Ngoma, Jonathan Springer, David Pauly, Bruno Norris, Shane Tarassenko, Lionel Nyirenda, Moffat Levitt, Naomi\n; Norris, Shane/C-4664-2014\nFarmer, Andrew/0000-0002-6170-4402; Norris, Shane/0000-0001-7124-3788; Williams, Nicola/0000-0002-7476-9715; Levitt, Naomi/0000-0001-6480-8066; Yu, Ly-Mee/0000-0003-0331-7364; Bobrow, Kirsty/0000-0002-2452-2482; Crampin, Amelia/0000-0002-1513-4330; Cooper, Sara/0000-0001-9894-236X","title":"Mobile Messaging Support Versus Usual Care for People With Type 2 Diabetes on Glycemic Control: Protocol for a Multicenter Randomized Controlled Trial","type":"article-journal","volume":"8"},"uris":["http://www.mendeley.com/documents/?uuid=dd4d4073-d51d-489f-a4f9-5e926f8c235c"]}],"mendeley":{"formattedCitation":"(111)","manualFormatting":"[49","plainTextFormattedCitation":"(111)","previouslyFormattedCitation":"(115)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8978F6">
              <w:rPr>
                <w:rFonts w:ascii="Times New Roman" w:hAnsi="Times New Roman" w:cs="Times New Roman"/>
                <w:color w:val="000000"/>
                <w:sz w:val="20"/>
                <w:szCs w:val="20"/>
                <w:lang w:val="en-US"/>
              </w:rPr>
              <w:t>38</w:t>
            </w:r>
            <w:r>
              <w:rPr>
                <w:rFonts w:ascii="Times New Roman" w:hAnsi="Times New Roman" w:cs="Times New Roman"/>
                <w:color w:val="000000"/>
                <w:sz w:val="20"/>
                <w:szCs w:val="20"/>
                <w:lang w:val="en-US"/>
              </w:rPr>
              <w:t>]</w:t>
            </w:r>
          </w:p>
        </w:tc>
        <w:tc>
          <w:tcPr>
            <w:tcW w:w="1440" w:type="dxa"/>
            <w:shd w:val="clear" w:color="auto" w:fill="auto"/>
            <w:hideMark/>
          </w:tcPr>
          <w:p w14:paraId="7164895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Protocol study </w:t>
            </w:r>
          </w:p>
        </w:tc>
        <w:tc>
          <w:tcPr>
            <w:tcW w:w="1194" w:type="dxa"/>
            <w:shd w:val="clear" w:color="auto" w:fill="auto"/>
            <w:noWrap/>
            <w:hideMark/>
          </w:tcPr>
          <w:p w14:paraId="38F6D53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hideMark/>
          </w:tcPr>
          <w:p w14:paraId="705E280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 and Malawi</w:t>
            </w:r>
          </w:p>
        </w:tc>
        <w:tc>
          <w:tcPr>
            <w:tcW w:w="1761" w:type="dxa"/>
            <w:shd w:val="clear" w:color="auto" w:fill="auto"/>
            <w:hideMark/>
          </w:tcPr>
          <w:p w14:paraId="67332D5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31608D9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472" w:type="dxa"/>
            <w:shd w:val="clear" w:color="auto" w:fill="auto"/>
            <w:noWrap/>
            <w:hideMark/>
          </w:tcPr>
          <w:p w14:paraId="6025ED1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Study type: study protocol</w:t>
            </w:r>
          </w:p>
        </w:tc>
      </w:tr>
      <w:tr w:rsidR="000F54D9" w:rsidRPr="000C26B9" w14:paraId="775BDB3B" w14:textId="77777777" w:rsidTr="00D05366">
        <w:trPr>
          <w:trHeight w:val="630"/>
        </w:trPr>
        <w:tc>
          <w:tcPr>
            <w:tcW w:w="1327" w:type="dxa"/>
            <w:shd w:val="clear" w:color="auto" w:fill="auto"/>
            <w:noWrap/>
            <w:hideMark/>
          </w:tcPr>
          <w:p w14:paraId="57AA4A46" w14:textId="42D0370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Fondjo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{"citationItems":[{"id":"ITEM-1","itemData":{"DOI":"10.1155/2018/9369282","abstract":"Background. Type 2 Diabetes Mellitus (T2DM) and menopause are associated with vitamin D status. Oestrogen decline during menopausal stages promotes hypovitaminosis D. However, the interplay between vitamin D, menopause, lifestyle, and T2DM cannot be overlooked. This study assessed vitamin D status among pre-and postmenopausal T2DM women and determined its association with glycemic control and influence of lifestyle habits on hypovitaminosis D. Methods. This cross-sectional study was conducted at the Komfo Anokye Teaching Hospital, Kumasi, Ghana. Structured questionnaires were administered to 192 T2DM women; blood samples were collected for estimation of 25(OH) D and insulin using ELISA. Fasting blood glucose (FBG), lipid profile, glycated haemoglobin (HbA1c), and calcium were measured. Statistical analyses were performed using Graphpad Prism 6. Results. The prevalence of vitamin D inadequacy was 92.2%. Hypovitaminosis D was more prevalent among the postmenopausal T2DM women (63.8% versus 58.2%). Hypovitaminosis D significantly associated with insulin [í µí± 2 = 0.01760, í µí± = 0.0008], HbA1c [í µí± 2 = 0.3709, í µí± =&lt; 0.0001], and FBG [í µí± 2 = 0.3465, í µí± = 0.0001] in only the postmenopausal women. Conclusion. Vitamin D deficiency is prevalent in pre-and postmenopausal T2DM but higher among postmenopausal women. Adequate vitamin D levels in both groups were associated with improved glucose control while hypovitaminosis D in the postmenopausal women was related to poorer glucose control. Vitamin D screening should be incorporated into management plan for T2DM to serve as an early tool for prevention of vitamin D deficiency.","author":[{"dropping-particle":"","family":"Fondjo","given":"Linda Ahenkorah","non-dropping-particle":"","parse-names":false,"suffix":""},{"dropping-particle":"","family":"Sakyi","given":"Samuel Asamoah","non-dropping-particle":"","parse-names":false,"suffix":""},{"dropping-particle":"","family":"Owiredu","given":"William K B A","non-dropping-particle":"","parse-names":false,"suffix":""},{"dropping-particle":"","family":"Laing","given":"Edwin Ferguson","non-dropping-particle":"","parse-names":false,"suffix":""},{"dropping-particle":"","family":"Owiredu","given":"Eddie-Williams","non-dropping-particle":"","parse-names":false,"suffix":""},{"dropping-particle":"","family":"Awusi","given":"Ebenezer Kwesi","non-dropping-particle":"","parse-names":false,"suffix":""},{"dropping-particle":"","family":"Ephraim","given":"Richard K D","non-dropping-particle":"","parse-names":false,"suffix":""},{"dropping-particle":"","family":"Kantanka","given":"Osei Sarfo","non-dropping-particle":"","parse-names":false,"suffix":""}],"id":"ITEM-1","issued":{"date-parts":[["2018"]]},"title":"Evaluating Vitamin D Status in Pre-and Postmenopausal Type 2 Diabetics and Its Association with Glucose Homeostasis","type":"article-journal"},"uris":["http://www.mendeley.com/documents/?uuid=a27418d7-67a5-3675-8a8e-ecfe5e714326"]}],"mendeley":{"formattedCitation":"(112)","manualFormatting":"[50","plainTextFormattedCitation":"(112)","previouslyFormattedCitation":"(116)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8978F6">
              <w:rPr>
                <w:rFonts w:ascii="Times New Roman" w:hAnsi="Times New Roman" w:cs="Times New Roman"/>
                <w:color w:val="000000"/>
                <w:sz w:val="20"/>
                <w:szCs w:val="20"/>
                <w:lang w:val="en-US"/>
              </w:rPr>
              <w:t>39</w:t>
            </w:r>
            <w:r>
              <w:rPr>
                <w:rFonts w:ascii="Times New Roman" w:hAnsi="Times New Roman" w:cs="Times New Roman"/>
                <w:color w:val="000000"/>
                <w:sz w:val="20"/>
                <w:szCs w:val="20"/>
                <w:lang w:val="en-US"/>
              </w:rPr>
              <w:t>]</w:t>
            </w:r>
          </w:p>
        </w:tc>
        <w:tc>
          <w:tcPr>
            <w:tcW w:w="1440" w:type="dxa"/>
            <w:shd w:val="clear" w:color="auto" w:fill="auto"/>
            <w:noWrap/>
            <w:hideMark/>
          </w:tcPr>
          <w:p w14:paraId="3AF04E4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2FF6B98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2738467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Ghana</w:t>
            </w:r>
          </w:p>
        </w:tc>
        <w:tc>
          <w:tcPr>
            <w:tcW w:w="1761" w:type="dxa"/>
            <w:shd w:val="clear" w:color="auto" w:fill="auto"/>
            <w:hideMark/>
          </w:tcPr>
          <w:p w14:paraId="34F2FAB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women; ≥25 years</w:t>
            </w:r>
          </w:p>
        </w:tc>
        <w:tc>
          <w:tcPr>
            <w:tcW w:w="850" w:type="dxa"/>
            <w:shd w:val="clear" w:color="auto" w:fill="auto"/>
            <w:hideMark/>
          </w:tcPr>
          <w:p w14:paraId="6889625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192</w:t>
            </w:r>
          </w:p>
        </w:tc>
        <w:tc>
          <w:tcPr>
            <w:tcW w:w="1472" w:type="dxa"/>
            <w:shd w:val="clear" w:color="auto" w:fill="auto"/>
            <w:noWrap/>
            <w:hideMark/>
          </w:tcPr>
          <w:p w14:paraId="798ED3A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7DF4099D" w14:textId="77777777" w:rsidTr="00D05366">
        <w:trPr>
          <w:trHeight w:val="602"/>
        </w:trPr>
        <w:tc>
          <w:tcPr>
            <w:tcW w:w="1327" w:type="dxa"/>
            <w:shd w:val="clear" w:color="auto" w:fill="auto"/>
            <w:noWrap/>
            <w:hideMark/>
          </w:tcPr>
          <w:p w14:paraId="19F64D9D" w14:textId="2354620E"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Geneto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{"citationItems":[{"id":"ITEM-1","itemData":{"DOI":"10.6000/1927-5951.2015.05.02.1","ISBN":"2519316683","ISSN":"19275951","abstract":"Background: Diabetes mellitus (DM) is a chronic metabolic disorder, characterized by an absolute or relative deficiency of insulin and insulin resistance. Many studies have reported an association between diabetes and alterations in the metabolism of several micronutrients. In Ethiopia the study in the relationship between micronutrients (Zn, Cu and Cr) status and type 2 diabetes (T2DM) is scanty. The aim of this study was to assess and compare the concentration of the fasting serum zinc, copper and chromium status in T2DM and control subjects. Method: A cross-sectional comparative study, conducted on 108 human subjects divided in to two groups: 54 subjects with the diagnosis of T2DM and the other 54 subjects were grouped as the control. After demographic and anthropometric information gathered, the blood sample was collected for the biochemical analysis. Fasting serum glucose was measured by glucose oxidase methods. The serum concentration of micronutrients namely zinc, copper and chromium were determined by using atomic absorption spectrophotometer. Data were analyzed using SPSS version 16 software. Results: Compared with control groups, T2DM patients had greater BMI (p&lt;0.001); higher WHR (p&lt;0.001); elevated SBP (p&lt;0.001); and higher diastolic DBP (p&lt;0.001). Fasting serum glucose level of T2DM (196.4 ± 86.77mg/dl) was significantly higher than control (90 ± 14.39mg/dl). Mean serum levels of zinc in T2DM (0.744 ± 0.211mg/l) was significantly (p&lt;0.003) lower than control (1.099 ± 0.502mg/l), chromium (0.679 ± 0.413 mg/l) was also significantly (p&lt;0.0001) lower than control (1.064±0.483mg/l) and Cu (0.502±0.148mg/l) had significantly (p&lt;0.0001) higher than control (0.340±0.137mg/l). In this study, the fasting serum glucose were found negatively correlated with serum levels of Zn (r= -0.290, p=0.033), and Cr (r=-0.012, p&lt;0.0001) of diabetic subjects. Non-significant positive relationship was observed between concentrations of serum glucose and Cu(r = 0.438, p =0.113). Conclusion: Findings of this study indicated a lower serum zinc and chromium concentrations and higher copper status were found in type 2 diabetics of Ethiopian subjects. The study suggests that another research should be conducted in the effect of the supplementation of micronutrients on controlling of type 2 diabetic mellitus.","author":[{"dropping-particle":"","family":"Geneto","given":"Mathewos","non-dropping-particle":"","parse-names":false,"suffix":""},{"dropping-particle":"","family":"Umeta","given":"Melaku","non-dropping-particle":"","parse-names":false,"suffix":""},{"dropping-particle":"","family":"Kebede","given":"Tedla","non-dropping-particle":"","parse-names":false,"suffix":""},{"dropping-particle":"","family":"Azazh","given":"Aklilu","non-dropping-particle":"","parse-names":false,"suffix":""},{"dropping-particle":"","family":"Nagphaul","given":"Ravi","non-dropping-particle":"","parse-names":false,"suffix":""},{"dropping-particle":"","family":"Mohammed","given":"Salahuddin Farooq","non-dropping-particle":"","parse-names":false,"suffix":""}],"container-title":"Journal of Pharmacy and Nutrition Sciences","id":"ITEM-1","issue":"2","issued":{"date-parts":[["2015"]]},"page":"95-102","title":"A comparative study on serum level concentration of micronutrients like zinc, copper and chromium status in type 2 diabetic patients in diabetes &amp; endocrinology unit, Tikur Anbessa Specialized Hospital, Ethiopia","type":"article-journal","volume":"5"},"uris":["http://www.mendeley.com/documents/?uuid=f49679e8-b9e1-4ad4-bd8e-7809f6c450f5"]}],"mendeley":{"formattedCitation":"(113)","manualFormatting":"[51","plainTextFormattedCitation":"(113)","previouslyFormattedCitation":"(117)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40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90C382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Comparative Cross-sectional </w:t>
            </w:r>
          </w:p>
        </w:tc>
        <w:tc>
          <w:tcPr>
            <w:tcW w:w="1194" w:type="dxa"/>
            <w:shd w:val="clear" w:color="auto" w:fill="auto"/>
            <w:noWrap/>
            <w:hideMark/>
          </w:tcPr>
          <w:p w14:paraId="04D3323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353B5AF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411D01B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and healthy controls; 20-76 years</w:t>
            </w:r>
          </w:p>
        </w:tc>
        <w:tc>
          <w:tcPr>
            <w:tcW w:w="850" w:type="dxa"/>
            <w:shd w:val="clear" w:color="auto" w:fill="auto"/>
            <w:hideMark/>
          </w:tcPr>
          <w:p w14:paraId="10D83A8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108</w:t>
            </w:r>
          </w:p>
        </w:tc>
        <w:tc>
          <w:tcPr>
            <w:tcW w:w="1472" w:type="dxa"/>
            <w:shd w:val="clear" w:color="auto" w:fill="auto"/>
            <w:noWrap/>
            <w:hideMark/>
          </w:tcPr>
          <w:p w14:paraId="524A0D7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04B93C2D" w14:textId="77777777" w:rsidTr="00D05366">
        <w:trPr>
          <w:trHeight w:val="1380"/>
        </w:trPr>
        <w:tc>
          <w:tcPr>
            <w:tcW w:w="1327" w:type="dxa"/>
            <w:shd w:val="clear" w:color="auto" w:fill="auto"/>
            <w:noWrap/>
            <w:hideMark/>
          </w:tcPr>
          <w:p w14:paraId="1621B563" w14:textId="7CC1067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Gill </w:t>
            </w:r>
            <w:r>
              <w:rPr>
                <w:rFonts w:ascii="Times New Roman" w:hAnsi="Times New Roman" w:cs="Times New Roman"/>
                <w:color w:val="000000"/>
                <w:sz w:val="20"/>
                <w:szCs w:val="20"/>
                <w:lang w:val="en-US"/>
              </w:rPr>
              <w:t>[</w:t>
            </w:r>
            <w:r w:rsidR="008978F6">
              <w:rPr>
                <w:rFonts w:ascii="Times New Roman" w:hAnsi="Times New Roman" w:cs="Times New Roman"/>
                <w:color w:val="000000"/>
                <w:sz w:val="20"/>
                <w:szCs w:val="20"/>
                <w:lang w:val="en-US"/>
              </w:rPr>
              <w:t>41</w:t>
            </w:r>
            <w:r>
              <w:rPr>
                <w:rFonts w:ascii="Times New Roman" w:hAnsi="Times New Roman" w:cs="Times New Roman"/>
                <w:color w:val="000000"/>
                <w:sz w:val="20"/>
                <w:szCs w:val="20"/>
                <w:lang w:val="en-US"/>
              </w:rPr>
              <w:t>]</w:t>
            </w:r>
          </w:p>
        </w:tc>
        <w:tc>
          <w:tcPr>
            <w:tcW w:w="1440" w:type="dxa"/>
            <w:shd w:val="clear" w:color="auto" w:fill="auto"/>
            <w:hideMark/>
          </w:tcPr>
          <w:p w14:paraId="2638596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Retrospective study</w:t>
            </w:r>
          </w:p>
        </w:tc>
        <w:tc>
          <w:tcPr>
            <w:tcW w:w="1194" w:type="dxa"/>
            <w:shd w:val="clear" w:color="auto" w:fill="auto"/>
            <w:noWrap/>
            <w:hideMark/>
          </w:tcPr>
          <w:p w14:paraId="5ACB88DB"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2012</w:t>
            </w:r>
          </w:p>
        </w:tc>
        <w:tc>
          <w:tcPr>
            <w:tcW w:w="1238" w:type="dxa"/>
            <w:shd w:val="clear" w:color="auto" w:fill="auto"/>
            <w:noWrap/>
            <w:hideMark/>
          </w:tcPr>
          <w:p w14:paraId="4D4E26B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4A30A05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4684CDC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120</w:t>
            </w:r>
          </w:p>
        </w:tc>
        <w:tc>
          <w:tcPr>
            <w:tcW w:w="1472" w:type="dxa"/>
            <w:shd w:val="clear" w:color="auto" w:fill="auto"/>
            <w:hideMark/>
          </w:tcPr>
          <w:p w14:paraId="6FD620E7"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effect of the introduction of a standard monitoring protocol on the investigations performed on the metabolic </w:t>
            </w:r>
            <w:r w:rsidRPr="000C26B9">
              <w:rPr>
                <w:rFonts w:ascii="Times New Roman" w:hAnsi="Times New Roman" w:cs="Times New Roman"/>
                <w:color w:val="000000"/>
                <w:sz w:val="20"/>
                <w:szCs w:val="20"/>
                <w:lang w:val="en-US"/>
              </w:rPr>
              <w:lastRenderedPageBreak/>
              <w:t>control of type 2 diabetes</w:t>
            </w:r>
          </w:p>
        </w:tc>
      </w:tr>
      <w:tr w:rsidR="000F54D9" w:rsidRPr="000C26B9" w14:paraId="5E5C5419" w14:textId="77777777" w:rsidTr="00D05366">
        <w:trPr>
          <w:trHeight w:val="315"/>
        </w:trPr>
        <w:tc>
          <w:tcPr>
            <w:tcW w:w="1327" w:type="dxa"/>
            <w:shd w:val="clear" w:color="auto" w:fill="auto"/>
            <w:noWrap/>
            <w:hideMark/>
          </w:tcPr>
          <w:p w14:paraId="5146405F" w14:textId="019BD71A"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Hall</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{"citationItems":[{"id":"ITEM-1","itemData":{"ISBN":"16089685","abstract":"AJOL Abstract: Purpose: The prevalence of diabetes mellitus is increasing especially in low- and middleincome countries in which 75% of the world’s diabetic population reside. The macro- and microvascular complications of diabetes such as diabetic retinopathy are also set to increase in these populations.The relationship between depression and glycaemic control has been established in highincome countries, but evidence from low- and middle-income countries is scarce. This research aimed to determine an association between depression and glycaemic control and record the prevalence of diabetic retinopathy in a diabetic population in Cameroon.Methods: Analysis of cross-sectional data from the ‘Improving access to HbA1c measurements in sub-Saharan Africa’ study was used. Primary data were collected from six diabetic care facilities in Yaoundé, Cameroon. Participants were aged ≥ 18 years with at least a 6-month history of diabetes. Depression was assessed using the Centre for Epidemiological Studies Depression Scale (CES-D). A CES-D score ≥ 16 was used to identify the presence of clinically significant depressive symptoms. Data on glycaemic control were measured using HbA1c measurements at baseline. The presence of diabetic retinopathy was established through ophthalmoscopy and angiography using the Early Treatment Diabetic Retinopathy Study classification.Results: A total of 261 participants were included in the study, and information on depressive symptoms at baseline (CES-D score) were available for 240 participants. The results of the data analysis found that 60% of the study participants had clinically significant depressive symptoms (CES-D &gt; 16). A weak non-significant positive correlation was found between CES-D score and HbA1c level (p = 0.46, r = 0.05) using the Pearson’s correlation co-efficient. Gender and attendance to a patient support group were significantly associated with the presence of clinically significant depressive symptoms. Poor glycaemic control (HbA1c &gt; 7%) was found in 72.8% of the population. Educational level and insulin use were significantly associated with glycaemic control. The prevalence of diabetic retinopathy was 27.2% (23.4% non-proliferative, 2.5% preproliferative and 3.2% proliferative), and the prevalence of diabetic maculopathy was 10.0%.Conclusion: The study found that a large proportion of diabetic patients may be experiencing depressive symptoms for which they are currently not receiving treatment or support. We al…","author":[{"dropping-particle":"","family":"Hall","given":"Kirsty K","non-dropping-particle":"","parse-names":false,"suffix":""},{"dropping-particle":"","family":"Tambekou","given":"Joelle","non-dropping-particle":"","parse-names":false,"suffix":""},{"dropping-particle":"","family":"Penn","given":"Linda","non-dropping-particle":"","parse-names":false,"suffix":""},{"dropping-particle":"","family":"Camara","given":"Alioune","non-dropping-particle":"","parse-names":false,"suffix":""},{"dropping-particle":"","family":"Balde","given":"Naby M","non-dropping-particle":"","parse-names":false,"suffix":""},{"dropping-particle":"","family":"Sobngwi","given":"Eugene","non-dropping-particle":"","parse-names":false,"suffix":""}],"container-title":"South African Journal of Psychiatry","id":"ITEM-1","issue":"2017","issued":{"date-parts":[["2017","1","1"]]},"note":"Database Contributor: AFRICAN JOURNALS ONLINE [AJOL]. Database Contributor ID: sajpsyc-161389. Language: English. Publication Type: Peer-reviewed Article. Accession Number: sajpsyc-161389.","title":"Association between depression, glycaemic control and the prevalence of diabetic retinopathy in a diabetic population in Cameroon","type":"article","volume":"23"},"uris":["http://www.mendeley.com/documents/?uuid=7fe36ffb-82ff-42f3-92ae-6f27a91f6ddf"]}],"mendeley":{"formattedCitation":"(115)","manualFormatting":"[53","plainTextFormattedCitation":"(115)","previouslyFormattedCitation":"(119)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42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0F2054E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6666EED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15E4EF9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Cameroon</w:t>
            </w:r>
          </w:p>
        </w:tc>
        <w:tc>
          <w:tcPr>
            <w:tcW w:w="1761" w:type="dxa"/>
            <w:shd w:val="clear" w:color="auto" w:fill="auto"/>
            <w:hideMark/>
          </w:tcPr>
          <w:p w14:paraId="0AC9478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66C9082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261</w:t>
            </w:r>
          </w:p>
        </w:tc>
        <w:tc>
          <w:tcPr>
            <w:tcW w:w="1472" w:type="dxa"/>
            <w:shd w:val="clear" w:color="auto" w:fill="auto"/>
            <w:noWrap/>
            <w:hideMark/>
          </w:tcPr>
          <w:p w14:paraId="494B071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34F415BE" w14:textId="77777777" w:rsidTr="00D05366">
        <w:trPr>
          <w:trHeight w:val="945"/>
        </w:trPr>
        <w:tc>
          <w:tcPr>
            <w:tcW w:w="1327" w:type="dxa"/>
            <w:shd w:val="clear" w:color="auto" w:fill="auto"/>
            <w:noWrap/>
            <w:hideMark/>
          </w:tcPr>
          <w:p w14:paraId="17133341" w14:textId="1FB5E8F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Idonije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{"citationItems":[{"id":"ITEM-1","itemData":{"DOI":"10.3923/rjmsci.2011.1.3","ISSN":"18159346","abstract":"Diabetes mellitus is characterized by some specific complications including diabetic nephropathy. Plasma creatinine and urea are useful clinical tools in assessing renal function, despite some limitations. In the present study, plasma glucose, creatinine and urea concentrations were determined in type 2 diabetic patients attending Irrua Specialist Hospital, Ekpoma, Edo state, Nigeria. About 80 (35 males and 45 females) diabetic patients aged between 30-70 years serving as tests and 50 (30 males and 20 females) age apparently healthy individuals of similar age bracket serving as controls were used for the study. © Medwell Journals, 2011.","author":[{"dropping-particle":"","family":"Idonije","given":"Blessing O.","non-dropping-particle":"","parse-names":false,"suffix":""},{"dropping-particle":"","family":"Festus","given":"Oloruntoba","non-dropping-particle":"","parse-names":false,"suffix":""},{"dropping-particle":"","family":"Oluba","given":"Olarewaju M.","non-dropping-particle":"","parse-names":false,"suffix":""}],"container-title":"Research Journal of Medical Sciences","id":"ITEM-1","issue":"1","issued":{"date-parts":[["2011"]]},"page":"1-3","title":"Plasma glucose, creatinine and urea levels in type 2 diabetic patients attending a Nigerian teaching hospital","type":"article-journal","volume":"5"},"uris":["http://www.mendeley.com/documents/?uuid=3ba10f61-9bdf-3d37-9c49-e36abfc6adac"]}],"mendeley":{"formattedCitation":"(116)","manualFormatting":"[54","plainTextFormattedCitation":"(116)","previouslyFormattedCitation":"(120)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43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56A1F4D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Case-control</w:t>
            </w:r>
          </w:p>
        </w:tc>
        <w:tc>
          <w:tcPr>
            <w:tcW w:w="1194" w:type="dxa"/>
            <w:shd w:val="clear" w:color="auto" w:fill="auto"/>
            <w:noWrap/>
            <w:hideMark/>
          </w:tcPr>
          <w:p w14:paraId="1E3BC19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2011</w:t>
            </w:r>
          </w:p>
        </w:tc>
        <w:tc>
          <w:tcPr>
            <w:tcW w:w="1238" w:type="dxa"/>
            <w:shd w:val="clear" w:color="auto" w:fill="auto"/>
            <w:noWrap/>
            <w:hideMark/>
          </w:tcPr>
          <w:p w14:paraId="757E88A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124C935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1EBCEDB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130</w:t>
            </w:r>
          </w:p>
        </w:tc>
        <w:tc>
          <w:tcPr>
            <w:tcW w:w="1472" w:type="dxa"/>
            <w:shd w:val="clear" w:color="auto" w:fill="auto"/>
            <w:hideMark/>
          </w:tcPr>
          <w:p w14:paraId="50F72931"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comparison of plasma glucose level, creatinine, and urea among diabetic and healthy patients</w:t>
            </w:r>
          </w:p>
        </w:tc>
      </w:tr>
      <w:tr w:rsidR="000F54D9" w:rsidRPr="000C26B9" w14:paraId="45509BFE" w14:textId="77777777" w:rsidTr="00D05366">
        <w:trPr>
          <w:trHeight w:val="630"/>
        </w:trPr>
        <w:tc>
          <w:tcPr>
            <w:tcW w:w="1327" w:type="dxa"/>
            <w:shd w:val="clear" w:color="auto" w:fill="auto"/>
            <w:noWrap/>
            <w:hideMark/>
          </w:tcPr>
          <w:p w14:paraId="12F2E4CE" w14:textId="75C68EAB"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Iloh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{"citationItems":[{"id":"ITEM-1","itemData":{"DOI":"https://www.jbclinpharm.org/articles/family-functionality-medication-adherence-and-blood-glucose-control-among-ambulatory-type-2-diabetic-patients-in-a-niger.pdf","ISBN":"09760105\r09760113","abstract":"Background: Family functionality is a patient-oriented medical and pharmaceutical outcome of care that is emerging in scientific literature. It is a family-related factor that influences positively or negatively medication adherence and glycaemic control yet it is not easily recognized by physicians and physician assistants. Aim: The study was aimed at determining the role of family functionality on medication adherence and glycaemic control among ambulatory type 2 diabetic patients in a Nigerian hospital. Materials and Methods: A clinic-based descriptive study was carried out on 120 type 2 diabetic Nigerians who were on treatment for at least three months at the primary care clinic of a tertiary hospital in Nigeria. Family functionality and medication adherence were assessed in the previous three months and one month preceding the study using General Functioning sub-scale of the Family Assessment Device(FAD) and interviewer-administered questionnaire on self-reported adherence to therapy(SAT) respectively. Glycaemic control was assessed in the previous one month. Family functionality referred to the perception of behavior of family members in relation to day to day diabetes care decisions and their psycho-physical interactions. Results: Healthy family function, medication adherence and glycaemic control rates were 90.8%, 72.5% and 61.7% respectively. Family functionality was significantly associated with household family (.048), medication adherence (p=.031) and glycaemic control (p=.022). Conclusion: Family functionality was significantly associated with household family, medication adherence and glycaemic control. Assessment of family functionality should be part of reason for encounter during consultation with diabetic patients in order to unravel family factors that can positively or negatively influence medication adherence and glycaemic control.","author":[{"dropping-particle":"","family":"Iloh","given":"G","non-dropping-particle":"","parse-names":false,"suffix":""}],"container-title":"Journal of Basic and Clinical Pharmacy (JBCP)","id":"ITEM-1","issue":"3","issued":{"date-parts":[["2017"]]},"note":"Email Address: ilohgup2009@yahoo.com. Issue Info: 8, 3. Publication Date: 20170101. Note: 35. Number of Pages: 5. Document Type: Journal Article. Language: English. Subject Subsets: Tropical Diseases; Rural Development; CAB Abstracts 1973-Current; Global Health 1973- Current. Has References: 35.","page":"149-153","publisher":"Medknow Publications","publisher-place":"Mumbai, India","title":"Family functionality, medication adherence and blood glucose control among ambulatory type 2 diabetic patients in a Nigerian hospital","type":"article-journal","volume":"8"},"uris":["http://www.mendeley.com/documents/?uuid=c7ae2691-ca66-4851-bca8-b3e8f4b10423"]}],"mendeley":{"formattedCitation":"(117)","manualFormatting":"[55","plainTextFormattedCitation":"(117)","previouslyFormattedCitation":"(121)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44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0B4070F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Descriptive study</w:t>
            </w:r>
          </w:p>
        </w:tc>
        <w:tc>
          <w:tcPr>
            <w:tcW w:w="1194" w:type="dxa"/>
            <w:shd w:val="clear" w:color="auto" w:fill="auto"/>
            <w:noWrap/>
            <w:hideMark/>
          </w:tcPr>
          <w:p w14:paraId="423A0A5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47ACAE2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46A237F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hideMark/>
          </w:tcPr>
          <w:p w14:paraId="58497C6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120</w:t>
            </w:r>
          </w:p>
        </w:tc>
        <w:tc>
          <w:tcPr>
            <w:tcW w:w="1472" w:type="dxa"/>
            <w:shd w:val="clear" w:color="auto" w:fill="auto"/>
            <w:noWrap/>
            <w:hideMark/>
          </w:tcPr>
          <w:p w14:paraId="163689C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477A0F2A" w14:textId="77777777" w:rsidTr="00D05366">
        <w:trPr>
          <w:trHeight w:val="630"/>
        </w:trPr>
        <w:tc>
          <w:tcPr>
            <w:tcW w:w="1327" w:type="dxa"/>
            <w:shd w:val="clear" w:color="auto" w:fill="auto"/>
            <w:noWrap/>
            <w:hideMark/>
          </w:tcPr>
          <w:p w14:paraId="407D2D0D" w14:textId="7A174C9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Iloh</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{"citationItems":[{"id":"ITEM-1","itemData":{"DOI":"10.4103/ijhas.ijhas_29_17","ISSN":"2278-344X","abstract":"BACKGROUND: Lifestyle has long been associated with the development of many chronic diseases and noncommunicable diseases (NCDs). NCDs are largely preventable through effective interventions by tackling the shared modifiable risk factors, and onset and progress can also be delayed. Therefore, the objectives of this study were to determine the practice of lifestyle and assess the burden of associated risk factors of NCDs among the students of selected colleges of Delhi University. MATERIALS AND METHODS: A descriptive cross‑sectional study was conducted among 450 students from two coeducational colleges of Delhi University. Data were collected in accordance with the World Health Organization STEPwise approach to Surveillance (WHO STEPS) questionnaires. Standardized questionnaires of WHO STEPS methodology for surveillance of chronic diseases for Step 1 and clinical measurement on height, weight and blood pressure (BP) for Step 2 were used. Data were collected in September 2013 to November 2013. RESULTS: Of the 450 students, 56.88% were male, all in the age group of 18–26 years. Only 28.66% of the subjects perform the moderate physical activity during a usual week. During the past 7 days, 59.33% consumed carbonated soft drinks at least 1–2 times/day and 49.11% eaten &gt;2 servings of fast foods per day. Tobacco use (smoking only) was prevalent in around 15.77% of the subjects and alcohol in 20.88%. Majorities use tobacco and alcohol in relation to socialization, peer pressure and for enjoyment. 31.55% of the subjects were overweight and obese and 8.22% underweight, while 1.55% high normal BP. CONCLUSIONS: The present study showed a poor practice of healthy lifestyle with a high burden of lifestyle‑related risk factors of NCDs among students of Delhi University. Therefore, the University should emphasize on curriculum for a healthy lifestyle in all faculties as a required subject. Frequent campaigns and educational seminars are to be encouraged for the adoption of healthy lifestyle and health promotions. Key","author":[{"dropping-particle":"","family":"Iloh","given":"GabrielUche Pascal","non-dropping-particle":"","parse-names":false,"suffix":""},{"dropping-particle":"","family":"Collins","given":"PeaceIfeoma","non-dropping-particle":"","parse-names":false,"suffix":""},{"dropping-particle":"","family":"Amadi","given":"AgwuNkwa","non-dropping-particle":"","parse-names":false,"suffix":""}],"container-title":"International Journal of Health &amp; Allied Sciences","id":"ITEM-1","issue":"1","issued":{"date-parts":[["2018"]]},"page":"23","title":"Family functionality, medication adherence, and blood glucose control among ambulatory type 2 diabetic patients in a primary care clinic in Nigeria","type":"article-journal","volume":"7"},"uris":["http://www.mendeley.com/documents/?uuid=5fa2fbc9-7bf6-4aef-b2f6-9af56361a539"]}],"mendeley":{"formattedCitation":"(118)","manualFormatting":"[56","plainTextFormattedCitation":"(118)","previouslyFormattedCitation":"(122)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45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D36140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3EAB353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4926908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678327F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2DA10CEB"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120</w:t>
            </w:r>
          </w:p>
        </w:tc>
        <w:tc>
          <w:tcPr>
            <w:tcW w:w="1472" w:type="dxa"/>
            <w:shd w:val="clear" w:color="auto" w:fill="auto"/>
            <w:noWrap/>
            <w:hideMark/>
          </w:tcPr>
          <w:p w14:paraId="1679533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45276EF2" w14:textId="77777777" w:rsidTr="00D05366">
        <w:trPr>
          <w:trHeight w:val="315"/>
        </w:trPr>
        <w:tc>
          <w:tcPr>
            <w:tcW w:w="1327" w:type="dxa"/>
            <w:shd w:val="clear" w:color="auto" w:fill="auto"/>
            <w:noWrap/>
            <w:hideMark/>
          </w:tcPr>
          <w:p w14:paraId="30A4A237" w14:textId="126E8E7A"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Iwuala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{"citationItems":[{"id":"ITEM-1","itemData":{"DOI":"10.4103/1596-3519.155992","ISBN":"1596-3519","abstract":"Background/Objective: Self-monitoring of blood glucose (SMBG) is a component of modern diabetes mellitus (DM) self-management. Its value is discussed controversially, and its impact in resource poor settings has been infrequently studied. The aim of this report is to determine the pattern of SMBG and its relationship with glycemic control amongst type 2 DM (T2DM) patients attending an urban DM clinic in Lagos, Nigeria. Methods: Data were collected from patients with T2DM in a cross-sectional study, using systematic random sampling, with an interviewer-administered questionnaire investigating demographic data, DM history and SMBG practice. Weight, height, fasting plasma glucose (FPG) and glycated hemoglobin (HbA1c) were measured. Results: One hundred patients were studied consisted of 62 (62%) females and 38 (38%) males. The mean age, body mass index and HbA1c of the study population were 59.9 (9.5) years, 26.2 (5.6) kg/m(2) and 7.9 (2.2%). The median (interquartile range [IQR]) FPG and duration of DM were 107.0 (82.0u142.0) and 8.5 (5.0u15.0) years respectively. SMBG was practiced by 40 (40.0%) patients with a median (IQR) of 6 (4u15) times/month. SMBG was performed more frequently by persons with tertiary level of education (P = 0.04) and DM duration &gt;= 8.5 years (P = 0.04). The mean HbA1c in the group who practiced SMBG was lower though not statistically significant compared to the group that did not (7.8% vs. 8.0%, P = 0.61) practiced. The Spearman's rank correlation coefficient between the frequency of SMBG and HbA1c was 0.025, and P = 0.81 among the entire T2DM patients. Conclusion: There was no statistically significant relationship between SMBG and glycemic control. There is a need for larger studies to be carried out in order to justify the value of SMBG in resource poor settings.","author":[{"dropping-particle":"","family":"Iwuala","given":"S O","non-dropping-particle":"","parse-names":false,"suffix":""},{"dropping-particle":"","family":"Olamoyegun","given":"M A","non-dropping-particle":"","parse-names":false,"suffix":""},{"dropping-particle":"","family":"Sabir","given":"A A","non-dropping-particle":"","parse-names":false,"suffix":""},{"dropping-particle":"","family":"Fasanmade","given":"O A","non-dropping-particle":"","parse-names":false,"suffix":""}],"container-title":"Annals of African Medicine","id":"ITEM-1","issue":"4","issued":{"date-parts":[["2015"]]},"note":"Iwuala, Sandra Omozehio Olamoyegun, Michael Adeyemi Sabir, Anas Ahmad Fasanmade, Olufemi Adetola\n0975-5764","page":"182-187","title":"The relationship between self-monitoring of blood glucose and glycaemic control among patients attending an urban diabetes clinic in Nigeria","type":"article-journal","volume":"14"},"uris":["http://www.mendeley.com/documents/?uuid=2f8ce598-d88b-42c5-8348-6b0d6f723ef3"]}],"mendeley":{"formattedCitation":"(119)","manualFormatting":"[57","plainTextFormattedCitation":"(119)","previouslyFormattedCitation":"(123)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46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36EFD74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2A2344B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2611077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76581CE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2D5A688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1472" w:type="dxa"/>
            <w:shd w:val="clear" w:color="auto" w:fill="auto"/>
            <w:noWrap/>
            <w:hideMark/>
          </w:tcPr>
          <w:p w14:paraId="0068879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062B87AB" w14:textId="77777777" w:rsidTr="00D05366">
        <w:trPr>
          <w:trHeight w:val="315"/>
        </w:trPr>
        <w:tc>
          <w:tcPr>
            <w:tcW w:w="1327" w:type="dxa"/>
            <w:shd w:val="clear" w:color="auto" w:fill="auto"/>
            <w:noWrap/>
            <w:hideMark/>
          </w:tcPr>
          <w:p w14:paraId="14D81CC0" w14:textId="132E844E"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Jackson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{"citationItems":[{"id":"ITEM-1","itemData":{"DOI":"10.1016/j.dsx.2020.12.027","ISBN":"1871-4021","abstract":"Background and aims: Diabetes is one of the global health emergencies of the 21st century. This study sought to assess self-care behaviours, glycaemic control and health-related quality of life (HRQoL) of type 2 diabetes patients at a Nigerian hospital, determine factors associated with HRQoL, and assess the interrelationship among these outcomes. Methods: The Summary of Diabetes Self-Care Activities (SDSCA) measure was used to assess self-care behaviours; HRQoL was assessed with the Appraisal of Diabetes Scale (ADS) and SF-12v2 Health Survey. Glycaemic control was assessed with fasting blood sugar (FBS). The questionnaires were distributed to 250 eligible patients attending Endocrinology clinic at the University of Uyo Teaching Hospital, Akwa Ibom State, Nigeria. Results: Mean scores (+/- SD) of self-care behaviours were 4.0 +/- 1.3, 3.9 +/- 1.0, 2.4 +/- 1.2, 1.0 +/- 1.1, and 2.5 +/- 2.1 for general diet, specific diet, exercise, blood glucose monitoring, and foot care respectively. Mean FBS was 7.1 +/- 2.1 mmol/L. Mean ADS score was 18.1 +/- 4.2. The physical and mental component summary scores were 47.84 +/- 8.21 and 45.66 +/- 8.74 respectively. HRQoL was significantly associated with patient socio-demographic (except gender) and clinical variables (p &lt; 0.05). Self-care activities, FBS and HRQoL were significantly inter-correlated (r(s) -0.31 to 0.68; p &lt; 0.01, p &lt; 0.001). Conclusions: Patients were more adherent to diet recommendations than to other aspects of self-care. Though most patients had adequate glucose control, the presence of diabetes had a negative impact on the mental component of health. HRQoL was affected by most of the patient-related variables. Interventions to improve adherence to self-care are recommended to achieve good glycaemic control and improve HRQoL. (C) 2020 Diabetes India. Published by Elsevier Ltd. All rights reserved.","author":[{"dropping-particle":"","family":"Jackson","given":"I L","non-dropping-particle":"","parse-names":false,"suffix":""},{"dropping-particle":"","family":"Onung","given":"S I","non-dropping-particle":"","parse-names":false,"suffix":""},{"dropping-particle":"","family":"Oiwoh","given":"E P","non-dropping-particle":"","parse-names":false,"suffix":""}],"container-title":"Diabetes &amp; Metabolic Syndrome-Clinical Research &amp; Reviews","id":"ITEM-1","issue":"1","issued":{"date-parts":[["2021"]]},"note":"Jackson, Idongesit L. Onung, Samuel, I Oiwoh, Emmanuel P.\nJackson, Idongesit/0000-0003-3460-7233\n1878-0334","page":"137-143","title":"Self-care activities, glycaemic control and health-related quality of life of patients with type 2 diabetes in a tertiary hospital in Nigeria","type":"article-journal","volume":"15"},"uris":["http://www.mendeley.com/documents/?uuid=6ca1eb25-666b-49dc-80b1-b00e4b28d84e"]}],"mendeley":{"formattedCitation":"(120)","manualFormatting":"[58","plainTextFormattedCitation":"(120)","previouslyFormattedCitation":"(124)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4</w:t>
            </w:r>
            <w:r>
              <w:rPr>
                <w:rFonts w:ascii="Times New Roman" w:hAnsi="Times New Roman" w:cs="Times New Roman"/>
                <w:color w:val="000000"/>
                <w:sz w:val="20"/>
                <w:szCs w:val="20"/>
                <w:lang w:val="en-US"/>
              </w:rPr>
              <w:fldChar w:fldCharType="end"/>
            </w:r>
            <w:r w:rsidR="008978F6">
              <w:rPr>
                <w:rFonts w:ascii="Times New Roman" w:hAnsi="Times New Roman" w:cs="Times New Roman"/>
                <w:color w:val="000000"/>
                <w:sz w:val="20"/>
                <w:szCs w:val="20"/>
                <w:lang w:val="en-US"/>
              </w:rPr>
              <w:t>7</w:t>
            </w:r>
            <w:r>
              <w:rPr>
                <w:rFonts w:ascii="Times New Roman" w:hAnsi="Times New Roman" w:cs="Times New Roman"/>
                <w:color w:val="000000"/>
                <w:sz w:val="20"/>
                <w:szCs w:val="20"/>
                <w:lang w:val="en-US"/>
              </w:rPr>
              <w:t>]</w:t>
            </w:r>
          </w:p>
        </w:tc>
        <w:tc>
          <w:tcPr>
            <w:tcW w:w="1440" w:type="dxa"/>
            <w:shd w:val="clear" w:color="auto" w:fill="auto"/>
            <w:hideMark/>
          </w:tcPr>
          <w:p w14:paraId="41D3A3A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6F3A167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2021</w:t>
            </w:r>
          </w:p>
        </w:tc>
        <w:tc>
          <w:tcPr>
            <w:tcW w:w="1238" w:type="dxa"/>
            <w:shd w:val="clear" w:color="auto" w:fill="auto"/>
            <w:noWrap/>
            <w:hideMark/>
          </w:tcPr>
          <w:p w14:paraId="227C69B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19F0317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2EA6DE4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226</w:t>
            </w:r>
          </w:p>
        </w:tc>
        <w:tc>
          <w:tcPr>
            <w:tcW w:w="1472" w:type="dxa"/>
            <w:shd w:val="clear" w:color="auto" w:fill="auto"/>
            <w:noWrap/>
            <w:hideMark/>
          </w:tcPr>
          <w:p w14:paraId="52AB06A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4F561345" w14:textId="77777777" w:rsidTr="00D05366">
        <w:trPr>
          <w:trHeight w:val="315"/>
        </w:trPr>
        <w:tc>
          <w:tcPr>
            <w:tcW w:w="1327" w:type="dxa"/>
            <w:shd w:val="clear" w:color="auto" w:fill="auto"/>
            <w:noWrap/>
            <w:hideMark/>
          </w:tcPr>
          <w:p w14:paraId="4F0071C7" w14:textId="3AF1E90B"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Jemal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{"citationItems":[{"id":"ITEM-1","itemData":{"DOI":"10.4172/2155-6156.1000721","ISBN":"2155-6156","abstract":"Background: Diabetes mellitus (DM) refers to a group of common metabolic disorders that share the characteristic of hyperglycemia. It is associated with abnormalities in carbohydrate, fat, and protein metabolism and results in chronic complications including microvascular, macrovascular, and neuropathic disorders. Evidence indicates that it is the level of blood glucose, which the patients can achieve during their treatment, influences diabetic complications on the long run. Achievement of optimal blood sugar level is generally based appropriate utilization of existing oral antidiabetic drugs, proper adherence to prescribed regimens and patients' own managements of their illness. The study was, therefore, aimed to assess adherence to oral antidiabetic drugs among diabetic patients attending chronic ambulatory wards of Hiwot Fana Specialized University Hospital (HFSUH). Methods: Hospital based cross-sectional study design was conducted in HFSUH from January 1 -February 28, 2015 G.C. Convenience sampling technique was employed to select eligible diabetic patients during the study period. The data was collected by interviewing T2DM patients receiving antidiabetic medication and attending chronic ambulatory wards of HFSUH using structured questionnaire that includes Morisky four item adherence assessment method. The most recent fasting blood glucose (FBG) level was used for glycemic control. The collected data was processed and analyzed with SPSS version 16. Cross tabulation followed by Chi-square (x(2)) test was applied to show the association between categorical variables with adherence to antidiabetic medications. Results: As per the Morisky's four item method of adherence, 40 (20.4%) patients reported that they were not being careful in taking their medication, 31 (15.8%) patients forgot to take medications regularly, only 3 (1.53%) patients stopped medication when they felt better and the other 5 (2.55%) patients reported that they stopped when they felt worse. From this finding, 138 (70.4%) patients adhered to the prescribed oral anti -diabetic medications. However, the remaining 58 (29.6%) T2DM patients replied positive response (yes) at least one of the four items and were classified as non -adherent to their medication. Educational status and residence showed a statistically significant association with adherence status (P&lt;0.05). Moreover, a statistically significant association was also observed between adherences status and glycemic outcomes in t…","author":[{"dropping-particle":"","family":"Jemal","given":"A","non-dropping-particle":"","parse-names":false,"suffix":""},{"dropping-particle":"","family":"Abdela","given":"J","non-dropping-particle":"","parse-names":false,"suffix":""},{"dropping-particle":"","family":"Sisay","given":"M","non-dropping-particle":"","parse-names":false,"suffix":""}],"container-title":"Journal of Diabetes &amp; Metabolism","id":"ITEM-1","issue":"1","issued":{"date-parts":[["2017"]]},"note":"Jemal, Arif Abdela, Jemal Sisay, Mekonnen\nSisay, Mekonnen/AAD-3257-2020\nSisay, Mekonnen/0000-0001-6611-1174","title":"Adherence to Oral Antidiabetic Medications among Type 2 Diabetic (T2DM) Patients in Chronic Ambulatory Wards of Hiwot Fana Specialized University Hospital, Harar, Eastern Ethiopia: A Cross Sectional Study","type":"article-journal","volume":"8"},"uris":["http://www.mendeley.com/documents/?uuid=9e344d41-9ac0-469a-9117-881a901191d1"]}],"mendeley":{"formattedCitation":"(121)","manualFormatting":"[59","plainTextFormattedCitation":"(121)","previouslyFormattedCitation":"(125)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8978F6">
              <w:rPr>
                <w:rFonts w:ascii="Times New Roman" w:hAnsi="Times New Roman" w:cs="Times New Roman"/>
                <w:color w:val="000000"/>
                <w:sz w:val="20"/>
                <w:szCs w:val="20"/>
                <w:lang w:val="en-US"/>
              </w:rPr>
              <w:t>48</w:t>
            </w:r>
            <w:r>
              <w:rPr>
                <w:rFonts w:ascii="Times New Roman" w:hAnsi="Times New Roman" w:cs="Times New Roman"/>
                <w:color w:val="000000"/>
                <w:sz w:val="20"/>
                <w:szCs w:val="20"/>
                <w:lang w:val="en-US"/>
              </w:rPr>
              <w:t>]</w:t>
            </w:r>
          </w:p>
        </w:tc>
        <w:tc>
          <w:tcPr>
            <w:tcW w:w="1440" w:type="dxa"/>
            <w:shd w:val="clear" w:color="auto" w:fill="auto"/>
            <w:hideMark/>
          </w:tcPr>
          <w:p w14:paraId="5F19C42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7A86AC0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1B81D08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5E28771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hideMark/>
          </w:tcPr>
          <w:p w14:paraId="516CCCB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196</w:t>
            </w:r>
          </w:p>
        </w:tc>
        <w:tc>
          <w:tcPr>
            <w:tcW w:w="1472" w:type="dxa"/>
            <w:shd w:val="clear" w:color="auto" w:fill="auto"/>
            <w:noWrap/>
            <w:hideMark/>
          </w:tcPr>
          <w:p w14:paraId="55F5BCB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1B57D40F" w14:textId="77777777" w:rsidTr="00D05366">
        <w:trPr>
          <w:trHeight w:val="467"/>
        </w:trPr>
        <w:tc>
          <w:tcPr>
            <w:tcW w:w="1327" w:type="dxa"/>
            <w:shd w:val="clear" w:color="auto" w:fill="auto"/>
            <w:noWrap/>
            <w:hideMark/>
          </w:tcPr>
          <w:p w14:paraId="342E26E4" w14:textId="4CBE964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Karau</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{"citationItems":[{"id":"ITEM-1","itemData":{"DOI":"10.11604/pamj.2019.34.38.18936","ISSN":"19378688","PMID":"31762905","abstract":"Introduction: the prevalence of diabetes mellitus is rising at an alarming rate, calling for more insights into its pathogenetic mechanisms, and other factors involved in its progression. The prevalence of vitamin D deficiency is higher in diabetic compared to non-diabetic patients, and is associated with poor glycaemic control. This has not been documented among diabetic patients in Kenya. Aims: to determine the prevalence of hypovitaminosis D among type 2 diabetic patients at Kenyatta National Hospital in Nairobi, Kenya. Methods: we recruited type 2 diabetic patients on follow-up at Kenyatta National Hospital. Measurements of height, weight and waist/hip ratios were taken. We drew 6mls of peripheral blood to determine vitamin D, zinc and HbA1c levels. Results: a total of 151 participants were recruited, with 69.5% females and mean age of 58.2 years. Hypertension was found in 72.8% of the participants, and obesity in 37.7%. The mean HbA1c levels were 8.46%, and 62.9% had poor glycaemic control. The mean vitamin D level was 31.40ng/ml. Vitamin D deficiency and insufficiency was found in 38.4% and 21.9% of the participants respectively. We found a significant inverse correlation between vitamin D and glycaemic control (r =-0.09, p = 0.044) and vitamin D and BMI (r =-0.145, p = 0.045). Conclusion: in this study population on long-term follow-up for diabetes, there was high prevalence of vitamin D deficiency. This forms a basis for further management of patients with poor glycaemic control. Further studies are needed to document the causal association between poor glycaemic control and vitamin D deficiency.","author":[{"dropping-particle":"","family":"Karau","given":"Paul Bundi","non-dropping-particle":"","parse-names":false,"suffix":""},{"dropping-particle":"","family":"Kirna","given":"Bhatt","non-dropping-particle":"","parse-names":false,"suffix":""},{"dropping-particle":"","family":"Amayo","given":"Erastus","non-dropping-particle":"","parse-names":false,"suffix":""},{"dropping-particle":"","family":"Joshi","given":"Mark","non-dropping-particle":"","parse-names":false,"suffix":""},{"dropping-particle":"","family":"Ngare","given":"Stanley","non-dropping-particle":"","parse-names":false,"suffix":""},{"dropping-particle":"","family":"Muriira","given":"Geoffrey","non-dropping-particle":"","parse-names":false,"suffix":""}],"container-title":"Pan African Medical Journal","id":"ITEM-1","issued":{"date-parts":[["2019"]]},"page":"1-11","title":"The prevalence of vitamin D deficiency among patients with type 2 diabetes seen at a referral hospital in Kenya","type":"article-journal","volume":"34"},"uris":["http://www.mendeley.com/documents/?uuid=e4c8a875-1e30-4d9c-b9f4-cfa3ea379d0a"]}],"mendeley":{"formattedCitation":"(122)","manualFormatting":"[60","plainTextFormattedCitation":"(122)","previouslyFormattedCitation":"(126)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49</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996D71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r w:rsidRPr="000C26B9">
              <w:rPr>
                <w:rFonts w:ascii="Times New Roman" w:hAnsi="Times New Roman" w:cs="Times New Roman"/>
                <w:color w:val="000000"/>
                <w:sz w:val="20"/>
                <w:szCs w:val="20"/>
                <w:lang w:val="en-US"/>
              </w:rPr>
              <w:br/>
              <w:t xml:space="preserve"> </w:t>
            </w:r>
          </w:p>
        </w:tc>
        <w:tc>
          <w:tcPr>
            <w:tcW w:w="1194" w:type="dxa"/>
            <w:shd w:val="clear" w:color="auto" w:fill="auto"/>
            <w:noWrap/>
            <w:hideMark/>
          </w:tcPr>
          <w:p w14:paraId="5AC6542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05979BB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Kenya</w:t>
            </w:r>
          </w:p>
        </w:tc>
        <w:tc>
          <w:tcPr>
            <w:tcW w:w="1761" w:type="dxa"/>
            <w:shd w:val="clear" w:color="auto" w:fill="auto"/>
            <w:hideMark/>
          </w:tcPr>
          <w:p w14:paraId="243C6CE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&gt;18 years</w:t>
            </w:r>
          </w:p>
        </w:tc>
        <w:tc>
          <w:tcPr>
            <w:tcW w:w="850" w:type="dxa"/>
            <w:shd w:val="clear" w:color="auto" w:fill="auto"/>
            <w:hideMark/>
          </w:tcPr>
          <w:p w14:paraId="3D2ABC1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151</w:t>
            </w:r>
          </w:p>
        </w:tc>
        <w:tc>
          <w:tcPr>
            <w:tcW w:w="1472" w:type="dxa"/>
            <w:shd w:val="clear" w:color="auto" w:fill="auto"/>
            <w:noWrap/>
            <w:hideMark/>
          </w:tcPr>
          <w:p w14:paraId="2B7DFCC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643BC329" w14:textId="77777777" w:rsidTr="00D05366">
        <w:trPr>
          <w:trHeight w:val="690"/>
        </w:trPr>
        <w:tc>
          <w:tcPr>
            <w:tcW w:w="1327" w:type="dxa"/>
            <w:shd w:val="clear" w:color="auto" w:fill="auto"/>
            <w:noWrap/>
            <w:hideMark/>
          </w:tcPr>
          <w:p w14:paraId="136F14E6" w14:textId="30D48E0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Leulseged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{"citationItems":[{"id":"ITEM-1","itemData":{"DOI":"10.1371/journal.pone.0220309","ISBN":"1111111111","abstract":"Aim To estimate time to first optimal glycaemic control and identify prognostic factors among type 2 diabetes mellitus (T2DM) patients attending diabetes clinic of public teaching hospitals in Addis Ababa, Ethiopia. Methods A retrospective chart review study was conducted at diabetes clinic of Addis Ababa's public teaching hospitals among a randomly selected sample of 685 charts of patients with T2DMwho were on follow up from January 1, 2013 to June 30, 2017. Data was collected using data abstraction tool. Descriptive statistics, Kaplan Meier plots, median survival time, Log-rank test and Cox proportional hazard survival models were used for analysis. Results Median time to first optimal glycaemic control among the study population was 9.5 months. Factors that affect time to first optimal glycaemic control were age group (HR = 0.635, 95% CI: 0.486-0.831 for 50-59 years, HR = 0.558, 95% CI: 0.403-0.771for 60-69 years and HR = 0.495, 95% CI: 0.310-0.790 for &gt; = 70 years), diabetes neuropathy (HR = 0.502, 95% CI: 0.375-0.672), more than one complication (HR = 0.381, 95% CI: 0.177-0.816), hyperten-sion (HR = 0.611, 95% CI: 0.486-0.769), dyslipidemia (HR = 0.609, 95% CI: 0.450-0.824), cardiovascular disease (HR = 0.670, 95% CI: 0.458-0.979) and hospital patient being treated (HR = 1.273, 95% CI: 1.052-1.541). Conclusions Median time to first optimal glycaemic control among T2DM patients is longer than expected which might imply that patients are being exposed to more risk of complication and death. PLOS ONE | https://doi.","author":[{"dropping-particle":"","family":"Leulseged Id","given":"Tigist W","non-dropping-particle":"","parse-names":false,"suffix":""},{"dropping-particle":"","family":"Id","given":"Birhanu T Ayele","non-dropping-particle":"","parse-names":false,"suffix":""}],"id":"ITEM-1","issued":{"date-parts":[["2019"]]},"title":"Time to optimal glycaemic control and prognostic factors among type 2 diabetes mellitus patients in public teaching hospitals in Addis Ababa, Ethiopia","type":"article-journal"},"uris":["http://www.mendeley.com/documents/?uuid=a7baef3c-5f16-3e47-bfc6-134749952ec5"]}],"mendeley":{"formattedCitation":"(123)","manualFormatting":"[61","plainTextFormattedCitation":"(123)","previouslyFormattedCitation":"(127)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50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781800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Retrospective</w:t>
            </w:r>
            <w:r w:rsidRPr="000C26B9">
              <w:rPr>
                <w:rFonts w:ascii="Times New Roman" w:hAnsi="Times New Roman" w:cs="Times New Roman"/>
                <w:color w:val="000000"/>
                <w:sz w:val="20"/>
                <w:szCs w:val="20"/>
                <w:lang w:val="en-US"/>
              </w:rPr>
              <w:br/>
              <w:t xml:space="preserve">chart Review </w:t>
            </w:r>
          </w:p>
        </w:tc>
        <w:tc>
          <w:tcPr>
            <w:tcW w:w="1194" w:type="dxa"/>
            <w:shd w:val="clear" w:color="auto" w:fill="auto"/>
            <w:noWrap/>
            <w:hideMark/>
          </w:tcPr>
          <w:p w14:paraId="2E19DA3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30D5875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0AB5C4C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&gt;18 years</w:t>
            </w:r>
          </w:p>
        </w:tc>
        <w:tc>
          <w:tcPr>
            <w:tcW w:w="850" w:type="dxa"/>
            <w:shd w:val="clear" w:color="auto" w:fill="auto"/>
            <w:hideMark/>
          </w:tcPr>
          <w:p w14:paraId="7A4B24F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686</w:t>
            </w:r>
          </w:p>
        </w:tc>
        <w:tc>
          <w:tcPr>
            <w:tcW w:w="1472" w:type="dxa"/>
            <w:shd w:val="clear" w:color="auto" w:fill="auto"/>
            <w:hideMark/>
          </w:tcPr>
          <w:p w14:paraId="2FD6F32D"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time to optimal glycaemic control and associated factors</w:t>
            </w:r>
          </w:p>
        </w:tc>
      </w:tr>
      <w:tr w:rsidR="000F54D9" w:rsidRPr="000C26B9" w14:paraId="4F473980" w14:textId="77777777" w:rsidTr="00D05366">
        <w:trPr>
          <w:trHeight w:val="827"/>
        </w:trPr>
        <w:tc>
          <w:tcPr>
            <w:tcW w:w="1327" w:type="dxa"/>
            <w:shd w:val="clear" w:color="auto" w:fill="auto"/>
            <w:noWrap/>
            <w:hideMark/>
          </w:tcPr>
          <w:p w14:paraId="63BAF67A" w14:textId="517525C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Madela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{"citationItems":[{"id":"ITEM-1","itemData":{"ISSN":"2071-2936","abstract":"Background: Non-communicable diseases (NCDs) are a major public health concern with raised blood pressure and glucose emerging as leading causes of death and disability. Aim: This community-based demonstration project using community caregivers (CCGs) trained in screening for hypertension and diabetes aimed at improving early detection and linkage to care and management. Setting: The project was conducted in KwaZulu-Natal province. Methods: The CCGs were trained in NCD-related health education, promotion and screening for hypertension and diabetes using an accredited programme. The CCGs screened community members for hypertension and diabetes using three screening methods: door-to-door visits, community campaigns and workplaces. Results: Twenty-five CCGs received the accredited NCD training. A total of 10 832 community members were screened for hypertension and 6481 had their blood glucose measured. Of those screened, 29.7% and 4.4%, respectively, had raised blood pressure (≥ 140/90 mmHg) and blood glucose (≥ 11.0 mmol/L) who required referral to a primary healthcare facility. More than one in five (21.0%, n = 1448), of those with no previous hypertension diagnosis, were found to have raised blood pressure at screening, representing newly detected cases. Less than a third (28.5%) of patients referred to the facilities for raised blood pressure actually presented themselves for a facility assessment, of which 71.8% had their hypertension diagnosis confirmed and were advised to continue, adjust or initiate treatment. Similarly, 29.1% of patients referred to the facilities for raised blood glucose presented themselves at the facility, of which 71.4% received a confirmatory diabetes diagnosis. Conclusion: Community caregivers played an important role in early detection of raised blood pressure and raised blood glucose, and in referring patients to primary care","author":[{"dropping-particle":"","family":"Madela","given":"Sanele","non-dropping-particle":"","parse-names":false,"suffix":""},{"dropping-particle":"","family":"James","given":"Shamagonam","non-dropping-particle":"","parse-names":false,"suffix":""},{"dropping-particle":"","family":"Sewpaul","given":"Ronel","non-dropping-particle":"","parse-names":false,"suffix":""},{"dropping-particle":"","family":"Madela","given":"Siyathokoza","non-dropping-particle":"","parse-names":false,"suffix":""},{"dropping-particle":"","family":"Reddy","given":"Priscilla","non-dropping-particle":"","parse-names":false,"suffix":""}],"container-title":"African Journal of Primary Health Care &amp;amp; Family Medicine","id":"ITEM-1","issued":{"date-parts":[["2020"]]},"language":"en","title":"Early detection, care and control of hypertension and diabetes in South Africa: A community-based approach","type":"article-journal"},"uris":["http://www.mendeley.com/documents/?uuid=899d4fae-cffc-4cd8-9469-f02a3cd8d49f"]}],"mendeley":{"formattedCitation":"(124)","manualFormatting":"[62","plainTextFormattedCitation":"(124)","previouslyFormattedCitation":"(128)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8978F6">
              <w:rPr>
                <w:rFonts w:ascii="Times New Roman" w:hAnsi="Times New Roman" w:cs="Times New Roman"/>
                <w:noProof/>
                <w:color w:val="000000"/>
                <w:sz w:val="20"/>
                <w:szCs w:val="20"/>
                <w:lang w:val="en-US"/>
              </w:rPr>
              <w:t>51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68E867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74C8EBB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1238" w:type="dxa"/>
            <w:shd w:val="clear" w:color="auto" w:fill="auto"/>
            <w:noWrap/>
            <w:hideMark/>
          </w:tcPr>
          <w:p w14:paraId="5B0730E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3DEB158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General Population </w:t>
            </w:r>
          </w:p>
        </w:tc>
        <w:tc>
          <w:tcPr>
            <w:tcW w:w="850" w:type="dxa"/>
            <w:shd w:val="clear" w:color="auto" w:fill="auto"/>
            <w:hideMark/>
          </w:tcPr>
          <w:p w14:paraId="7EA4FA0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6481</w:t>
            </w:r>
          </w:p>
        </w:tc>
        <w:tc>
          <w:tcPr>
            <w:tcW w:w="1472" w:type="dxa"/>
            <w:shd w:val="clear" w:color="auto" w:fill="auto"/>
            <w:hideMark/>
          </w:tcPr>
          <w:p w14:paraId="1A1914FF"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screening </w:t>
            </w:r>
            <w:r w:rsidRPr="000C26B9">
              <w:rPr>
                <w:rFonts w:ascii="Times New Roman" w:hAnsi="Times New Roman" w:cs="Times New Roman"/>
                <w:color w:val="000000"/>
                <w:sz w:val="20"/>
                <w:szCs w:val="20"/>
                <w:lang w:val="en-US"/>
              </w:rPr>
              <w:br/>
              <w:t xml:space="preserve">general population for </w:t>
            </w:r>
            <w:r w:rsidRPr="000C26B9">
              <w:rPr>
                <w:rFonts w:ascii="Times New Roman" w:hAnsi="Times New Roman" w:cs="Times New Roman"/>
                <w:color w:val="000000"/>
                <w:sz w:val="20"/>
                <w:szCs w:val="20"/>
                <w:lang w:val="en-US"/>
              </w:rPr>
              <w:br/>
              <w:t>hypertension and diabetes</w:t>
            </w:r>
          </w:p>
        </w:tc>
      </w:tr>
      <w:tr w:rsidR="000F54D9" w:rsidRPr="000C26B9" w14:paraId="11A15ABC" w14:textId="77777777" w:rsidTr="00D05366">
        <w:trPr>
          <w:trHeight w:val="630"/>
        </w:trPr>
        <w:tc>
          <w:tcPr>
            <w:tcW w:w="1327" w:type="dxa"/>
            <w:shd w:val="clear" w:color="auto" w:fill="auto"/>
            <w:noWrap/>
            <w:hideMark/>
          </w:tcPr>
          <w:p w14:paraId="7A75CC8C" w14:textId="1499FA69"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 xml:space="preserve">Makan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{"citationItems":[{"id":"ITEM-1","itemData":{"ISBN":"16089677","abstract":"AFRICAN DEVELOPMENT Abstract: Background: Management of type 2 diabetes mellitus is often suboptimal, possibly because of over-reliance on physician-driven care, which fails to address psycho-social and lifestyle factors that are necessary to improve control. We prospectively studied the effect of a multi-disciplinary team approach on several determinants of outcome in type 2 diabetes mellitus. Method: Participants were recruited from a diabetic outpatient department and followed-up for five months. Of 18 participants initially recruited, 14 (77.8%) completed the study course. A multidisciplinary team consisting of a physician, nurse, physiotherapist, dietitian, podiatrist and social worker reviewed each participant on a monthly basis and provided speciality-based education and intervention. Body mass index (BMI), random hemo gluco test (HGT), and blood pressure (BP) were measured at the start of the intervention and on study completion. Change in parameters was analysed using the Wilcoxon matched pairs test. P-value &lt; 0.05 was considered to be significant. Results: Reduction in haemoglobin A1c (HbA1c) was observed in 92% of participants. The change in HBA1c was statistically significant (p-value = 0.007). Possibly as a result of the short duration of this study, this reduction was below the CTID recommended target. Fifty-five per cent of participants showed nonstatistically significant improvement in random HGT (p-value = 0.51). Systolic BP improved nonsignificantly in 72% (p-value = 0.45). Diastolic BP improved nonsignificantly in 73% (p-value = 0.11). Sixty-four per cent improved BMI nonsignificantly (p-value = 0.68). Conclusion: A multi-disciplinary team approach may assist in improving HbA1c in type 2 diabetes mellitus. This approach may also be of benefit in improving random HGT, BMI and BP. A multidisciplinary team approach is a useful means to improve management of type 2 diabetes mellitus","author":[{"dropping-particle":"","family":"Makan","given":"G","non-dropping-particle":"","parse-names":false,"suffix":""},{"dropping-particle":"","family":"Bayat","given":"Z","non-dropping-particle":"","parse-names":false,"suffix":""},{"dropping-particle":"","family":"Arumugam","given":"A","non-dropping-particle":"","parse-names":false,"suffix":""},{"dropping-particle":"","family":"Henning","given":"E","non-dropping-particle":"","parse-names":false,"suffix":""},{"dropping-particle":"","family":"Helen Joseph Hospital","given":"South Africa","non-dropping-particle":"","parse-names":false,"suffix":""}],"container-title":"Journal of Endocrinology, Metabolism and Diabetes of South Africa","id":"ITEM-1","issue":"1","issued":{"date-parts":[["2013","1","1"]]},"note":"Database Contributor: AFRICAN DEVELOPMENT DATABASE. Database Contributor ID: 1302451-1. Language: English. Publication Type: Conference / Workshop Abstract. Conference: 48th Congress of the Society for Endocrinology, Metabolism and Diabetes of South Africa (SEMDSA) and 11th Congress of the Lipid and Atherosclerosis Society of Southern Africa (LASSA); 48th Congress of the Society for Endocrinology, Metabolism and Diabetes of South Africa (SEMDSA) and 11th Congress of the Lipid and Atherosclerosis Society of Southern Africa (LASSA). Accession Number: 1302451-1.","page":"1","title":"Effect of a multi-disciplinary approach in the treatment of type 2 diabetes mellitus","type":"article","volume":"18"},"uris":["http://www.mendeley.com/documents/?uuid=0fa1a5e5-a243-4b9a-b469-fbd4ded344d1"]}],"mendeley":{"formattedCitation":"(125)","manualFormatting":"[63","plainTextFormattedCitation":"(125)","previouslyFormattedCitation":"(129)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52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4350A0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prospective study</w:t>
            </w:r>
          </w:p>
        </w:tc>
        <w:tc>
          <w:tcPr>
            <w:tcW w:w="1194" w:type="dxa"/>
            <w:shd w:val="clear" w:color="auto" w:fill="auto"/>
            <w:noWrap/>
            <w:hideMark/>
          </w:tcPr>
          <w:p w14:paraId="51CE691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76A15F5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27D3158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67ED80D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14</w:t>
            </w:r>
          </w:p>
        </w:tc>
        <w:tc>
          <w:tcPr>
            <w:tcW w:w="1472" w:type="dxa"/>
            <w:shd w:val="clear" w:color="auto" w:fill="auto"/>
            <w:hideMark/>
          </w:tcPr>
          <w:p w14:paraId="1D744C5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Study type: conference proceeding</w:t>
            </w:r>
          </w:p>
        </w:tc>
      </w:tr>
      <w:tr w:rsidR="000F54D9" w:rsidRPr="000C26B9" w14:paraId="11F52580" w14:textId="77777777" w:rsidTr="00D05366">
        <w:trPr>
          <w:trHeight w:val="315"/>
        </w:trPr>
        <w:tc>
          <w:tcPr>
            <w:tcW w:w="1327" w:type="dxa"/>
            <w:shd w:val="clear" w:color="auto" w:fill="auto"/>
            <w:noWrap/>
            <w:hideMark/>
          </w:tcPr>
          <w:p w14:paraId="76228974" w14:textId="56D6A02A"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Mashitisho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{"citationItems":[{"id":"ITEM-1","itemData":{"ISSN":"16089677","abstract":"AJOL Abstract: Type 2 diabetes mellitus (T2DM) is a progressive disease characterised by beta cell dysfunction and insulin resistance. Beta celldysfunction progresses to beta cell failure. Many patients with T2DM are managed with oral agents until complications develop.‘Clinical inertia’ in T2DM, defined as lack of initiation or intensification of therapy when clinically indicated, is common amongclinicians. Patients are exposed to hyperglycaemia for a long time resulting in glucotoxicity to beta cells, leading to further betacell deterioration. The traditional approach to the management of T2DM is lifestyle change, diet, exercise, weight loss, oral agentsand, lastly, insulin. This traditional approach is usually carried out step-by-step and at a slow pace, with insulin offered as a lastoption. By the time insulin therapy is initiated, complications have already developed. It is, therefore, important for cliniciansto be aware of the importance of initiating insulin therapy early to prevent poor glycaemic control and the development ofdiabetes-related complications","author":[{"dropping-particle":"","family":"Mashitisho","given":"M L I","non-dropping-particle":"","parse-names":false,"suffix":""},{"dropping-particle":"","family":"Mashitisho","given":"B G","non-dropping-particle":"","parse-names":false,"suffix":""},{"dropping-particle":"","family":"University","given":"Sefako Makgatho Health Sciences","non-dropping-particle":"","parse-names":false,"suffix":""}],"container-title":"Journal of Endocrinology, Metabolism and Diabetes of South Africa","id":"ITEM-1","issue":"1","issued":{"date-parts":[["2016","1","1"]]},"note":"Database Contributor: COMPOSITE RECORD; AFRICAN JOURNALS ONLINE [AJOL]; AFRICAN DEVELOPMENT DATABASE. Database Contributor ID: jemdsa-134300; 1281249. Language: English. Document Type: Article. Publication Type: Peer-reviewed Article; Article. Accession Number: jemdsa-134300.","page":"50-54","title":"Early insulin therapy in patients with type 2 diabetes mellitus","type":"article-journal","volume":"21"},"uris":["http://www.mendeley.com/documents/?uuid=757509a4-d562-480f-a988-6d4af5bfa38b"]}],"mendeley":{"formattedCitation":"(126)","manualFormatting":"[64","plainTextFormattedCitation":"(126)","previouslyFormattedCitation":"(130)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53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60018F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Review</w:t>
            </w:r>
          </w:p>
        </w:tc>
        <w:tc>
          <w:tcPr>
            <w:tcW w:w="1194" w:type="dxa"/>
            <w:shd w:val="clear" w:color="auto" w:fill="auto"/>
            <w:noWrap/>
            <w:hideMark/>
          </w:tcPr>
          <w:p w14:paraId="6CCA458B"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noWrap/>
            <w:hideMark/>
          </w:tcPr>
          <w:p w14:paraId="26DADDD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761" w:type="dxa"/>
            <w:shd w:val="clear" w:color="auto" w:fill="auto"/>
            <w:hideMark/>
          </w:tcPr>
          <w:p w14:paraId="357D036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17F95EA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472" w:type="dxa"/>
            <w:shd w:val="clear" w:color="auto" w:fill="auto"/>
            <w:hideMark/>
          </w:tcPr>
          <w:p w14:paraId="54B07E9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Study type: </w:t>
            </w:r>
            <w:r>
              <w:rPr>
                <w:rFonts w:ascii="Times New Roman" w:hAnsi="Times New Roman" w:cs="Times New Roman"/>
                <w:color w:val="000000"/>
                <w:sz w:val="20"/>
                <w:szCs w:val="20"/>
                <w:lang w:val="en-US"/>
              </w:rPr>
              <w:t xml:space="preserve">a </w:t>
            </w:r>
            <w:r w:rsidRPr="000C26B9">
              <w:rPr>
                <w:rFonts w:ascii="Times New Roman" w:hAnsi="Times New Roman" w:cs="Times New Roman"/>
                <w:color w:val="000000"/>
                <w:sz w:val="20"/>
                <w:szCs w:val="20"/>
                <w:lang w:val="en-US"/>
              </w:rPr>
              <w:t>clinical review</w:t>
            </w:r>
          </w:p>
        </w:tc>
      </w:tr>
      <w:tr w:rsidR="000F54D9" w:rsidRPr="000C26B9" w14:paraId="2806CBC2" w14:textId="77777777" w:rsidTr="00D05366">
        <w:trPr>
          <w:trHeight w:val="630"/>
        </w:trPr>
        <w:tc>
          <w:tcPr>
            <w:tcW w:w="1327" w:type="dxa"/>
            <w:shd w:val="clear" w:color="auto" w:fill="auto"/>
            <w:noWrap/>
            <w:hideMark/>
          </w:tcPr>
          <w:p w14:paraId="04AC4D49" w14:textId="5D5693C2"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Matheka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{"citationItems":[{"id":"ITEM-1","itemData":{"DOI":"10.1186/1744-8603-9-55","ISSN":"17448603","PMID":"24192011","abstract":"Background: Glycated haemoglobin (HbA1C) measurement is the currently accepted gold standard biochemical indicator of long-term glycemic control in diabetic patients. The level of knowledge as well as the frequency of use of this test among diabetic patients in Kenya is unknown. The current study aimed to document this among patients attending the diabetes clinic at a national referral hospital in Kenya.Methods: One hundred and ninety eight diabetic patients (59 male and 139 female) attending the outpatient diabetes clinic at the Kenyatta National Hospital were interviewed on their level of knowledge and use of the HbA1C test, as well as their last HbA1C level. The respondent answers were tabulated, analyzed and summarized. The sample mean, standard deviation and percentages were calculated.Results: Of the 198 patients interviewed, 11 (5.6%) had type I diabetes mellitus (DM) while 187 (94.4%) had type II DM. One hundred and thirty four patients (67.7%) had heard of the HbA1C test while 64 patients (32.3%) had never heard of the test. Forty patients (20.2%) had at one point done the test while 158 (79.8%) had never done the test. The mean HbA1C level of the 40 patients who had at any one time done the test was 8.5 ± 1.7%, with more than 90% having HbA1C &gt; 8%.Conclusion: Using self-reported accounts, the current study indicates inadequate knowledge and infrequent testing of HbA1C among diabetic outpatients in Kenya. This lack of knowledge and awareness may lead to increased susceptibility to the development of diabetic complications, and potentially higher healthcare costs among these patients. It is our recommendation that policy makers focus on strategies that address HbA1C test accessibility in Kenya, including financial coverage by the national insurance to access the test in public facilities, so as to effectively monitor and combat DM. © 2013 Matheka et al.; licensee BioMed Central Ltd.","author":[{"dropping-particle":"","family":"Matheka","given":"Duncan M.","non-dropping-particle":"","parse-names":false,"suffix":""},{"dropping-particle":"","family":"Kilonzo","given":"Jeremiah M.","non-dropping-particle":"","parse-names":false,"suffix":""},{"dropping-particle":"","family":"Munguti","given":"Cecilia M.","non-dropping-particle":"","parse-names":false,"suffix":""},{"dropping-particle":"","family":"Mwangi","given":"Peter W.","non-dropping-particle":"","parse-names":false,"suffix":""}],"container-title":"Globalization and Health","id":"ITEM-1","issue":"1","issued":{"date-parts":[["2013"]]},"page":"1","publisher":"Globalization and Health","title":"Pattern, knowledge and practices of HbA1C testing among diabetic patients in a Kenyan tertiary referral hospital","type":"article-journal","volume":"9"},"uris":["http://www.mendeley.com/documents/?uuid=0634964d-cea7-43ad-ad04-cf44bd8e07c0"]}],"mendeley":{"formattedCitation":"(43)","manualFormatting":"[65","plainTextFormattedCitation":"(43)","previouslyFormattedCitation":"(42)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54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11D9C5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4802D57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2FC45B1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Kenya</w:t>
            </w:r>
          </w:p>
        </w:tc>
        <w:tc>
          <w:tcPr>
            <w:tcW w:w="1761" w:type="dxa"/>
            <w:shd w:val="clear" w:color="auto" w:fill="auto"/>
            <w:hideMark/>
          </w:tcPr>
          <w:p w14:paraId="1AE6B2C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1F64819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198</w:t>
            </w:r>
          </w:p>
        </w:tc>
        <w:tc>
          <w:tcPr>
            <w:tcW w:w="1472" w:type="dxa"/>
            <w:shd w:val="clear" w:color="auto" w:fill="auto"/>
            <w:hideMark/>
          </w:tcPr>
          <w:p w14:paraId="6DCB36EB"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r>
              <w:rPr>
                <w:rFonts w:ascii="Calibri" w:hAnsi="Calibri" w:cs="Calibri"/>
                <w:color w:val="000000"/>
                <w:sz w:val="20"/>
                <w:szCs w:val="20"/>
                <w:lang w:val="en-US"/>
              </w:rPr>
              <w:t>;</w:t>
            </w:r>
            <w:r w:rsidRPr="000C26B9">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use and level of glycosylated </w:t>
            </w:r>
            <w:r>
              <w:rPr>
                <w:rFonts w:ascii="Times New Roman" w:hAnsi="Times New Roman" w:cs="Times New Roman"/>
                <w:color w:val="000000"/>
                <w:sz w:val="20"/>
                <w:szCs w:val="20"/>
                <w:lang w:val="en-US"/>
              </w:rPr>
              <w:t>haemoglobin</w:t>
            </w:r>
            <w:r w:rsidRPr="000C26B9">
              <w:rPr>
                <w:rFonts w:ascii="Times New Roman" w:hAnsi="Times New Roman" w:cs="Times New Roman"/>
                <w:color w:val="000000"/>
                <w:sz w:val="20"/>
                <w:szCs w:val="20"/>
                <w:lang w:val="en-US"/>
              </w:rPr>
              <w:t xml:space="preserve"> (HbA1c)</w:t>
            </w:r>
          </w:p>
        </w:tc>
      </w:tr>
      <w:tr w:rsidR="000F54D9" w:rsidRPr="000C26B9" w14:paraId="6262F03F" w14:textId="77777777" w:rsidTr="00D05366">
        <w:trPr>
          <w:trHeight w:val="630"/>
        </w:trPr>
        <w:tc>
          <w:tcPr>
            <w:tcW w:w="1327" w:type="dxa"/>
            <w:shd w:val="clear" w:color="auto" w:fill="auto"/>
            <w:noWrap/>
            <w:hideMark/>
          </w:tcPr>
          <w:p w14:paraId="27C3AB05" w14:textId="608BEF9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Matshipi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{"citationItems":[{"id":"ITEM-1","itemData":{"DOI":"10.3390/ijerph14020198","ISSN":"16604601","PMID":"28212346","abstract":"Unhealthy lifestyle characteristics such as low physical activity (PA) and high plasma glucose levels (PGLs) may lead to the development of type 2 diabetes mellitus in adulthood. The aim of this study was to investigate (i) the level of physical activity; (ii) the prevalence of pre-diabetes and (iii) the relationship between PA and plasma glucose level in a rural Ellisras adult population aged 18 to 28 years. A total of 713 young adults (349 males and 364 females) who took part in the Ellisras Longitudinal Study participated in the study. Fasting plasma glucose levels were analysed using Accutrend glucose meters. Physical activity data was collected using a validated questionnaire. Linear regression was used to assess the relationship between PA and pre-diabetes. The prevalence of pre-diabetes was between 45.7% and 50.2% and that of physical inactivity was 67.3% and 71.0% for males and females, respectively. There was no significant (p &gt; 0.05) relationship between PA and pre-diabetes (beta = 1.016; 95% Confidence Interval from 0.352 to 2.777). The health benefits of PA increased with the increasing frequency, duration and intensity of exercise. The prevalence of pre-diabetes was found to be very high in this population. Our results suggest that greater physical activity is associated with low plasma glucose levels.","author":[{"dropping-particle":"","family":"Matshipi","given":"Moloko","non-dropping-particle":"","parse-names":false,"suffix":""},{"dropping-particle":"","family":"Monyeki","given":"Kotsedi Daniel","non-dropping-particle":"","parse-names":false,"suffix":""},{"dropping-particle":"","family":"Kemper","given":"Han","non-dropping-particle":"","parse-names":false,"suffix":""}],"container-title":"International Journal of Environmental Research and Public Health","id":"ITEM-1","issue":"2","issued":{"date-parts":[["2017","2","16"]]},"publisher":"MDPI AG","title":"The relationship between physical activity and plasma glucose level amongst ellisras rural young adult males and females: Ellisras longitudinal study","type":"article-journal","volume":"14"},"uris":["http://www.mendeley.com/documents/?uuid=34f0aea2-eac5-3314-9f04-b5e49723cfb2"]}],"mendeley":{"formattedCitation":"(127)","manualFormatting":"[66","plainTextFormattedCitation":"(127)","previouslyFormattedCitation":"(131)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55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884949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Longitudinal study</w:t>
            </w:r>
          </w:p>
        </w:tc>
        <w:tc>
          <w:tcPr>
            <w:tcW w:w="1194" w:type="dxa"/>
            <w:shd w:val="clear" w:color="auto" w:fill="auto"/>
            <w:noWrap/>
            <w:hideMark/>
          </w:tcPr>
          <w:p w14:paraId="314634E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6D689B5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611D655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General Population</w:t>
            </w:r>
          </w:p>
        </w:tc>
        <w:tc>
          <w:tcPr>
            <w:tcW w:w="850" w:type="dxa"/>
            <w:shd w:val="clear" w:color="auto" w:fill="auto"/>
            <w:hideMark/>
          </w:tcPr>
          <w:p w14:paraId="3FC5FF71"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713</w:t>
            </w:r>
          </w:p>
        </w:tc>
        <w:tc>
          <w:tcPr>
            <w:tcW w:w="1472" w:type="dxa"/>
            <w:shd w:val="clear" w:color="auto" w:fill="auto"/>
            <w:hideMark/>
          </w:tcPr>
          <w:p w14:paraId="29E5726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Other population</w:t>
            </w:r>
          </w:p>
        </w:tc>
      </w:tr>
      <w:tr w:rsidR="000F54D9" w:rsidRPr="000C26B9" w14:paraId="5CB1E05D" w14:textId="77777777" w:rsidTr="00D05366">
        <w:trPr>
          <w:trHeight w:val="630"/>
        </w:trPr>
        <w:tc>
          <w:tcPr>
            <w:tcW w:w="1327" w:type="dxa"/>
            <w:shd w:val="clear" w:color="auto" w:fill="auto"/>
            <w:noWrap/>
            <w:hideMark/>
          </w:tcPr>
          <w:p w14:paraId="08A79361" w14:textId="693BCC63"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Mbwete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{"citationItems":[{"id":"ITEM-1","itemData":{"DOI":"10.1155/2020/4376251","ISBN":"2314-6745","abstract":"Background. Hypertension (HTN) can be present in up to two-thirds of patients living with diabetes mellitus (DM). It is a risk factor for the development of diabetes as well as complications like coronary artery disease (CAD), nephropathy, retinopathy, and neuropathy. Hypertension is treatable, and the degree to which it is controlled determines the risk of development of cardiovascular diseases and other complications in a given individual patient. Even though antihypertensive drugs are available and issued to hypertensive diabetic patients, the rate of control of HTN is often inadequate. The aim of this study was to assess the prevalence of suboptimal blood pressure (BP) control, its associated factors, and the choice of antihypertensive drugs among type 2 DM patients at Kilimanjaro Christian Medical Centre (KCMC).Methods. A hospital-based cross-sectional study was conducted at the KCMC diabetes clinic from October 2018 to March 2019 among type 2 DM patients with HTN based on the inclusion criteria. Data were collected using structured questionnaires, and written informed consent was obtained. Suboptimal BP was defined asBP levels &gt;= 140/90 mmHgaccording to the American Diabetes Association guideline published in 2018. Data analysis was done using the Statistical Package for the Social Sciences (SPSS) version 25. Chi-square analysis was done to identify the independent predictors of BP control, and apvalue of Results. The data of 161 participants was analysed; the mean age was63.9 +/- 20.2years, with the majority being females (67.1%). Despite all participants being on different classes of antihypertensives, 57.8% had suboptimal BP control. Among the participants with good BP control, 52.7% were on angiotensin-converting enzyme inhibitors (ACE-I). Poor diabetes control was observed in 50.1% participants as indicated by elevated glycated haemoglobin.Conclusion. This study demonstrated that BP control in type 2 DM patients was suboptimal in more than half of the participants. The study showed that the use of ACE-I or angiotensin II receptor blockers (ARBs) in the majority of DM patients has a good impact in the control of blood pressure. The early initiation of ACE-I or ARBs among the diabetic patients will improve the optimal BP control.","author":[{"dropping-particle":"","family":"Mbwete","given":"G W","non-dropping-particle":"","parse-names":false,"suffix":""},{"dropping-particle":"","family":"Kilonzo","given":"K G","non-dropping-particle":"","parse-names":false,"suffix":""},{"dropping-particle":"","family":"Shao","given":"E R","non-dropping-particle":"","parse-names":false,"suffix":""},{"dropping-particle":"","family":"Chamba","given":"N G","non-dropping-particle":"","parse-names":false,"suffix":""}],"container-title":"Journal of diabetes research","id":"ITEM-1","issued":{"date-parts":[["2020"]]},"note":"Mbwete, Gabriel W. Kilonzo, Kajiru G. Shao, Elichilia R. Chamba, Nyasatu G.\nChamba, Nyasatu/0000-0002-9390-3393\n2314-6753","title":"Suboptimal Blood Pressure Control, Associated Factors, and Choice of Antihypertensive Drugs among Type 2 Diabetic Patients at KCMC, Tanzania","type":"article-journal","volume":"2020"},"uris":["http://www.mendeley.com/documents/?uuid=b453bb07-52d5-4213-8c56-f96b2bbe247e"]}],"mendeley":{"formattedCitation":"(128)","manualFormatting":"[67","plainTextFormattedCitation":"(128)","previouslyFormattedCitation":"(132)"},"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sidR="00D140B1">
              <w:rPr>
                <w:rFonts w:ascii="Times New Roman" w:hAnsi="Times New Roman" w:cs="Times New Roman"/>
                <w:noProof/>
                <w:sz w:val="20"/>
                <w:szCs w:val="20"/>
                <w:lang w:val="en-US"/>
              </w:rPr>
              <w:t>56</w:t>
            </w:r>
            <w:r>
              <w:rPr>
                <w:rFonts w:ascii="Times New Roman" w:hAnsi="Times New Roman" w:cs="Times New Roman"/>
                <w:sz w:val="20"/>
                <w:szCs w:val="20"/>
                <w:lang w:val="en-US"/>
              </w:rPr>
              <w:fldChar w:fldCharType="end"/>
            </w:r>
            <w:r>
              <w:rPr>
                <w:rFonts w:ascii="Times New Roman" w:hAnsi="Times New Roman" w:cs="Times New Roman"/>
                <w:sz w:val="20"/>
                <w:szCs w:val="20"/>
                <w:lang w:val="en-US"/>
              </w:rPr>
              <w:t>]</w:t>
            </w:r>
          </w:p>
        </w:tc>
        <w:tc>
          <w:tcPr>
            <w:tcW w:w="1440" w:type="dxa"/>
            <w:shd w:val="clear" w:color="auto" w:fill="auto"/>
            <w:hideMark/>
          </w:tcPr>
          <w:p w14:paraId="1FCDB8B2"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Cross-sectional </w:t>
            </w:r>
          </w:p>
        </w:tc>
        <w:tc>
          <w:tcPr>
            <w:tcW w:w="1194" w:type="dxa"/>
            <w:shd w:val="clear" w:color="auto" w:fill="auto"/>
            <w:noWrap/>
            <w:hideMark/>
          </w:tcPr>
          <w:p w14:paraId="323350F1"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2020</w:t>
            </w:r>
          </w:p>
        </w:tc>
        <w:tc>
          <w:tcPr>
            <w:tcW w:w="1238" w:type="dxa"/>
            <w:shd w:val="clear" w:color="auto" w:fill="auto"/>
            <w:noWrap/>
            <w:hideMark/>
          </w:tcPr>
          <w:p w14:paraId="75B503F1"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Tanzania</w:t>
            </w:r>
          </w:p>
        </w:tc>
        <w:tc>
          <w:tcPr>
            <w:tcW w:w="1761" w:type="dxa"/>
            <w:shd w:val="clear" w:color="auto" w:fill="auto"/>
            <w:hideMark/>
          </w:tcPr>
          <w:p w14:paraId="3C651EF3"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Type 2 diabetes and hypertension; &gt;18 years </w:t>
            </w:r>
          </w:p>
        </w:tc>
        <w:tc>
          <w:tcPr>
            <w:tcW w:w="850" w:type="dxa"/>
            <w:shd w:val="clear" w:color="auto" w:fill="auto"/>
            <w:noWrap/>
            <w:hideMark/>
          </w:tcPr>
          <w:p w14:paraId="0E61276C"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161</w:t>
            </w:r>
          </w:p>
        </w:tc>
        <w:tc>
          <w:tcPr>
            <w:tcW w:w="1472" w:type="dxa"/>
            <w:shd w:val="clear" w:color="auto" w:fill="auto"/>
            <w:noWrap/>
            <w:hideMark/>
          </w:tcPr>
          <w:p w14:paraId="4032173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70376E16" w14:textId="77777777" w:rsidTr="00D05366">
        <w:trPr>
          <w:trHeight w:val="630"/>
        </w:trPr>
        <w:tc>
          <w:tcPr>
            <w:tcW w:w="1327" w:type="dxa"/>
            <w:shd w:val="clear" w:color="auto" w:fill="auto"/>
            <w:noWrap/>
            <w:hideMark/>
          </w:tcPr>
          <w:p w14:paraId="2EF936E3" w14:textId="1B74065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Mbouemboue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{"citationItems":[{"id":"ITEM-1","itemData":{"ISSN":"22613684","abstract":"Diabetes imposes a heavy economic burden on low and middle-income countries. The aim of this work was to study the mean value of fasting blood glucose, as well as of the prevalence, awareness, treatment, and control of diabetes in Ngaoundere. Methodology: This cross-sectional community-based study selected participants according to a three-level cluster sampling method. The variables measured were sociodemographic data, medical history, sleep duration, blood pressure, body mass index, abdominal perimeter, fasting blood glucose, and serum triglyceride and total cholesterol levels. Data were analyzed with SPSS 20.0 software. Results: The study included 948 participants aged 20 to 87 years. Their average fasting blood glucose was 0.85±0.20 g/L. The prevalence of diabetes was 5.59%. It increased with age (p&lt;0.001), body mass index (p=0.03), abdominal obesity (p=0.041), hypertension (p&lt;0.001), and total cholesterol (p=0.008). In the multivariate analysis, age greater than or equal to 65 years (p=0.012) and hypertension (p=0.001) were independently associated with diabetes. Most patients with diabetes (84.91%) were aware of their disease, but only 13.33% were receiving treatment, and the disease of only 50% of those treated was controlled. Conclusion: In Ngaoundere, the prevalence of diabetes is 5.59%, its control is poor, and its treatment rate is low.","author":[{"dropping-particle":"","family":"Mbouemboue","given":"O P","non-dropping-particle":"","parse-names":false,"suffix":""},{"dropping-particle":"","family":"Tsougmo","given":"J O N","non-dropping-particle":"","parse-names":false,"suffix":""},{"dropping-particle":"","family":"Sakinatou","given":"I","non-dropping-particle":"","parse-names":false,"suffix":""},{"dropping-particle":"V","family":"Ndolok","given":"A C","non-dropping-particle":"","parse-names":false,"suffix":""},{"dropping-particle":"","family":"Tamanji","given":"M T","non-dropping-particle":"","parse-names":false,"suffix":""}],"container-title":"Médecine et Santé Tropicales","id":"ITEM-1","issue":"4","issued":{"date-parts":[["2018"]]},"language":"Language of Summary: English","note":"Accession Number: 20193066532. Mbouemboue, O. P. (author); Email Address: olivier_pancha@yahoo.fr; Tsougmo, J. O. N. (author); Sakinatou, I. (author); Ndolok, A. C. V. (author); Tamanji, M. T. (author). Issue Info: 28, 4. Publication Date: 20180101. Note: 36. Number of Pages: 6. Document Type: Journal Article. Language: French. Subject Subsets: Tropical Diseases; Global Health 1973- Current; Nutrition and Food Sciences Database. CAS Registry Number: 57-88-5. Has References: 36.","page":"379-384","publisher":"John Libbey Eurotext","publisher-place":"Université de Ngaoundere, BP 454 Ngaoundere, Cameroon.","title":"Prevalence, treatment, and control of diabetes in a community setting in Ngaoundéré, Cameroon.","type":"article-journal","volume":"28"},"uris":["http://www.mendeley.com/documents/?uuid=e247598f-288e-47fa-87bc-c332b5b99608"]}],"mendeley":{"formattedCitation":"(129)","manualFormatting":"[68","plainTextFormattedCitation":"(129)","previouslyFormattedCitation":"(133)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57</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9BB79E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1840922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00337F9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Cameroon</w:t>
            </w:r>
          </w:p>
        </w:tc>
        <w:tc>
          <w:tcPr>
            <w:tcW w:w="1761" w:type="dxa"/>
            <w:shd w:val="clear" w:color="auto" w:fill="auto"/>
            <w:hideMark/>
          </w:tcPr>
          <w:p w14:paraId="52B392A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General Population</w:t>
            </w:r>
          </w:p>
        </w:tc>
        <w:tc>
          <w:tcPr>
            <w:tcW w:w="850" w:type="dxa"/>
            <w:shd w:val="clear" w:color="auto" w:fill="auto"/>
            <w:noWrap/>
            <w:hideMark/>
          </w:tcPr>
          <w:p w14:paraId="4E0D409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948</w:t>
            </w:r>
          </w:p>
        </w:tc>
        <w:tc>
          <w:tcPr>
            <w:tcW w:w="1472" w:type="dxa"/>
            <w:shd w:val="clear" w:color="auto" w:fill="auto"/>
            <w:hideMark/>
          </w:tcPr>
          <w:p w14:paraId="6D73029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Other population; </w:t>
            </w: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prevalence of diabetes in a community setting</w:t>
            </w:r>
          </w:p>
        </w:tc>
      </w:tr>
      <w:tr w:rsidR="000F54D9" w:rsidRPr="000C26B9" w14:paraId="2139FE75" w14:textId="77777777" w:rsidTr="00D05366">
        <w:trPr>
          <w:trHeight w:val="315"/>
        </w:trPr>
        <w:tc>
          <w:tcPr>
            <w:tcW w:w="1327" w:type="dxa"/>
            <w:shd w:val="clear" w:color="auto" w:fill="auto"/>
            <w:noWrap/>
            <w:hideMark/>
          </w:tcPr>
          <w:p w14:paraId="19873F5A" w14:textId="77184B15"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Mels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{"citationItems":[{"id":"ITEM-1","itemData":{"ISBN":"09394451","abstract":"MEDLINE Abstract: Globally the prevalence of non-communicable diseases, such as hypertension and type 2 diabetes, are escalating. Metabolomic studies indicated that circulating branched chain amino acids (BCAAs) are associated with insulin resistance, coronary artery disease and increased risk for cardiovascular events. We aimed to extend the current understanding of the cardiovascular risk associated with BCAAs. We explored whether BCAAs are related to markers of cardiovascular disease in a bi-ethnic population and whether this relationship was influenced by chronic hyperglycaemia. We included 200 African and 209 Caucasian participants, and determined their ambulatory blood pressure and carotid intima-media thickness (cIMT). We analysed blood samples for glycated haemoglobin (HbA1c) and BCAAs. Participants were stratified into two groups according to their HbA1c value using the median cut-off value of 5.6%. Ambulatory BP, cIMT and BCAAs were significantly higher (all p &lt; 0.001) in the high HbA1c group. Single regression analyses indicated significant positive associations of ambulatory blood pressure and cIMT with BCAAs (all p &lt; 0.05) in both the groups. These associations between ambulatory systolic blood pressure (SBP) (r = 0.16, p = 0.035) and cIMT (r = 0.22, p = 0.004) with BCAAs remained in the high HbA1c group after adjusting for age, gender, ethnicity and body mass index (BMI) and were confirmed in multiple regression analyses (ambulatory SBP: R (2) = 0.17, I² = 0.21, p = 0.005 and cIMT: R (2) = 0.30, I² = 0.19, p = 0.003). Our results demonstrate that BCAAs are independently related to ambulatory BP and cIMT in individuals with high HbA1c levels and suggest that potential cardiovascular deterioration accompany the rise in BCAAs in conditions of hyperglycaemia","author":[{"dropping-particle":"","family":"Mels","given":"C M","non-dropping-particle":"","parse-names":false,"suffix":""},{"dropping-particle":"","family":"Schutte","given":"A E","non-dropping-particle":"","parse-names":false,"suffix":""},{"dropping-particle":"","family":"Schutte","given":"R","non-dropping-particle":"","parse-names":false,"suffix":""},{"dropping-particle":"","family":"Huisman","given":"H W","non-dropping-particle":"","parse-names":false,"suffix":""},{"dropping-particle":"","family":"Smith","given":"W","non-dropping-particle":"","parse-names":false,"suffix":""},{"dropping-particle":"","family":"Fourie","given":"C M","non-dropping-particle":"","parse-names":false,"suffix":""},{"dropping-particle":"","family":"Kruger","given":"R","non-dropping-particle":"","parse-names":false,"suffix":""},{"dropping-particle":"","family":"Rooyen","given":"J M","non-dropping-particle":"van","parse-names":false,"suffix":""},{"dropping-particle":"","family":"Malan","given":"N T","non-dropping-particle":"","parse-names":false,"suffix":""},{"dropping-particle":"","family":"Malan","given":"L","non-dropping-particle":"","parse-names":false,"suffix":""}],"container-title":"Amino Acids","id":"ITEM-1","issue":"6","issued":{"date-parts":[["2013","1","1"]]},"note":"Note: E-mail: carina.mels@nwu.ac.za; Address: Hypertension in Africa Research Team (HART), North-West University, Potchefstroom, South Africa; Record Source: This record is provided from the MEDLINE database of the National Library of Medicine (NLM), United States. The index terms may have been modified to conform with terminology used throughout the database. Database Contributor: MEDLINE. Database Contributor ID: 24178767. Language: English. Accession Number: 24178767.","page":"1405-1413","title":"The link between vascular deterioration and branched chain amino acids in a population with high glycated haemoglobin: the SABPA study","type":"article","volume":"45"},"uris":["http://www.mendeley.com/documents/?uuid=9f409ca9-02a2-4452-b620-f61a412a83f6"]}],"mendeley":{"formattedCitation":"(130)","manualFormatting":"[69","plainTextFormattedCitation":"(130)","previouslyFormattedCitation":"(134)"},"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Pr>
                <w:rFonts w:ascii="Times New Roman" w:hAnsi="Times New Roman" w:cs="Times New Roman"/>
                <w:sz w:val="20"/>
                <w:szCs w:val="20"/>
                <w:lang w:val="en-US"/>
              </w:rPr>
              <w:fldChar w:fldCharType="end"/>
            </w:r>
            <w:r w:rsidR="00D140B1">
              <w:rPr>
                <w:rFonts w:ascii="Times New Roman" w:hAnsi="Times New Roman" w:cs="Times New Roman"/>
                <w:sz w:val="20"/>
                <w:szCs w:val="20"/>
                <w:lang w:val="en-US"/>
              </w:rPr>
              <w:t>58</w:t>
            </w:r>
            <w:r>
              <w:rPr>
                <w:rFonts w:ascii="Times New Roman" w:hAnsi="Times New Roman" w:cs="Times New Roman"/>
                <w:sz w:val="20"/>
                <w:szCs w:val="20"/>
                <w:lang w:val="en-US"/>
              </w:rPr>
              <w:t>]</w:t>
            </w:r>
          </w:p>
        </w:tc>
        <w:tc>
          <w:tcPr>
            <w:tcW w:w="1440" w:type="dxa"/>
            <w:shd w:val="clear" w:color="auto" w:fill="auto"/>
            <w:hideMark/>
          </w:tcPr>
          <w:p w14:paraId="74960ED3"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Cohort study</w:t>
            </w:r>
          </w:p>
        </w:tc>
        <w:tc>
          <w:tcPr>
            <w:tcW w:w="1194" w:type="dxa"/>
            <w:shd w:val="clear" w:color="auto" w:fill="auto"/>
            <w:noWrap/>
            <w:hideMark/>
          </w:tcPr>
          <w:p w14:paraId="3BC39828"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2013</w:t>
            </w:r>
          </w:p>
        </w:tc>
        <w:tc>
          <w:tcPr>
            <w:tcW w:w="1238" w:type="dxa"/>
            <w:shd w:val="clear" w:color="auto" w:fill="auto"/>
            <w:noWrap/>
            <w:hideMark/>
          </w:tcPr>
          <w:p w14:paraId="59B118C3"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South Africa</w:t>
            </w:r>
          </w:p>
        </w:tc>
        <w:tc>
          <w:tcPr>
            <w:tcW w:w="1761" w:type="dxa"/>
            <w:shd w:val="clear" w:color="auto" w:fill="auto"/>
            <w:hideMark/>
          </w:tcPr>
          <w:p w14:paraId="7A0FCFB2"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General Population</w:t>
            </w:r>
          </w:p>
        </w:tc>
        <w:tc>
          <w:tcPr>
            <w:tcW w:w="850" w:type="dxa"/>
            <w:shd w:val="clear" w:color="auto" w:fill="auto"/>
            <w:hideMark/>
          </w:tcPr>
          <w:p w14:paraId="4B9FDE38"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409</w:t>
            </w:r>
          </w:p>
        </w:tc>
        <w:tc>
          <w:tcPr>
            <w:tcW w:w="1472" w:type="dxa"/>
            <w:shd w:val="clear" w:color="auto" w:fill="auto"/>
            <w:noWrap/>
            <w:hideMark/>
          </w:tcPr>
          <w:p w14:paraId="4F1CDC3D"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Other Population </w:t>
            </w:r>
          </w:p>
        </w:tc>
      </w:tr>
      <w:tr w:rsidR="000F54D9" w:rsidRPr="000C26B9" w14:paraId="05F7FD3C" w14:textId="77777777" w:rsidTr="00D05366">
        <w:trPr>
          <w:trHeight w:val="1025"/>
        </w:trPr>
        <w:tc>
          <w:tcPr>
            <w:tcW w:w="1327" w:type="dxa"/>
            <w:shd w:val="clear" w:color="auto" w:fill="auto"/>
            <w:noWrap/>
            <w:hideMark/>
          </w:tcPr>
          <w:p w14:paraId="48E3905E" w14:textId="306B571E"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Mogre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{"citationItems":[{"id":"ITEM-1","itemData":{"ISSN":"01688227","abstract":"MEDLINE Abstract: AIMS:&lt;BR&gt;We evaluated the content validity, factorial structure, internal consistency, construct validity, and floor and ceiling effects of the SDSCA among Ghanaian persons with type 2 diabetes.&lt;BR&gt;METHODS:&lt;BR&gt;The summary of diabetes self-care activities measure (SDSCA) was administered to 187 adults living with type 2 diabetes from three diabetes clinics.&lt;BR&gt;RESULTS:&lt;BR&gt;A confirmatory factor analysis maintained the four factor structure of the SDSCA. However, two items, 3 (fruit and vegetable servings) and 4 (red meat or full-fat dairy products) had factor loadings of 0.26 and 0.16 respectively. The model also had a statistical power of 0.72 (below acceptable criteria). Modification of the model by removing item 4 resulted in an improved revised model with a power of 0.82. Construct validity was found for the exercise and diet subscales of the SDSCA but not for the self-monitoring of blood glucose and foot care subscales. The internal consistency of the SDSCA measure was 0.68, below acceptable criteria for internal consistency. No floor effects were present but the exercise subscale had ceiling effects.&lt;BR&gt;CONCLUSION:&lt;BR&gt;The SDSCA measure had content validity, maintained its multidimensionality and met the criteria for floor effects but not for construct validity, internal consistency and ceiling effects. The SDSCA measure may require improvements to evaluate self-care behaviours of adult type 2 diabetes patients in Ghana and probably in other sub-Saharan countries.&lt;BR&gt;Copyright © 2019 Elsevier B.V. All rights reserved","author":[{"dropping-particle":"","family":"Mogre","given":"Victor","non-dropping-particle":"","parse-names":false,"suffix":""},{"dropping-particle":"","family":"Abanga","given":"Zakaria Osman","non-dropping-particle":"","parse-names":false,"suffix":""},{"dropping-particle":"","family":"Tzelepis","given":"Flora","non-dropping-particle":"","parse-names":false,"suffix":""},{"dropping-particle":"","family":"Johnson","given":"Natalie A","non-dropping-particle":"","parse-names":false,"suffix":""},{"dropping-particle":"","family":"Paul","given":"Christine","non-dropping-particle":"","parse-names":false,"suffix":""}],"container-title":"Diabetes Research and Clinical Practice","id":"ITEM-1","issued":{"date-parts":[["2019","1","1"]]},"note":"Note: E-mail: vmogre@uds.edu.gh; Address: Department of Health Professions Education and Innovative Learning, School of Medicine and Health Sciences, University for Development Studies, Tamale, Ghana; School of Medicine and Public Health, University of Newcastle, University Drive, Callaghan, New South Wales 2308, Australia. Electronic address: Department of Community Nutrition, School of Allied Health Sciences, University for Development Studies, Tamale, Ghana.; School of Medicine and Public Health, University of Newcastle, University Drive, Callaghan, New South Wales 2308, Australia; Hunter Medical Research Institute, Locked Bag 1000, New Lambton, New South Wales 2305, Australia; Hunter New England Population Health, Hunter New England Local Health District, Locked Mail Bag 10, Wallsend, New South Wales 2287, Australia.; School of Medicine and Public Health, University of Newcastle, University Drive, Callaghan, New South Wales 2308, Australia; Hunter Medical Research Institute, Locked Bag 1000, New Lambton, New South Wales 2305, Australia.; School of Medicine and Public Health, University of Newcastle, University Drive, Callaghan, New South Wales 2308, Australia; Hunter Medical Research Institute, Locked Bag 1000, New Lambton, New South Wales 2305, Australia; Record Source: This record is provided from the MEDLINE database of the National Library of Medicine (NLM), United States. The index terms may have been modified to conform with terminology used throughout the database. Database Contributor: MEDLINE. Database Contributor ID: 30742857. Language: English. Document Type: Article. Publication Type: Journal Article. Accession Number: 30742857.","page":"98-106","title":"Psychometric evaluation of the summary of diabetes self-care activities measure in Ghanaian adults living with type 2 diabetes","type":"article-journal","volume":"149"},"uris":["http://www.mendeley.com/documents/?uuid=cb282f97-5791-4e7a-b685-caffc0c972e7"]}],"mendeley":{"formattedCitation":"(131)","manualFormatting":"[70","plainTextFormattedCitation":"(131)","previouslyFormattedCitation":"(135)"},"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sidR="00D140B1">
              <w:rPr>
                <w:rFonts w:ascii="Times New Roman" w:hAnsi="Times New Roman" w:cs="Times New Roman"/>
                <w:noProof/>
                <w:sz w:val="20"/>
                <w:szCs w:val="20"/>
                <w:lang w:val="en-US"/>
              </w:rPr>
              <w:t>59</w:t>
            </w:r>
            <w:r>
              <w:rPr>
                <w:rFonts w:ascii="Times New Roman" w:hAnsi="Times New Roman" w:cs="Times New Roman"/>
                <w:sz w:val="20"/>
                <w:szCs w:val="20"/>
                <w:lang w:val="en-US"/>
              </w:rPr>
              <w:fldChar w:fldCharType="end"/>
            </w:r>
            <w:r>
              <w:rPr>
                <w:rFonts w:ascii="Times New Roman" w:hAnsi="Times New Roman" w:cs="Times New Roman"/>
                <w:sz w:val="20"/>
                <w:szCs w:val="20"/>
                <w:lang w:val="en-US"/>
              </w:rPr>
              <w:t>]</w:t>
            </w:r>
          </w:p>
        </w:tc>
        <w:tc>
          <w:tcPr>
            <w:tcW w:w="1440" w:type="dxa"/>
            <w:shd w:val="clear" w:color="auto" w:fill="auto"/>
            <w:hideMark/>
          </w:tcPr>
          <w:p w14:paraId="5D263306"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Psychometric evaluation of the summary of diabetes self-care activities</w:t>
            </w:r>
          </w:p>
        </w:tc>
        <w:tc>
          <w:tcPr>
            <w:tcW w:w="1194" w:type="dxa"/>
            <w:shd w:val="clear" w:color="auto" w:fill="auto"/>
            <w:noWrap/>
            <w:hideMark/>
          </w:tcPr>
          <w:p w14:paraId="1D8054F5"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2019</w:t>
            </w:r>
          </w:p>
        </w:tc>
        <w:tc>
          <w:tcPr>
            <w:tcW w:w="1238" w:type="dxa"/>
            <w:shd w:val="clear" w:color="auto" w:fill="auto"/>
            <w:noWrap/>
            <w:hideMark/>
          </w:tcPr>
          <w:p w14:paraId="5F48046F"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Ghana</w:t>
            </w:r>
          </w:p>
        </w:tc>
        <w:tc>
          <w:tcPr>
            <w:tcW w:w="1761" w:type="dxa"/>
            <w:shd w:val="clear" w:color="auto" w:fill="auto"/>
            <w:hideMark/>
          </w:tcPr>
          <w:p w14:paraId="68DEF076"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Type 2 diabetes</w:t>
            </w:r>
          </w:p>
        </w:tc>
        <w:tc>
          <w:tcPr>
            <w:tcW w:w="850" w:type="dxa"/>
            <w:shd w:val="clear" w:color="auto" w:fill="auto"/>
            <w:hideMark/>
          </w:tcPr>
          <w:p w14:paraId="4BBBCC69"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187</w:t>
            </w:r>
          </w:p>
        </w:tc>
        <w:tc>
          <w:tcPr>
            <w:tcW w:w="1472" w:type="dxa"/>
            <w:shd w:val="clear" w:color="auto" w:fill="auto"/>
            <w:hideMark/>
          </w:tcPr>
          <w:p w14:paraId="7E9DC769" w14:textId="77777777" w:rsidR="000F54D9" w:rsidRPr="000C26B9" w:rsidRDefault="000F54D9" w:rsidP="00D05366">
            <w:pPr>
              <w:rPr>
                <w:rFonts w:ascii="Times New Roman" w:hAnsi="Times New Roman" w:cs="Times New Roman"/>
                <w:sz w:val="20"/>
                <w:szCs w:val="20"/>
                <w:lang w:val="en-US"/>
              </w:rPr>
            </w:pPr>
            <w:r>
              <w:rPr>
                <w:rFonts w:ascii="Times New Roman" w:hAnsi="Times New Roman" w:cs="Times New Roman"/>
                <w:sz w:val="20"/>
                <w:szCs w:val="20"/>
                <w:lang w:val="en-US"/>
              </w:rPr>
              <w:t>Another outcome</w:t>
            </w:r>
            <w:r w:rsidRPr="000C26B9">
              <w:rPr>
                <w:rFonts w:ascii="Times New Roman" w:hAnsi="Times New Roman" w:cs="Times New Roman"/>
                <w:sz w:val="20"/>
                <w:szCs w:val="20"/>
                <w:lang w:val="en-US"/>
              </w:rPr>
              <w:t>: Psychometric evaluation of the summary of diabetes self-care activities</w:t>
            </w:r>
          </w:p>
        </w:tc>
      </w:tr>
      <w:tr w:rsidR="000F54D9" w:rsidRPr="000C26B9" w14:paraId="71340C6E" w14:textId="77777777" w:rsidTr="00D05366">
        <w:trPr>
          <w:trHeight w:val="630"/>
        </w:trPr>
        <w:tc>
          <w:tcPr>
            <w:tcW w:w="1327" w:type="dxa"/>
            <w:shd w:val="clear" w:color="auto" w:fill="auto"/>
            <w:noWrap/>
            <w:hideMark/>
          </w:tcPr>
          <w:p w14:paraId="15BAA477" w14:textId="6C221E1B"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Mohamed</w:t>
            </w:r>
            <w:r>
              <w:rPr>
                <w:rFonts w:ascii="Times New Roman" w:hAnsi="Times New Roman" w:cs="Times New Roman"/>
                <w:sz w:val="20"/>
                <w:szCs w:val="20"/>
                <w:lang w:val="en-US"/>
              </w:rPr>
              <w:t xml:space="preserve">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{"citationItems":[{"id":"ITEM-1","itemData":{"DOI":"10.2478/v10222-011-0049-x","ISSN":"12300322","abstract":"Flaxseed is a rich source of dietary fibers and lignans. Uncontrolled diabetes may induce complication represented by dyslipidemia, high oxidative stress and kidney dysfunction. In the present research the beneficial effect of two months consumption of bread supplemented with defatted flaxseeds (DFB) together with dietary regimen was evaluated in normal and type 2 diabetic patients. Protective effect towards diabetic complications was studied through evaluation of plasma lipid profile, lipid peroxidation, liver and kidney function. The nutritional status of normal and diabetic patients was evaluated through assessing body mass index and nutrients' intake. Results showed reduction of body mass index in both normal and diabetic patients after nutritional intervention. Analysis of mean dietary intake of normal and diabetic patients in the beginning of the study revealed that all subjects were hyper-caloric that reduced to be 79% and 84% from RDA, respectively after treatment. After two months of supplementation with DFB, diabetic patients showed significant reduction of plasma glucose. Both diabetic patients and normal subjects showed significant improvement in plasma lipid profile and significant reduction of lipid peroxidation. Consumption of DFB in addition of dietary regimen may be helpful in preventing diabetes and its complications.","author":[{"dropping-particle":"","family":"Mohamed","given":"D A","non-dropping-particle":"","parse-names":false,"suffix":""},{"dropping-particle":"","family":"Al-Okbi","given":"S Y","non-dropping-particle":"","parse-names":false,"suffix":""},{"dropping-particle":"","family":"El-Hariri","given":"D M","non-dropping-particle":"","parse-names":false,"suffix":""},{"dropping-particle":"","family":"Mousa","given":"I I","non-dropping-particle":"","parse-names":false,"suffix":""}],"container-title":"Polish Journal of Food and Nutrition Sciences","id":"ITEM-1","issue":"2","issued":{"date-parts":[["2012"]]},"note":"Accession Number: 20123206866. Mohamed, D. A. (author); Email Address: dohamohamed@yahoo.com; Al-Okbi, S. Y. (author); El-Hariri, D. M. (author); Mousa, I. I. (author). Issue Info: 62, 2. Publication Date: 20120101. Number of Pages: 6. Document Type: Journal Article. Language: English. Subject Subsets: Tropical Diseases; Human Nutrition; CAB Abstracts 1973-Current; Global Health 1973- Current; Nutrition and Food Sciences Database; CABI Full Text.","page":"103-108","publisher":"Division of Food Science, Institute of Animal Reproduction and Food Research of Polish Academy of Sciences","publisher-place":"Food Sciences and Nutrition Department, National Research Centre, Dokki, Cairo, Egypt.","title":"Potential health benefits of bread supplemented with defatted flaxseeds under dietary regimen in normal and type 2 diabetic subjects.","type":"article-journal","volume":"62"},"uris":["http://www.mendeley.com/documents/?uuid=6eb09e24-0c4e-4c7e-8966-3984ffc4243a"]}],"mendeley":{"formattedCitation":"(132)","manualFormatting":"[71","plainTextFormattedCitation":"(132)","previouslyFormattedCitation":"(136)"},"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sidR="00D140B1">
              <w:rPr>
                <w:rFonts w:ascii="Times New Roman" w:hAnsi="Times New Roman" w:cs="Times New Roman"/>
                <w:noProof/>
                <w:sz w:val="20"/>
                <w:szCs w:val="20"/>
                <w:lang w:val="en-US"/>
              </w:rPr>
              <w:t>60</w:t>
            </w:r>
            <w:r>
              <w:rPr>
                <w:rFonts w:ascii="Times New Roman" w:hAnsi="Times New Roman" w:cs="Times New Roman"/>
                <w:sz w:val="20"/>
                <w:szCs w:val="20"/>
                <w:lang w:val="en-US"/>
              </w:rPr>
              <w:fldChar w:fldCharType="end"/>
            </w:r>
            <w:r>
              <w:rPr>
                <w:rFonts w:ascii="Times New Roman" w:hAnsi="Times New Roman" w:cs="Times New Roman"/>
                <w:sz w:val="20"/>
                <w:szCs w:val="20"/>
                <w:lang w:val="en-US"/>
              </w:rPr>
              <w:t>]</w:t>
            </w:r>
            <w:r w:rsidRPr="000C26B9">
              <w:rPr>
                <w:rFonts w:ascii="Times New Roman" w:hAnsi="Times New Roman" w:cs="Times New Roman"/>
                <w:sz w:val="20"/>
                <w:szCs w:val="20"/>
                <w:lang w:val="en-US"/>
              </w:rPr>
              <w:t xml:space="preserve"> </w:t>
            </w:r>
          </w:p>
        </w:tc>
        <w:tc>
          <w:tcPr>
            <w:tcW w:w="1440" w:type="dxa"/>
            <w:shd w:val="clear" w:color="auto" w:fill="auto"/>
            <w:hideMark/>
          </w:tcPr>
          <w:p w14:paraId="34442F84"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Intervention study</w:t>
            </w:r>
          </w:p>
        </w:tc>
        <w:tc>
          <w:tcPr>
            <w:tcW w:w="1194" w:type="dxa"/>
            <w:shd w:val="clear" w:color="auto" w:fill="auto"/>
            <w:noWrap/>
            <w:hideMark/>
          </w:tcPr>
          <w:p w14:paraId="36DF9CF7"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2012</w:t>
            </w:r>
          </w:p>
        </w:tc>
        <w:tc>
          <w:tcPr>
            <w:tcW w:w="1238" w:type="dxa"/>
            <w:shd w:val="clear" w:color="auto" w:fill="auto"/>
            <w:noWrap/>
            <w:hideMark/>
          </w:tcPr>
          <w:p w14:paraId="3B958A8B"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Egypt</w:t>
            </w:r>
          </w:p>
        </w:tc>
        <w:tc>
          <w:tcPr>
            <w:tcW w:w="1761" w:type="dxa"/>
            <w:shd w:val="clear" w:color="auto" w:fill="auto"/>
            <w:hideMark/>
          </w:tcPr>
          <w:p w14:paraId="72F0D607"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Type 2 diabetes and normal subjects </w:t>
            </w:r>
          </w:p>
        </w:tc>
        <w:tc>
          <w:tcPr>
            <w:tcW w:w="850" w:type="dxa"/>
            <w:shd w:val="clear" w:color="auto" w:fill="auto"/>
            <w:hideMark/>
          </w:tcPr>
          <w:p w14:paraId="1C4FBB16"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16</w:t>
            </w:r>
          </w:p>
        </w:tc>
        <w:tc>
          <w:tcPr>
            <w:tcW w:w="1472" w:type="dxa"/>
            <w:shd w:val="clear" w:color="auto" w:fill="auto"/>
            <w:hideMark/>
          </w:tcPr>
          <w:p w14:paraId="39C90E3D"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Setting outside sub-Saharan Africa</w:t>
            </w:r>
          </w:p>
        </w:tc>
      </w:tr>
      <w:tr w:rsidR="000F54D9" w:rsidRPr="000C26B9" w14:paraId="2B7FB1E8" w14:textId="77777777" w:rsidTr="00D05366">
        <w:trPr>
          <w:trHeight w:val="630"/>
        </w:trPr>
        <w:tc>
          <w:tcPr>
            <w:tcW w:w="1327" w:type="dxa"/>
            <w:shd w:val="clear" w:color="auto" w:fill="auto"/>
            <w:noWrap/>
            <w:hideMark/>
          </w:tcPr>
          <w:p w14:paraId="74CDC2BB" w14:textId="60A5501F"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Monanabela</w:t>
            </w:r>
            <w:r>
              <w:rPr>
                <w:rFonts w:ascii="Times New Roman" w:hAnsi="Times New Roman" w:cs="Times New Roman"/>
                <w:sz w:val="20"/>
                <w:szCs w:val="20"/>
                <w:lang w:val="en-US"/>
              </w:rPr>
              <w:t xml:space="preserve">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{"citationItems":[{"id":"ITEM-1","itemData":{"DOI":"10.4102/hsag.v24i0.1051","ISSN":"20719736","abstract":"Background: Rational medicine use aims to optimise chronic disease management and prevent episodes of hospitalisation that economically burden the health care system. Diabetes mellitus is one of the most prevalent chronic diseases globally, yet more than 60% of patients with diabetes are not optimally managed according to their therapeutic glycaemic targets. Aim: To describe the use of glycated haemoglobin (HbA1c) and fasting plasma glucose results in guiding treatment changes in patients with type 2 diabetes mellitus. Setting: Public sector primary health care facilities in the Cape Town Metropolitan Region in South Africa. Method: Retrospective, descriptive study design was employed. Data for an 18-month period were collected during 2014 and 2015. Data were collected from patient medical records and included baseline demographics, laboratory monitoring tests and the patients’ last three prescriptions. Results: The study consisted of 575 participants (64% female) with an average age of 57 (± 11.38) years. The average baseline HbA1c for 493 participants with at least one result was 8.78% (± 1.63), and only 28% of these participants reached the glycaemic target at consequent consultations. HbA1c levels were available to guide 245 prescription changes, of which 181 of these results were outside of the target range. Of these, 15.5% had appropriate therapy adjustments, 78.4% had no change or a lateral change in their follow-up prescriptions, and 6.1% had therapy adjustments opposite to what guidelines suggest. Conclusion: Glycaemic monitoring indicated consistent suboptimal glycaemic control in more than 60% of participants. Medicine prescribing patterns did not align with the prescribed local guidelines, Society for Metabolism, Endocrinology and Diabetes of South Africa (SEMDSA). The appropriate use and interpretation of HbA1c at a clinic level should be emphasised to promote rational use of medicines that minimise acute hospitalisation episodes and optimise patients’ long-term health outcomes.","author":[{"dropping-particle":"","family":"Monanabela","given":"Khathatso B.","non-dropping-particle":"","parse-names":false,"suffix":""},{"dropping-particle":"","family":"Huyssteen","given":"Mea","non-dropping-particle":"van","parse-names":false,"suffix":""},{"dropping-particle":"","family":"Coetzee","given":"Renier","non-dropping-particle":"","parse-names":false,"suffix":""}],"container-title":"Health SA Gesondheid","id":"ITEM-1","issued":{"date-parts":[["2019"]]},"page":"1-8","title":"Describing medicine therapy management of type 2 diabetes mellitus at primary health care facilities in cape town","type":"article-journal","volume":"24"},"uris":["http://www.mendeley.com/documents/?uuid=635427b0-1889-4ba5-ba3b-29e90ee06725"]}],"mendeley":{"formattedCitation":"(133)","manualFormatting":"[72","plainTextFormattedCitation":"(133)","previouslyFormattedCitation":"(137)"},"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sidR="00D140B1">
              <w:rPr>
                <w:rFonts w:ascii="Times New Roman" w:hAnsi="Times New Roman" w:cs="Times New Roman"/>
                <w:noProof/>
                <w:sz w:val="20"/>
                <w:szCs w:val="20"/>
                <w:lang w:val="en-US"/>
              </w:rPr>
              <w:t>61</w:t>
            </w:r>
            <w:r>
              <w:rPr>
                <w:rFonts w:ascii="Times New Roman" w:hAnsi="Times New Roman" w:cs="Times New Roman"/>
                <w:sz w:val="20"/>
                <w:szCs w:val="20"/>
                <w:lang w:val="en-US"/>
              </w:rPr>
              <w:fldChar w:fldCharType="end"/>
            </w:r>
            <w:r>
              <w:rPr>
                <w:rFonts w:ascii="Times New Roman" w:hAnsi="Times New Roman" w:cs="Times New Roman"/>
                <w:sz w:val="20"/>
                <w:szCs w:val="20"/>
                <w:lang w:val="en-US"/>
              </w:rPr>
              <w:t>]</w:t>
            </w:r>
          </w:p>
        </w:tc>
        <w:tc>
          <w:tcPr>
            <w:tcW w:w="1440" w:type="dxa"/>
            <w:shd w:val="clear" w:color="auto" w:fill="auto"/>
            <w:hideMark/>
          </w:tcPr>
          <w:p w14:paraId="14B479FF"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Retrospective, </w:t>
            </w:r>
            <w:r w:rsidRPr="000C26B9">
              <w:rPr>
                <w:rFonts w:ascii="Times New Roman" w:hAnsi="Times New Roman" w:cs="Times New Roman"/>
                <w:sz w:val="20"/>
                <w:szCs w:val="20"/>
                <w:lang w:val="en-US"/>
              </w:rPr>
              <w:br/>
              <w:t>descriptive study</w:t>
            </w:r>
          </w:p>
        </w:tc>
        <w:tc>
          <w:tcPr>
            <w:tcW w:w="1194" w:type="dxa"/>
            <w:shd w:val="clear" w:color="auto" w:fill="auto"/>
            <w:noWrap/>
            <w:hideMark/>
          </w:tcPr>
          <w:p w14:paraId="6AB8DB10"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2019</w:t>
            </w:r>
          </w:p>
        </w:tc>
        <w:tc>
          <w:tcPr>
            <w:tcW w:w="1238" w:type="dxa"/>
            <w:shd w:val="clear" w:color="auto" w:fill="auto"/>
            <w:noWrap/>
            <w:hideMark/>
          </w:tcPr>
          <w:p w14:paraId="50B8F431"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South Africa</w:t>
            </w:r>
          </w:p>
        </w:tc>
        <w:tc>
          <w:tcPr>
            <w:tcW w:w="1761" w:type="dxa"/>
            <w:shd w:val="clear" w:color="auto" w:fill="auto"/>
            <w:hideMark/>
          </w:tcPr>
          <w:p w14:paraId="627CCD8C"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Type 2 diabetes</w:t>
            </w:r>
          </w:p>
        </w:tc>
        <w:tc>
          <w:tcPr>
            <w:tcW w:w="850" w:type="dxa"/>
            <w:shd w:val="clear" w:color="auto" w:fill="auto"/>
            <w:hideMark/>
          </w:tcPr>
          <w:p w14:paraId="68E65437"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575</w:t>
            </w:r>
          </w:p>
        </w:tc>
        <w:tc>
          <w:tcPr>
            <w:tcW w:w="1472" w:type="dxa"/>
            <w:shd w:val="clear" w:color="auto" w:fill="auto"/>
            <w:hideMark/>
          </w:tcPr>
          <w:p w14:paraId="6739B272" w14:textId="77777777" w:rsidR="000F54D9" w:rsidRPr="000C26B9" w:rsidRDefault="000F54D9" w:rsidP="00D05366">
            <w:pPr>
              <w:rPr>
                <w:rFonts w:ascii="Times New Roman" w:hAnsi="Times New Roman" w:cs="Times New Roman"/>
                <w:sz w:val="20"/>
                <w:szCs w:val="20"/>
                <w:lang w:val="en-US"/>
              </w:rPr>
            </w:pPr>
            <w:r>
              <w:rPr>
                <w:rFonts w:ascii="Times New Roman" w:hAnsi="Times New Roman" w:cs="Times New Roman"/>
                <w:sz w:val="20"/>
                <w:szCs w:val="20"/>
                <w:lang w:val="en-US"/>
              </w:rPr>
              <w:t>Another outcome</w:t>
            </w:r>
            <w:r w:rsidRPr="000C26B9">
              <w:rPr>
                <w:rFonts w:ascii="Times New Roman" w:hAnsi="Times New Roman" w:cs="Times New Roman"/>
                <w:sz w:val="20"/>
                <w:szCs w:val="20"/>
                <w:lang w:val="en-US"/>
              </w:rPr>
              <w:t xml:space="preserve">: HbA1c and fasting plasma glucose results in guiding </w:t>
            </w:r>
            <w:r w:rsidRPr="000C26B9">
              <w:rPr>
                <w:rFonts w:ascii="Times New Roman" w:hAnsi="Times New Roman" w:cs="Times New Roman"/>
                <w:sz w:val="20"/>
                <w:szCs w:val="20"/>
                <w:lang w:val="en-US"/>
              </w:rPr>
              <w:lastRenderedPageBreak/>
              <w:t>treatment changes</w:t>
            </w:r>
          </w:p>
        </w:tc>
      </w:tr>
      <w:tr w:rsidR="000F54D9" w:rsidRPr="000C26B9" w14:paraId="689551C9" w14:textId="77777777" w:rsidTr="00D05366">
        <w:trPr>
          <w:trHeight w:val="315"/>
        </w:trPr>
        <w:tc>
          <w:tcPr>
            <w:tcW w:w="1327" w:type="dxa"/>
            <w:shd w:val="clear" w:color="auto" w:fill="auto"/>
            <w:noWrap/>
            <w:hideMark/>
          </w:tcPr>
          <w:p w14:paraId="5CD8D9BC" w14:textId="1EDE0A2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lastRenderedPageBreak/>
              <w:t xml:space="preserve">Motta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{"citationItems":[{"id":"ITEM-1","itemData":{"DOI":"10.1016/j.pcd.2016.09.008","ISSN":"18780210","PMID":"28161128","abstract":"MEDLINE Abstract: INTRODUCTION:&lt;BR&gt;Diabetes is a major health problem in South Africa. DiabCare Africa found just 47% of diabetes patients had a hemoglobin A1c (HbA1c) test for their management in the previous year.&lt;BR&gt;METHODS:&lt;BR&gt;Patients attending an urban diabetes clinic near Johannesburg, run by Project HOPE, accessed HbA1c (and urine albumin:creatinine ratio) point-of-care testing (POCT) as part of a quality-assured international program called ACE (Analytical and Clinical Excellence). Patients who had two or more HbA1c POC tests from 2012 to 2014 were assessed to determine their change in glycaemic control.&lt;BR&gt;RESULTS:&lt;BR&gt;The mean (±SD) HbA1c in this group of diabetes patients (n=131) fell significantly from 9.7%±2.4 (83mmol/mol) at their first POCT measurement to 8.4%±2.4 (68mmol/mmol/mol) at their most recent POCT measurement (paired t-test p&lt;0.01). The average time between first and most recent HbA1c test was 15 months. The number of diabetes patients achieving optimal glycaemic control (HbA1c≤6.5-7.5% [48-58mmol/mol) increased by 125%, while the number with very poor glycaemic control (HbA1c&gt;10% [86mmol/mol]) halved. An association was observed between degree of glycaemic control and increasing albuminuria in this cohort.&lt;BR&gt;DISCUSSION:&lt;BR&gt;POCT has promoted change in clinical practice by facilitating greater accessibility to HbA1c testing.&lt;BR&gt;Copyright © 2017 Primary Care Diabetes Europe. All rights reserved.&lt;BR&gt;","author":[{"dropping-particle":"","family":"Motta","given":"Lara A.","non-dropping-particle":"","parse-names":false,"suffix":""},{"dropping-particle":"","family":"Shephard","given":"Mark D.S. S","non-dropping-particle":"","parse-names":false,"suffix":""},{"dropping-particle":"","family":"Brink","given":"Julie","non-dropping-particle":"","parse-names":false,"suffix":""},{"dropping-particle":"","family":"Lawson","given":"Stefan","non-dropping-particle":"","parse-names":false,"suffix":""},{"dropping-particle":"","family":"Rheeder","given":"Paul","non-dropping-particle":"","parse-names":false,"suffix":""},{"dropping-particle":"","family":"MottaLara","given":"A","non-dropping-particle":"","parse-names":false,"suffix":""},{"dropping-particle":"","family":"Shephard","given":"Mark D.S. S","non-dropping-particle":"","parse-names":false,"suffix":""},{"dropping-particle":"","family":"Brink","given":"Julie","non-dropping-particle":"","parse-names":false,"suffix":""},{"dropping-particle":"","family":"Lawson","given":"Stefan","non-dropping-particle":"","parse-names":false,"suffix":""},{"dropping-particle":"","family":"Rheeder","given":"Paul","non-dropping-particle":"","parse-names":false,"suffix":""}],"container-title":"Primary care diabetes","id":"ITEM-1","issue":"3","issued":{"date-parts":[["2017","1","1"]]},"note":"From Duplicate 1 (Point-of-care testing improves diabetes management in a primary care clinic in South Africa - MottaLara, A; Shephard, Mark D S; Brink, Julie; Lawson, Stefan; Rheeder, Paul)\n\nNote: E-mail: Lara.Motta@flinders.edu.au; CAS Registry Number: AYI8EX34EU; Address: Flinders University International Centre for Point-of-Care Testing, Sturt Campus, West Wing, Level 3, Flinders University, Bedford Park, South Australia 5042, Australia. Electronic address: Flinders University International Centre for Point-of-Care Testing, Sturt Campus, West Wing, Level 3, Flinders University, Bedford Park, South Australia 5042, Australia. Electronic address: Project HOPE South Africa, Wild Fig Business Park, Block F, Unit 54, 1494 Cranberry Street, Honeydew, Johannesburg 2170, South Africa. Electronic address: jbrink@projecthope.org.; Project HOPE, 255 Carter Hall Lane, Millwood, VA 22646, USA. Electronic address: slawson@projecthope.org.; Dept. Internal Medicine, Steve Biko Academic Hospital, University of Pretoria, Bophelo Road, Pretoria, South Africa. Electronic address: Paul.Rheeder@up.ac.za; Record Source: This record is provided from the MEDLINE database of the National Library of Medicine (NLM), United States. The index terms may have been modified to conform with terminology used throughout the database. Database Contributor: MEDLINE. Database Contributor ID: 28161128. Language: English. Document Type: Article. Publication Type: Journal Article. Accession Number: 28161128.","page":"248-253","publisher":"Elsevier Ltd","title":"Point-of-care testing improves diabetes management in a primary care clinic in South Africa","type":"article-journal","volume":"11"},"uris":["http://www.mendeley.com/documents/?uuid=3ff392b7-ad94-49fd-911f-8f37b0e0faa1"]}],"mendeley":{"formattedCitation":"(134)","manualFormatting":"[73","plainTextFormattedCitation":"(134)","previouslyFormattedCitation":"(138)"},"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sidR="00D140B1">
              <w:rPr>
                <w:rFonts w:ascii="Times New Roman" w:hAnsi="Times New Roman" w:cs="Times New Roman"/>
                <w:noProof/>
                <w:sz w:val="20"/>
                <w:szCs w:val="20"/>
                <w:lang w:val="en-US"/>
              </w:rPr>
              <w:t>62</w:t>
            </w:r>
            <w:r>
              <w:rPr>
                <w:rFonts w:ascii="Times New Roman" w:hAnsi="Times New Roman" w:cs="Times New Roman"/>
                <w:sz w:val="20"/>
                <w:szCs w:val="20"/>
                <w:lang w:val="en-US"/>
              </w:rPr>
              <w:fldChar w:fldCharType="end"/>
            </w:r>
            <w:r>
              <w:rPr>
                <w:rFonts w:ascii="Times New Roman" w:hAnsi="Times New Roman" w:cs="Times New Roman"/>
                <w:sz w:val="20"/>
                <w:szCs w:val="20"/>
                <w:lang w:val="en-US"/>
              </w:rPr>
              <w:t>]</w:t>
            </w:r>
          </w:p>
        </w:tc>
        <w:tc>
          <w:tcPr>
            <w:tcW w:w="1440" w:type="dxa"/>
            <w:shd w:val="clear" w:color="auto" w:fill="auto"/>
            <w:hideMark/>
          </w:tcPr>
          <w:p w14:paraId="0625F3F1"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Cohort study</w:t>
            </w:r>
          </w:p>
        </w:tc>
        <w:tc>
          <w:tcPr>
            <w:tcW w:w="1194" w:type="dxa"/>
            <w:shd w:val="clear" w:color="auto" w:fill="auto"/>
            <w:noWrap/>
            <w:hideMark/>
          </w:tcPr>
          <w:p w14:paraId="790C1494"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2017</w:t>
            </w:r>
          </w:p>
        </w:tc>
        <w:tc>
          <w:tcPr>
            <w:tcW w:w="1238" w:type="dxa"/>
            <w:shd w:val="clear" w:color="auto" w:fill="auto"/>
            <w:noWrap/>
            <w:hideMark/>
          </w:tcPr>
          <w:p w14:paraId="5F7E5C2A"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South Africa</w:t>
            </w:r>
          </w:p>
        </w:tc>
        <w:tc>
          <w:tcPr>
            <w:tcW w:w="1761" w:type="dxa"/>
            <w:shd w:val="clear" w:color="auto" w:fill="auto"/>
            <w:hideMark/>
          </w:tcPr>
          <w:p w14:paraId="0DA28E67"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Types 1 and 2 diabetes</w:t>
            </w:r>
          </w:p>
        </w:tc>
        <w:tc>
          <w:tcPr>
            <w:tcW w:w="850" w:type="dxa"/>
            <w:shd w:val="clear" w:color="auto" w:fill="auto"/>
            <w:hideMark/>
          </w:tcPr>
          <w:p w14:paraId="303DC269"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w:t>
            </w:r>
          </w:p>
        </w:tc>
        <w:tc>
          <w:tcPr>
            <w:tcW w:w="1472" w:type="dxa"/>
            <w:shd w:val="clear" w:color="auto" w:fill="auto"/>
            <w:hideMark/>
          </w:tcPr>
          <w:p w14:paraId="4C580A70" w14:textId="77777777" w:rsidR="000F54D9" w:rsidRPr="000C26B9" w:rsidRDefault="000F54D9" w:rsidP="00D05366">
            <w:pPr>
              <w:rPr>
                <w:rFonts w:ascii="Times New Roman" w:hAnsi="Times New Roman" w:cs="Times New Roman"/>
                <w:sz w:val="20"/>
                <w:szCs w:val="20"/>
                <w:lang w:val="en-US"/>
              </w:rPr>
            </w:pPr>
            <w:r>
              <w:rPr>
                <w:rFonts w:ascii="Times New Roman" w:hAnsi="Times New Roman" w:cs="Times New Roman"/>
                <w:sz w:val="20"/>
                <w:szCs w:val="20"/>
                <w:lang w:val="en-US"/>
              </w:rPr>
              <w:t>Another type</w:t>
            </w:r>
            <w:r w:rsidRPr="000C26B9">
              <w:rPr>
                <w:rFonts w:ascii="Times New Roman" w:hAnsi="Times New Roman" w:cs="Times New Roman"/>
                <w:sz w:val="20"/>
                <w:szCs w:val="20"/>
                <w:lang w:val="en-US"/>
              </w:rPr>
              <w:t xml:space="preserve"> of diabetes included</w:t>
            </w:r>
          </w:p>
        </w:tc>
      </w:tr>
      <w:tr w:rsidR="000F54D9" w:rsidRPr="000C26B9" w14:paraId="29E6A79E" w14:textId="77777777" w:rsidTr="00D05366">
        <w:trPr>
          <w:trHeight w:val="630"/>
        </w:trPr>
        <w:tc>
          <w:tcPr>
            <w:tcW w:w="1327" w:type="dxa"/>
            <w:shd w:val="clear" w:color="auto" w:fill="auto"/>
            <w:noWrap/>
            <w:hideMark/>
          </w:tcPr>
          <w:p w14:paraId="436F89D3" w14:textId="28FB1263"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Moustafa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{"citationItems":[{"id":"ITEM-1","itemData":{"DOI":"10.1007/s12020-019-01963-4","ISSN":"1355008X","abstract":"Purpose: Nature is a phenomenal treasure of remedies. Numerous previous studies reported that Nigella sativa NS improved glycemic control, reduced insulin resistance, and improved lipid profile. NS was never investigated before as a monotherapy for newly diagnosed type 2 diabetes mellitus T2DM patients. Our aim was to investigate the potential metabolic benefits of NS monotherapy in newly diagnosed T2DM patients. Method: Prospective, open-label randomized clinical trial at outpatient endocrinology clinic at Ain-Shams University hospital. Eligible patients were randomly assigned to either metformin tablets or NS oil capsules. Both groups received treatment for 3 months. Glycemic index (FBG, 2 h pp, A1C, insulin sensitivity%S, secretory function%B, insulin resistance IR), lipid profile (TC, LDL, HDL, TG), liver and kidney functions (AST, ALT, Sr cr), total antioxidant capacity TAC, weight, waist circumference WC and body mass index BMI were assessed at baseline and at the end of treatment period. Results: A concentration of 1350 mg/day NS in newly diagnosed T2DM patients was inferior to metformin in terms of lowering FBG, 2 h pp, and A1C or increasing%B. However, NS was comparable to metformin in lowering weight, WC, and BMI significantly. NS was comparable to metformin in regards of their effects on fasting insulin,%S, IR, ALT, TC, LDL, HDL, TG, and TAC. Metformin showed significant increase in AST and creatinine which was reserved in NS group. Conclusion: NS administration in newly diagnosed T2DM was tolerable with no side effects as compared to metformin; however, it was inferior to metformin in terms of diabetes management.","author":[{"dropping-particle":"","family":"Moustafa","given":"H A M","non-dropping-particle":"","parse-names":false,"suffix":""},{"dropping-particle":"","family":"El-Wakeel","given":"L M","non-dropping-particle":"","parse-names":false,"suffix":""},{"dropping-particle":"","family":"Halawa","given":"M R","non-dropping-particle":"","parse-names":false,"suffix":""},{"dropping-particle":"","family":"Sabri","given":"N A","non-dropping-particle":"","parse-names":false,"suffix":""},{"dropping-particle":"","family":"El-Bahy","given":"A Z","non-dropping-particle":"","parse-names":false,"suffix":""},{"dropping-particle":"","family":"Singab","given":"A N","non-dropping-particle":"","parse-names":false,"suffix":""}],"container-title":"Endocrine","id":"ITEM-1","issue":"2","issued":{"date-parts":[["2019"]]},"note":"Accession Number: 20193419672. Moustafa, H. A. M. (author); Email Address: lamywak@yahoo.com; El-Wakeel, L. M. (author); Halawa, M. R. (author); Sabri, N. A. (author); El-Bahy, A. Z. (author); Singab, A. N. (author). Issue Info: 65, 2. Publication Date: 20190101. Note: 43. Number of Pages: 9. Document Type: Journal Article. Language: English. Subject Subsets: Aromatic&amp;amp;Medicinal Plants; Tropical Diseases; CAB Abstracts 1973-Current; Global Health 1973- Current; Nutrition and Food Sciences Database. CAS Registry Number: 9000-86-6. CAS Registry Number: 9000-97-9. CAS Registry Number: 57-88-5. CAS Registry Number: 9004-10-8. CAS Registry Number: 1115-70-4. CAS Registry Number: 657-24-9. Has References: 43.","page":"286-294","publisher":"Springer US","publisher-place":"Department of pharmacy practice, Faculty of Pharmacy and drug technology, Heliopolis University for Sustainable Development, Cairo Governorate, Egypt.","title":"Effect of Nigella sativa oil versus metformin on glycemic control and biochemical parameters of newly diagnosed type 2 diabetes mellitus patients.","type":"article-journal","volume":"65"},"uris":["http://www.mendeley.com/documents/?uuid=e154e86a-cd49-4b90-af10-18ddd50f00f9"]}],"mendeley":{"formattedCitation":"(135)","manualFormatting":"[74","plainTextFormattedCitation":"(135)","previouslyFormattedCitation":"(139)"},"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sidR="00D140B1">
              <w:rPr>
                <w:rFonts w:ascii="Times New Roman" w:hAnsi="Times New Roman" w:cs="Times New Roman"/>
                <w:noProof/>
                <w:sz w:val="20"/>
                <w:szCs w:val="20"/>
                <w:lang w:val="en-US"/>
              </w:rPr>
              <w:t>63</w:t>
            </w:r>
            <w:r>
              <w:rPr>
                <w:rFonts w:ascii="Times New Roman" w:hAnsi="Times New Roman" w:cs="Times New Roman"/>
                <w:sz w:val="20"/>
                <w:szCs w:val="20"/>
                <w:lang w:val="en-US"/>
              </w:rPr>
              <w:fldChar w:fldCharType="end"/>
            </w:r>
            <w:r>
              <w:rPr>
                <w:rFonts w:ascii="Times New Roman" w:hAnsi="Times New Roman" w:cs="Times New Roman"/>
                <w:sz w:val="20"/>
                <w:szCs w:val="20"/>
                <w:lang w:val="en-US"/>
              </w:rPr>
              <w:t>]</w:t>
            </w:r>
          </w:p>
        </w:tc>
        <w:tc>
          <w:tcPr>
            <w:tcW w:w="1440" w:type="dxa"/>
            <w:shd w:val="clear" w:color="auto" w:fill="auto"/>
            <w:hideMark/>
          </w:tcPr>
          <w:p w14:paraId="29073C85"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Randomized controlled trial</w:t>
            </w:r>
          </w:p>
        </w:tc>
        <w:tc>
          <w:tcPr>
            <w:tcW w:w="1194" w:type="dxa"/>
            <w:shd w:val="clear" w:color="auto" w:fill="auto"/>
            <w:noWrap/>
            <w:hideMark/>
          </w:tcPr>
          <w:p w14:paraId="15A97E21"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2019</w:t>
            </w:r>
          </w:p>
        </w:tc>
        <w:tc>
          <w:tcPr>
            <w:tcW w:w="1238" w:type="dxa"/>
            <w:shd w:val="clear" w:color="auto" w:fill="auto"/>
            <w:noWrap/>
            <w:hideMark/>
          </w:tcPr>
          <w:p w14:paraId="22587A3A"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Egypt</w:t>
            </w:r>
          </w:p>
        </w:tc>
        <w:tc>
          <w:tcPr>
            <w:tcW w:w="1761" w:type="dxa"/>
            <w:shd w:val="clear" w:color="auto" w:fill="auto"/>
            <w:hideMark/>
          </w:tcPr>
          <w:p w14:paraId="3755CC6D"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Type 2 diabetes</w:t>
            </w:r>
          </w:p>
        </w:tc>
        <w:tc>
          <w:tcPr>
            <w:tcW w:w="850" w:type="dxa"/>
            <w:shd w:val="clear" w:color="auto" w:fill="auto"/>
            <w:hideMark/>
          </w:tcPr>
          <w:p w14:paraId="719044C4"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w:t>
            </w:r>
          </w:p>
        </w:tc>
        <w:tc>
          <w:tcPr>
            <w:tcW w:w="1472" w:type="dxa"/>
            <w:shd w:val="clear" w:color="auto" w:fill="auto"/>
            <w:hideMark/>
          </w:tcPr>
          <w:p w14:paraId="46AB04DF"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Setting outside sub-Saharan Africa</w:t>
            </w:r>
          </w:p>
        </w:tc>
      </w:tr>
      <w:tr w:rsidR="000F54D9" w:rsidRPr="000C26B9" w14:paraId="3A708007" w14:textId="77777777" w:rsidTr="00D05366">
        <w:trPr>
          <w:trHeight w:val="315"/>
        </w:trPr>
        <w:tc>
          <w:tcPr>
            <w:tcW w:w="1327" w:type="dxa"/>
            <w:shd w:val="clear" w:color="auto" w:fill="auto"/>
            <w:noWrap/>
            <w:hideMark/>
          </w:tcPr>
          <w:p w14:paraId="10B9329E" w14:textId="3373A412"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Muddu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{"citationItems":[{"id":"ITEM-1","itemData":{"DOI":"10.5830/CVJA-2018-015","ISSN":"19951892","PMID":"29750228","abstract":"Background: The prevalence of hypertension in patients with diabetes is approximately two-fold higher than in age-matched subjects without the disease and, conversely, individuals with hypertension are at increased risk of developing diabetes compared with normotensive persons. Up to 75% of cases of cardiovascular disease (CVD) in patients with diabetes are attributed to hypertension. Diabetics who have hypertension are more likely to develop complications and die, and appropriate blood pressure control in these individuals reduces the risk. This study sought to determine the prevalence and factors associated with hypertension among newly diagnosed adult diabetic patients in a national referral hospital in Uganda. Methods: In this cross-sectional study, conducted between June 2014 and January 2015, we recruited 201 newly diagnosed adult diabetic patients. Information on patients' socio-demographics was obtained using a pre-tested questionnaire, while biophysical profile, blood pressure measurement, biochemical testing and echocardiographic findings were obtained by the research team for all the participants. Bivariate and multivariate logistic regression analyses were used to investigate the association of several factors with hypertension. Results: Of the 201 patients recruited, 102 were male (50.8%) and the mean age was 46 15 years. The majority of patients (159) had type 2 diabetes mellitus (DM) (79.1%) with a mean HbA1c level of 13.9 5.3%. The prevalence of hypertension was 61.9% (95% CI: 54.8-68.6%). Knowledge of hypertension status was at 56 (27.7%) patients, 24 (44.4%) hypertensives were on treatment, and 19 (33.9%) were using ACE inhibitors/angiotensin receptor blockers. The independent factors associated with hypertension were being employed (OR 0.37, 95% CI: 0.16-0.90, p = 0.029) and being overweight or obese (OR 11.6, 95% CI: 4.29-31.2, p &lt; 0.0001). Conclusion: The prevalence of hypertension was high in this population of newly diagnosed diabetics, few patients had knowledge of their hypertension status and few were on appropriate treatment. Both modifiable and non-modifiable risk factors were associated with hypertension in this group. Therefore routine assessment, treatment and control of hypertension among diabetics is necessary to prevent cardiovascular complications and death. There is also a need to address the modifiable risk factors.","author":[{"dropping-particle":"","family":"Muddu","given":"Martin","non-dropping-particle":"","parse-names":false,"suffix":""},{"dropping-particle":"","family":"Mutebi","given":"Edrisa","non-dropping-particle":"","parse-names":false,"suffix":""},{"dropping-particle":"","family":"Ssinabulya","given":"Isaac","non-dropping-particle":"","parse-names":false,"suffix":""},{"dropping-particle":"","family":"Kizito","given":"Samuel","non-dropping-particle":"","parse-names":false,"suffix":""},{"dropping-particle":"","family":"Mondo","given":"Charles Kiiza","non-dropping-particle":"","parse-names":false,"suffix":""}],"container-title":"Cardiovascular Journal of Africa","id":"ITEM-1","issue":"4","issued":{"date-parts":[["2018","7","1"]]},"page":"218-224","publisher":"Clinics Cardive Publishing (PTY)Ltd","title":"Hypertension among newly diagnosed diabetic patients at Mulago national referral hospital in Uganda a cross sectional study","type":"article-journal","volume":"29"},"uris":["http://www.mendeley.com/documents/?uuid=b93f9b37-66bd-3741-80ee-2f523555d1ff"]}],"mendeley":{"formattedCitation":"(136)","manualFormatting":"[75","plainTextFormattedCitation":"(136)","previouslyFormattedCitation":"(140)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64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BD77F3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0537193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2DCF6FC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Uganda</w:t>
            </w:r>
          </w:p>
        </w:tc>
        <w:tc>
          <w:tcPr>
            <w:tcW w:w="1761" w:type="dxa"/>
            <w:shd w:val="clear" w:color="auto" w:fill="auto"/>
            <w:hideMark/>
          </w:tcPr>
          <w:p w14:paraId="0A01125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6629920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w:t>
            </w:r>
          </w:p>
        </w:tc>
        <w:tc>
          <w:tcPr>
            <w:tcW w:w="1472" w:type="dxa"/>
            <w:shd w:val="clear" w:color="auto" w:fill="auto"/>
            <w:noWrap/>
            <w:hideMark/>
          </w:tcPr>
          <w:p w14:paraId="63D340F9"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w:t>
            </w:r>
            <w:r w:rsidRPr="000C26B9">
              <w:rPr>
                <w:rFonts w:ascii="Times New Roman" w:hAnsi="Times New Roman" w:cs="Times New Roman"/>
                <w:color w:val="000000"/>
                <w:sz w:val="20"/>
                <w:szCs w:val="20"/>
              </w:rPr>
              <w:t>included</w:t>
            </w:r>
          </w:p>
        </w:tc>
      </w:tr>
      <w:tr w:rsidR="000F54D9" w:rsidRPr="000C26B9" w14:paraId="5757BE54" w14:textId="77777777" w:rsidTr="00D05366">
        <w:trPr>
          <w:trHeight w:val="315"/>
        </w:trPr>
        <w:tc>
          <w:tcPr>
            <w:tcW w:w="1327" w:type="dxa"/>
            <w:shd w:val="clear" w:color="auto" w:fill="auto"/>
            <w:noWrap/>
            <w:hideMark/>
          </w:tcPr>
          <w:p w14:paraId="08EC51C8" w14:textId="3E53246D"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Mullugeta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{"citationItems":[{"id":"ITEM-1","itemData":{"DOI":"10.1007/s12291-012-0225-8","ISSN":"09701915","abstract":"The nature of the dyslipidemia associated with diabetes mellitus is complex and is the major risk factor for atherosclerosis and coronary artery disease. Aim of this study was to assess the effect of glycemic control, achieved by metformin, glibenclamide and insulin, on lipid profile in type 2 diabetic patients. One hundred and sixty-five type 2 diabetes mellitus patients were classified into good glycemic control (Group I) and poor glycemic control (Group II) on the basis of their blood HbA1c values. The Group II was characterized with high serum triglyceride (190.46 ± 15.20 mg/dl), total cholesterol (175.3 ± 6.31 mg/dl) as well as high LDL-cholesterol (109.0 ± 5.88 mg/dl). Significant correlations were evident between HbA1c and dyslipidemia, particularly serum TG (r = 0.28, P &lt; 0.05), and between HbA1c and total cholesterol (r = 0.310, P &lt; 0.05). Better glycemic control and improved dyslipidemia were observed in patients on combination therapy of metformin plus glibenclamide. © 2012 Association of Clinical Biochemists of India.","author":[{"dropping-particle":"","family":"Mullugeta","given":"Yonas","non-dropping-particle":"","parse-names":false,"suffix":""},{"dropping-particle":"","family":"Chawla","given":"Rajinder","non-dropping-particle":"","parse-names":false,"suffix":""},{"dropping-particle":"","family":"Kebede","given":"Tedla","non-dropping-particle":"","parse-names":false,"suffix":""},{"dropping-particle":"","family":"Worku","given":"Yesehak","non-dropping-particle":"","parse-names":false,"suffix":""}],"container-title":"Indian Journal of Clinical Biochemistry","id":"ITEM-1","issue":"4","issued":{"date-parts":[["2012"]]},"page":"363-369","title":"Dyslipidemia associated with poor glycemic control in type 2 diabetes mellitus and the protective effect of metformin supplementation","type":"article-journal","volume":"27"},"uris":["http://www.mendeley.com/documents/?uuid=0af09d6d-45ae-4e48-98e9-29ebafb46b5c"]}],"mendeley":{"formattedCitation":"(137)","manualFormatting":"[76","plainTextFormattedCitation":"(137)","previouslyFormattedCitation":"(141)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65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D0A12D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368189E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2012</w:t>
            </w:r>
          </w:p>
        </w:tc>
        <w:tc>
          <w:tcPr>
            <w:tcW w:w="1238" w:type="dxa"/>
            <w:shd w:val="clear" w:color="auto" w:fill="auto"/>
            <w:noWrap/>
            <w:hideMark/>
          </w:tcPr>
          <w:p w14:paraId="2293A3E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1503B7F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4AB5AA3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165</w:t>
            </w:r>
          </w:p>
        </w:tc>
        <w:tc>
          <w:tcPr>
            <w:tcW w:w="1472" w:type="dxa"/>
            <w:shd w:val="clear" w:color="auto" w:fill="auto"/>
            <w:noWrap/>
            <w:hideMark/>
          </w:tcPr>
          <w:p w14:paraId="3650DDB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01682D6B" w14:textId="77777777" w:rsidTr="00D05366">
        <w:trPr>
          <w:trHeight w:val="315"/>
        </w:trPr>
        <w:tc>
          <w:tcPr>
            <w:tcW w:w="1327" w:type="dxa"/>
            <w:shd w:val="clear" w:color="auto" w:fill="auto"/>
            <w:noWrap/>
            <w:hideMark/>
          </w:tcPr>
          <w:p w14:paraId="5C2D8377" w14:textId="754936F6"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Munyog</w:t>
            </w:r>
            <w:r>
              <w:rPr>
                <w:rFonts w:ascii="Times New Roman" w:hAnsi="Times New Roman" w:cs="Times New Roman"/>
                <w:color w:val="000000"/>
                <w:sz w:val="20"/>
                <w:szCs w:val="20"/>
                <w:lang w:val="en-US"/>
              </w:rPr>
              <w:t>w</w:t>
            </w:r>
            <w:r w:rsidRPr="000C26B9">
              <w:rPr>
                <w:rFonts w:ascii="Times New Roman" w:hAnsi="Times New Roman" w:cs="Times New Roman"/>
                <w:color w:val="000000"/>
                <w:sz w:val="20"/>
                <w:szCs w:val="20"/>
                <w:lang w:val="en-US"/>
              </w:rPr>
              <w:t xml:space="preserve">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{"citationItems":[{"id":"ITEM-1","itemData":{"DOI":"10.1186/s12913-020-05407-y","ISSN":"14726963","abstract":"Background: Tanzania is among the sub-Saharan African countries facing a tremendous increase in the burden of type 2 diabetes mellitus. In order to provide diabetes health care services, the government has established diabetes care clinics in secondary and tertiary healthcare facilities. However, previous studies have demonstrated a disparity in availability of supplies and equipment for provision of diabetes health care services at these healthcare facilities. This study aims to assess the clinical characteristics and health care received among patients with type 2 diabetes attending secondary and tertiary healthcare facilities in Mwanza Region, Tanzania. Methods: A cross-sectional study was conducted in Mwanza Region from June to September, 2018. Three hundred and thirty patients were selected by systematic random sampling from three healthcare facilities. A structured questionnaire was utilized to collect information on patient characteristics, health care received and patient perception of care. Patient blood pressure, blood glucose, weight and height were measured during the study. Percentages, chi-square tests and multivariable analysis were conducted to obtain the proportions, make comparisons and determining the correlates of tertiary-level healthcare facility. Results: Approximately half of respondents (54.5%) were from secondary healthcare facilities. The prevalence of hypertension (63.3%), hyperglycemia (95.8%) and obesity (93.3%) were high. The prevalence of hyperglycemia was slightly higher at secondary-level healthcare facility (p = 0.005). The proportion of respondents recently diagnosed with diabetes (≤ 10 years) was significantly higher at tertiary-level healthcare facility (p = 0.000). The prevalence of diabetes related complications was higher at tertiary-level healthcare facility (80.7% versus 53.3%, p = 0.000). Assessments of body weight, blood pressure, blood glucose, feet and eye examination were conducted on a monthly basis at all facilities. None of the respondents had undergone lipid profile testing. All of the respondents (100%) received care from a nurse during diabetes clinic visits and half of the respondents (49.7%) also received care from a clinician. Relatively young patients, married and recently diagnosed patients were more likely to attend clinic at tertiary facilities. Tertiary-level healthcare facilities were more likely to have patients with complications and to have a dietitian available at the clinic.","author":[{"dropping-particle":"","family":"Munyogwa","given":"M J","non-dropping-particle":"","parse-names":false,"suffix":""},{"dropping-particle":"","family":"William","given":"R","non-dropping-particle":"","parse-names":false,"suffix":""},{"dropping-particle":"","family":"Kibusi","given":"S M","non-dropping-particle":"","parse-names":false,"suffix":""},{"dropping-particle":"","family":"Gibore","given":"N S","non-dropping-particle":"","parse-names":false,"suffix":""}],"container-title":"BMC Health Services Research","id":"ITEM-1","issue":"527","issued":{"date-parts":[["2020"]]},"note":"From Duplicate 1 (Clinical characteristics and health care received among patients with type 2 diabetes attending secondary and tertiary healthcare facilities in Mwanza Region, Tanzania: a cross-sectional study. - Munyogwa, M J; William, R; Kibusi, S M; Gibore, N S)\n\nAccession Number: 20203601013. Munyogwa, M. J. (author); Email Address: munyogwam@yahoo.com; William, R. (author); Kibusi, S. M. (author); Gibore, N. S. (author). Issue Info: 20, 527. Publication Date: 20200101. Note: 30 ref. Document Type: Journal Article. Language: English. Subject Subsets: Rural Development; Tropical Diseases; CAB Abstracts 1973-Current; Global Health 1973- Current. Has References: 30 ref. RAYYAN-INCLUSION: {&amp;quot;Jean-Pierre&amp;quot;=&amp;gt;&amp;quot;Excluded&amp;quot;}\n\nFrom Duplicate 2 (Clinical characteristics and health care received among patients with type 2 diabetes attending secondary and tertiary healthcare facilities in Mwanza Region, Tanzania: a cross-sectional study. - Munyogwa, M J; William, R; Kibusi, S M; Gibore, N S)\n\nAccession Number: 20203601013. Munyogwa, M. J. (author); Email Address: munyogwam@yahoo.com; William, R. (author); Kibusi, S. M. (author); Gibore, N. S. (author). Issue Info: 20, 527. Publication Date: 20200101. Note: 30 ref. Document Type: Journal Article. Language: English. Subject Subsets: Rural Development; Tropical Diseases; CAB Abstracts 1973-Current; Global Health 1973- Current. Has References: 30 ref.","publisher":"BioMed Central Ltd","publisher-place":"Department of Public Health, University of Dodoma, P. O. Box 395, Dodoma, Tanzania.","title":"Clinical characteristics and health care received among patients with type 2 diabetes attending secondary and tertiary healthcare facilities in Mwanza Region, Tanzania: a cross-sectional study.","type":"article-journal","volume":"20"},"uris":["http://www.mendeley.com/documents/?uuid=070c7dac-035f-466f-9948-57a1dfdea3b5"]}],"mendeley":{"formattedCitation":"(138)","manualFormatting":"[77","plainTextFormattedCitation":"(138)","previouslyFormattedCitation":"(142)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66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noWrap/>
            <w:hideMark/>
          </w:tcPr>
          <w:p w14:paraId="59195C1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3CEF0C31"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1238" w:type="dxa"/>
            <w:shd w:val="clear" w:color="auto" w:fill="auto"/>
            <w:noWrap/>
            <w:hideMark/>
          </w:tcPr>
          <w:p w14:paraId="39B376D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Tanzania</w:t>
            </w:r>
          </w:p>
        </w:tc>
        <w:tc>
          <w:tcPr>
            <w:tcW w:w="1761" w:type="dxa"/>
            <w:shd w:val="clear" w:color="auto" w:fill="auto"/>
            <w:hideMark/>
          </w:tcPr>
          <w:p w14:paraId="34E3C59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noWrap/>
            <w:hideMark/>
          </w:tcPr>
          <w:p w14:paraId="211F17E1"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330</w:t>
            </w:r>
          </w:p>
        </w:tc>
        <w:tc>
          <w:tcPr>
            <w:tcW w:w="1472" w:type="dxa"/>
            <w:shd w:val="clear" w:color="auto" w:fill="auto"/>
            <w:noWrap/>
            <w:hideMark/>
          </w:tcPr>
          <w:p w14:paraId="40E3E22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337E05B8" w14:textId="77777777" w:rsidTr="00D05366">
        <w:trPr>
          <w:trHeight w:val="315"/>
        </w:trPr>
        <w:tc>
          <w:tcPr>
            <w:tcW w:w="1327" w:type="dxa"/>
            <w:shd w:val="clear" w:color="auto" w:fill="auto"/>
            <w:noWrap/>
            <w:hideMark/>
          </w:tcPr>
          <w:p w14:paraId="14A31247" w14:textId="75A62944"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Musenge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{"citationItems":[{"id":"ITEM-1","itemData":{"DOI":"10.1155/2016/7934654","abstract":"Background. The control of diabetes mellitus depends on several factors that also include individual lifestyles. We assessed glycaemic control status and self-management behaviours that may influence glycaemic control among diabetic outpatients. Methods. This cross-sectional study among 198 consenting randomly selected patients was conducted at the University Teaching Hospital diabetic clinic between September and December 2013 in Lusaka, Zambia. A structured interview schedule was used to collect data on demographic characteristics, self-management behaviours, and laboratory measurements. Binary logistic regression analysis using IBM SPSS for Windows version 20.0 was carried out to predict behaviours that were associated with glycaemic control status. Results. The proportion of patients that had good glycaemic control status (HbA 1c ≤ 48 mmol/mol) was 38.7% compared to 61.3% that had poor glycaemic control status (HbA 1c ≥ 49 mmol/mol). Adherence to antidiabetic treatment and fasting plasma glucose predicted glycaemic control status of the patients. However, self-blood glucose monitoring, self-blood glucose monitoring means and exercise did not predict glycaemic control status of the patients. Conclusion. We find evidence of poor glycaemic control status among most diabetic patients suggesting that health promotion messages need to take into account both individual and community factors to promote behaviours likely to reduce nonadherence.","author":[{"dropping-particle":"","family":"Musenge","given":"Emmanuel Mwila","non-dropping-particle":"","parse-names":false,"suffix":""},{"dropping-particle":"","family":"Michelo","given":"Charles","non-dropping-particle":"","parse-names":false,"suffix":""},{"dropping-particle":"","family":"Mudenda","given":"Boyd","non-dropping-particle":"","parse-names":false,"suffix":""},{"dropping-particle":"","family":"Manankov","given":"Alexey","non-dropping-particle":"","parse-names":false,"suffix":""}],"id":"ITEM-1","issued":{"date-parts":[["2016"]]},"title":"Glycaemic Control and Associated Self-Management Behaviours in Diabetic Outpatients: A Hospital Based Observation Study in Lusaka, Zambia","type":"article-journal"},"uris":["http://www.mendeley.com/documents/?uuid=50a0a41d-4a2c-39c8-a7a0-bb9a9e93b035"]}],"mendeley":{"formattedCitation":"(139)","manualFormatting":"[78","plainTextFormattedCitation":"(139)","previouslyFormattedCitation":"(143)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D140B1">
              <w:rPr>
                <w:rFonts w:ascii="Times New Roman" w:hAnsi="Times New Roman" w:cs="Times New Roman"/>
                <w:noProof/>
                <w:color w:val="000000"/>
                <w:sz w:val="20"/>
                <w:szCs w:val="20"/>
                <w:lang w:val="en-US"/>
              </w:rPr>
              <w:t>67</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noWrap/>
            <w:hideMark/>
          </w:tcPr>
          <w:p w14:paraId="4F00EE4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71C31AB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noWrap/>
            <w:hideMark/>
          </w:tcPr>
          <w:p w14:paraId="64E5922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Zambia</w:t>
            </w:r>
          </w:p>
        </w:tc>
        <w:tc>
          <w:tcPr>
            <w:tcW w:w="1761" w:type="dxa"/>
            <w:shd w:val="clear" w:color="auto" w:fill="auto"/>
            <w:hideMark/>
          </w:tcPr>
          <w:p w14:paraId="56241BA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noWrap/>
            <w:hideMark/>
          </w:tcPr>
          <w:p w14:paraId="4245FF2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198</w:t>
            </w:r>
          </w:p>
        </w:tc>
        <w:tc>
          <w:tcPr>
            <w:tcW w:w="1472" w:type="dxa"/>
            <w:shd w:val="clear" w:color="auto" w:fill="auto"/>
            <w:hideMark/>
          </w:tcPr>
          <w:p w14:paraId="125A766E"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1A3742B0" w14:textId="77777777" w:rsidTr="00D05366">
        <w:trPr>
          <w:trHeight w:val="630"/>
        </w:trPr>
        <w:tc>
          <w:tcPr>
            <w:tcW w:w="1327" w:type="dxa"/>
            <w:shd w:val="clear" w:color="auto" w:fill="auto"/>
            <w:noWrap/>
            <w:hideMark/>
          </w:tcPr>
          <w:p w14:paraId="04AE40AF" w14:textId="541D55F8"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Neboh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{"citationItems":[{"id":"ITEM-1","itemData":{"ISSN":"22265724","abstract":"Impaired lipid metabolism resulting from uncontrolled hyperglycaemia has been implicated in diabetes and glycated haemoglobin (HbA1c) used as predictor of uncontrolled hyperglycaemia. The present study is aimed at analyzing the HbA1c level, lipid profile and atherogenic index of plasma (AIP), in type-2 diabetics in Enugu. Ninety (90) type-2 diabetic patients (46 males and 44 females) drawn from the diabetic clinic and 40 apparently-healthy, non-diabetics (20 males and 20 females), all aged 45-70 years, were included in the study. Venous blood samples were collected from the subjects after 8 hours fasting and analyzed for HbA1c, fasting blood glucose (FBG), total cholesterol (TC), triacylglycerol (TG) and high-density lipoprotein (HDL-C), whereas low-density lipoprotein (LDL-C), very low-density lipoprotein (VLDL-C) and AIP were calculated using standard procedures. Data was analyzed with SPSS computer software version 11 using student's t-test at 95% confidence limit. The results showed significant increase (P&lt;0.05) in AIP and the lipid profile parameters, and highly significant increase (P&lt;0.001) in FBG and HbA1c in the diabetic patients. LDL-C was not significantly increased in the test subjects compared to controls. Blood pressure was significantly increased (P&lt;0.05) whereas body mass index (BMI) revealed central obesity in the patients. Significant increase in HbA1c, AIP and BMI was observed in the diabetic patients compared to the control. All the subjects had AIP in the medium CV risk group. The study suggests that the diabetic patients might also be predisposed to the risk of complications from dislipidaemia.","author":[{"dropping-particle":"","family":"Neboh","given":"E E","non-dropping-particle":"","parse-names":false,"suffix":""},{"dropping-particle":"","family":"Ikekpeazu","given":"E J","non-dropping-particle":"","parse-names":false,"suffix":""},{"dropping-particle":"","family":"Maduka","given":"I C","non-dropping-particle":"","parse-names":false,"suffix":""},{"dropping-particle":"","family":"Aduba","given":"O","non-dropping-particle":"","parse-names":false,"suffix":""},{"dropping-particle":"","family":"Ibegbu","given":"D M","non-dropping-particle":"","parse-names":false,"suffix":""},{"dropping-particle":"","family":"Aniagolu","given":"M O","non-dropping-particle":"","parse-names":false,"suffix":""},{"dropping-particle":"","family":"Ezeike","given":"B E","non-dropping-particle":"","parse-names":false,"suffix":""}],"container-title":"Journal of Asian Scientific Research","id":"ITEM-1","issue":"5","issued":{"date-parts":[["2012"]]},"note":"Accession Number: 20123355767. Neboh, E. E. (author); Ikekpeazu, E. J. (author); Maduka, I. C. (author); Aduba, O. (author); Ibegbu, D. M. (author); Aniagolu, M. O. (author); Ezeike, B. E. (author). Issue Info: 2, 5. Publication Date: 20120101. Note: 20. Number of Pages: 7. Document Type: Journal Article. Language: English. Subject Subsets: Tropical Diseases; Human Nutrition; CAB Abstracts 1973-Current; Global Health 1973- Current; Nutrition and Food Sciences Database. CAS Registry Number: 57-88-5. CAS Registry Number: 9062-63-9. Has References: 20.","page":"300-306","publisher":"Asian Economic and Social Society","publisher-place":"Department of Chemical Pathology, College of Medicine, Enugu State University of Science and Technology (ESUT), Enugu State, Nigeria.","title":"Lipid profile, aip and glycated haemoglobin level in type-2 diabetic patients in Enugu, South-East Nigeria.","type":"article-journal","volume":"2"},"uris":["http://www.mendeley.com/documents/?uuid=ebe9c8c5-f2e6-445d-89f9-2b8834aa2d24"]}],"mendeley":{"formattedCitation":"(140)","manualFormatting":"[79","plainTextFormattedCitation":"(140)","previouslyFormattedCitation":"(144)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EC2E49">
              <w:rPr>
                <w:rFonts w:ascii="Times New Roman" w:hAnsi="Times New Roman" w:cs="Times New Roman"/>
                <w:color w:val="000000"/>
                <w:sz w:val="20"/>
                <w:szCs w:val="20"/>
                <w:lang w:val="en-US"/>
              </w:rPr>
              <w:t>68</w:t>
            </w:r>
            <w:r>
              <w:rPr>
                <w:rFonts w:ascii="Times New Roman" w:hAnsi="Times New Roman" w:cs="Times New Roman"/>
                <w:color w:val="000000"/>
                <w:sz w:val="20"/>
                <w:szCs w:val="20"/>
                <w:lang w:val="en-US"/>
              </w:rPr>
              <w:t>]</w:t>
            </w:r>
          </w:p>
        </w:tc>
        <w:tc>
          <w:tcPr>
            <w:tcW w:w="1440" w:type="dxa"/>
            <w:shd w:val="clear" w:color="auto" w:fill="auto"/>
            <w:noWrap/>
            <w:hideMark/>
          </w:tcPr>
          <w:p w14:paraId="2BF42F1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194" w:type="dxa"/>
            <w:shd w:val="clear" w:color="auto" w:fill="auto"/>
            <w:noWrap/>
            <w:hideMark/>
          </w:tcPr>
          <w:p w14:paraId="51BEB9E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2012</w:t>
            </w:r>
          </w:p>
        </w:tc>
        <w:tc>
          <w:tcPr>
            <w:tcW w:w="1238" w:type="dxa"/>
            <w:shd w:val="clear" w:color="auto" w:fill="auto"/>
            <w:noWrap/>
            <w:hideMark/>
          </w:tcPr>
          <w:p w14:paraId="1CEEB02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0BE7BA5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53E4084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130</w:t>
            </w:r>
          </w:p>
        </w:tc>
        <w:tc>
          <w:tcPr>
            <w:tcW w:w="1472" w:type="dxa"/>
            <w:shd w:val="clear" w:color="auto" w:fill="auto"/>
            <w:hideMark/>
          </w:tcPr>
          <w:p w14:paraId="6E1E4483"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comparison of type 2 diabetic patients and healthy individuals</w:t>
            </w:r>
          </w:p>
        </w:tc>
      </w:tr>
      <w:tr w:rsidR="000F54D9" w:rsidRPr="000C26B9" w14:paraId="3F4531A6" w14:textId="77777777" w:rsidTr="00D05366">
        <w:trPr>
          <w:trHeight w:val="315"/>
        </w:trPr>
        <w:tc>
          <w:tcPr>
            <w:tcW w:w="1327" w:type="dxa"/>
            <w:shd w:val="clear" w:color="auto" w:fill="auto"/>
            <w:noWrap/>
            <w:hideMark/>
          </w:tcPr>
          <w:p w14:paraId="55061F65" w14:textId="67521B3C"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Nduati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{"citationItems":[{"id":"ITEM-1","itemData":{"DOI":"10.15226/2374-6890/3/6/00162","abstract":"Introduction: Type 2 Diabetes mellitus is chronic metabolic disorder characterized by hyperglycemia resulting from insulin secretion, insulin action, or both and accounts for over 95% cases globally. Uncontrolled diabetes may result to complications (retinopathy, nephropathy, neuropathy leading to amputations, stroke, heart attack and sexual dysfunction), glycated hemoglobin below 7.0% is recommended for good prognosis.The study determined factors associated with glycemic control, among T2DM patient attending Mathari National and Referral Hospital Nairobi, Kenya. Method: A descriptive cross sectional study design was used systematic random sampling technique to select 149 study subjects T2DM patients. Quantitative data was collected using a structured questionnaire for socioeconomic and patients practice. Key informants interviews and Focus group discussions collected qualitative data. Blood samples were drawn for Hba1c, lipid profiles, blood sugar and urine for microalbumin Creatinine Ratio analysis. Data was analyzed using Statistical Package for Social Scientists version 20(SPSS). Descriptive analysis was used to summarize the data. Associations between variables were tested using Chi Square statistics. Qualitative data was analyzed thematically after translation and transcription. Difference between parameter estimates were deemed statistically significant at p&lt;0.05. Results: The mean age of study participants was 54 years and a total of 122(81.6%) out of 149 participants had poor glycemic control with a mean HBA1C of 9.1, 90.6% having elevated FBS, 37.6% with elevated T-Chol and 60.4% having high LDL levels. Twenty four percent had moderately increased UACR while 11.4% had severely increased UACR. Gender (OR3.029, 95%CI: 1.287–7.129, p=0.010), FBS (OR=8.14, 95%CI; 2.541-26.0810, p=0.001) and using drugs for other co-morbidities OR=2.519, 95%CI; 1.009-6.288, p=0.035) were associated with glycemic control. Conclusion: There is a high burden of poor glycemic control among T2DM patients in Mathari National Teaching and Referral Hospital especially women. With the burden of diabetes increasing, emphasis on diabetes awareness and education to fill in the practice gap in glycemic control. Managing FBS and detecting other co-morbidities like, hypertension, kidney problems and dyslipidemia to be done routinely to prevent development of complications.","author":[{"dropping-particle":"","family":"Nduati","given":"Ngoyo James","non-dropping-particle":"","parse-names":false,"suffix":""}],"container-title":"Journal of Endocrinology and Diabetes ","id":"ITEM-1","issue":"6","issued":{"date-parts":[["2016"]]},"page":"1-11","title":"Factors Associated With Glycemic Control among Type 2 Diabetes Patients Attending Mathari National Teaching Hospital, Nairobi Kenya","type":"article-journal","volume":"3"},"uris":["http://www.mendeley.com/documents/?uuid=c636cd63-1089-418a-a065-e13c8bd5b592"]}],"mendeley":{"formattedCitation":"(141)","manualFormatting":"[80","plainTextFormattedCitation":"(141)","previouslyFormattedCitation":"(145)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69</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6EF4E2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05959CD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noWrap/>
            <w:hideMark/>
          </w:tcPr>
          <w:p w14:paraId="57AF7F5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Kenya</w:t>
            </w:r>
          </w:p>
        </w:tc>
        <w:tc>
          <w:tcPr>
            <w:tcW w:w="1761" w:type="dxa"/>
            <w:shd w:val="clear" w:color="auto" w:fill="auto"/>
            <w:hideMark/>
          </w:tcPr>
          <w:p w14:paraId="02B4D0C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≥35 years</w:t>
            </w:r>
          </w:p>
        </w:tc>
        <w:tc>
          <w:tcPr>
            <w:tcW w:w="850" w:type="dxa"/>
            <w:shd w:val="clear" w:color="auto" w:fill="auto"/>
            <w:noWrap/>
            <w:hideMark/>
          </w:tcPr>
          <w:p w14:paraId="6DBAF1A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149</w:t>
            </w:r>
          </w:p>
        </w:tc>
        <w:tc>
          <w:tcPr>
            <w:tcW w:w="1472" w:type="dxa"/>
            <w:shd w:val="clear" w:color="auto" w:fill="auto"/>
            <w:noWrap/>
            <w:hideMark/>
          </w:tcPr>
          <w:p w14:paraId="37D69CA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5743F6B0" w14:textId="77777777" w:rsidTr="00D05366">
        <w:trPr>
          <w:trHeight w:val="315"/>
        </w:trPr>
        <w:tc>
          <w:tcPr>
            <w:tcW w:w="1327" w:type="dxa"/>
            <w:shd w:val="clear" w:color="auto" w:fill="auto"/>
            <w:noWrap/>
            <w:hideMark/>
          </w:tcPr>
          <w:p w14:paraId="5C8E8BDD" w14:textId="54C6F878"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Ngala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{"citationItems":[{"id":"ITEM-1","itemData":{"DOI":"10.3923/tmr.2014.107.115","ISSN":"18193587","abstract":"The pathogenesis of type 2 diabetes is a complex phenomenon. Many research works have implicated obesity and dyslipidaemia as possible causes of type 2 diabetes mellitus. The aim of this study was to determine the association between BMI, oxidative stress and skeletal muscle mass in the aetiology of type 2 diabetes. The study was conducted at the Komfo Anokye Teaching Hospital, Kumasi Ghana. The study involved 120 diabetic subjects and 80 non diabetics as control, matching age and sex with the diabetics. Anthropometric parameters measured include height, weight, waist circumference, hip circumference, thigh circumference, plasma glucose was determined by the enzymatic method and plasma creatinine concentration by the Jaffe reaction using creatinine reagent. Urine sugar was estimated using a urine test strip. Malonyldialdehyde level in serum was estimated spectrophotometrically according to the Buege and Aust method. The body mass index was significantly higher in the diabetics than the controls (26.45±6.49 and 22.13±3.30 kg m-2) (p&lt;0.001), respectively. Fasting blood glucose levels were obviously higher in the diabetics than in the non-diabetics (9.925±0.544 and 5.448±0.88 mmol L-1) (p&lt;0.0015). Serum MDA concentration was significantly higher in the diabetics than the controls (0.29±0.03-0.23±0.02 µmol L-1 (p&lt;0.0502)) while Serum creatinine of the diabetics was non significantly lower than that of the controls (98.70±53.94-101.9±34.00 µmol L-1 (p&lt;0.3677)). Overweight, skeletal muscle and oxidative stress may play a significant role in the aetiology of type 2 diabetes or at least aggravate the diabetes.","author":[{"dropping-particle":"","family":"Ngala","given":"R A","non-dropping-particle":"","parse-names":false,"suffix":""},{"dropping-particle":"","family":"Asare","given":"A A","non-dropping-particle":"","parse-names":false,"suffix":""}],"container-title":"Trends in Medical Research","id":"ITEM-1","issue":"2","issued":{"date-parts":[["2014"]]},"note":"Accession Number: 20153027629. Ngala, R. A. (author); Asare, A. A. (author). Issue Info: 9, 2. Publication Date: 20140101. Note: 38. Number of Pages: 9. Document Type: Journal Article. Language: English. Subject Subsets: Rural Development; Human Nutrition; Tropical Diseases; CAB Abstracts 1973-Current; Global Health 1973- Current; Nutrition and Food Sciences Database. CAS Registry Number: 542-78-9. CAS Registry Number: 60-27-5. Has References: 38.","page":"107-115","publisher":"Academic Journals Inc.","publisher-place":"Kwame Nkrumah University of Science and Technology, Kumasi, Ghana.","title":"Influence of oxidative stress, skeletal muscle mass and obesity on type 2 diabetes mellitus among patients in Kumasi Metropolis.","type":"article-journal","volume":"9"},"uris":["http://www.mendeley.com/documents/?uuid=46b7a721-c79b-4bfb-bab2-2abfbcbce0f3"]}],"mendeley":{"formattedCitation":"(142)","manualFormatting":"[81","plainTextFormattedCitation":"(142)","previouslyFormattedCitation":"(146)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3987FF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Case-control</w:t>
            </w:r>
          </w:p>
        </w:tc>
        <w:tc>
          <w:tcPr>
            <w:tcW w:w="1194" w:type="dxa"/>
            <w:shd w:val="clear" w:color="auto" w:fill="auto"/>
            <w:noWrap/>
            <w:hideMark/>
          </w:tcPr>
          <w:p w14:paraId="6C72090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1238" w:type="dxa"/>
            <w:shd w:val="clear" w:color="auto" w:fill="auto"/>
            <w:noWrap/>
            <w:hideMark/>
          </w:tcPr>
          <w:p w14:paraId="6DD1841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Ghana</w:t>
            </w:r>
          </w:p>
        </w:tc>
        <w:tc>
          <w:tcPr>
            <w:tcW w:w="1761" w:type="dxa"/>
            <w:shd w:val="clear" w:color="auto" w:fill="auto"/>
            <w:hideMark/>
          </w:tcPr>
          <w:p w14:paraId="19C5873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49E1954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200</w:t>
            </w:r>
          </w:p>
        </w:tc>
        <w:tc>
          <w:tcPr>
            <w:tcW w:w="1472" w:type="dxa"/>
            <w:shd w:val="clear" w:color="auto" w:fill="auto"/>
            <w:hideMark/>
          </w:tcPr>
          <w:p w14:paraId="6E29DE59"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effect on diabetes</w:t>
            </w:r>
          </w:p>
        </w:tc>
      </w:tr>
      <w:tr w:rsidR="000F54D9" w:rsidRPr="000C26B9" w14:paraId="6E42D746" w14:textId="77777777" w:rsidTr="00D05366">
        <w:trPr>
          <w:trHeight w:val="630"/>
        </w:trPr>
        <w:tc>
          <w:tcPr>
            <w:tcW w:w="1327" w:type="dxa"/>
            <w:shd w:val="clear" w:color="auto" w:fill="auto"/>
            <w:noWrap/>
            <w:hideMark/>
          </w:tcPr>
          <w:p w14:paraId="655BAF9A" w14:textId="7BFDC7FB"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Ng'ang'a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{"citationItems":[{"id":"ITEM-1","itemData":{"DOI":"10.1136/bmjopen-2019-036202","ISSN":"20446055","abstract":"Introduction: Most patients diagnosed with diabetes in sub-Saharan Africa (SSA) present with poorly controlled blood glucose, which is associated with increased risks of complications and greater financial burden on both the patients and health systems. Insulin-dependent patients with diabetes in SSA lack appropriate home-based monitoring technology to inform themselves and clinicians of the daily fluctuations in blood glucose. Without sufficient home-based data, insulin adjustments are not data driven and adopting individual behavioural change for glucose control in SSA does not have a systematic path towards improvement. Methods and analysis: This study explores the feasibility and impact of implementing self-monitoring of blood glucose (SMBG) in patients with type 2 diabetes in rural Rwandan districts. This is an open randomised controlled trial comprising of two arms: (1) Intervention group - participants will receive a glucose metre, blood test strips, logbook, waste management box and training on how to conduct SMBG in additional to usual care and (2) Control group - participants will receive usual care, comprising of clinical consultations and routine monthly follow-up. We will conduct qualitative interviews at enrolment and at the end of the study to assess knowledge of diabetes. At the end of the study period, we will interview clinicians and participants to assess the perceived usefulness, facilitators and barriers of SMBG. The primary outcomes are change in haemoglobin A1c, fidelity to SMBG protocol by patients, appropriateness and adverse effects resulting from SMBG. Secondary outcomes include reliability and acceptability of SMBG and change in the quality of life of the participants. Ethics and dissemination: This study has been approved by the Rwanda National Ethics Committee (Kigali, Rwanda No.102/RNEC/2018). We will disseminate the findings of this study through presentations within our study settings, scientific conferences and publication in a peer-reviewed journal.","author":[{"dropping-particle":"","family":"Ng'ang'a","given":"L","non-dropping-particle":"","parse-names":false,"suffix":""},{"dropping-particle":"","family":"Ngoga","given":"G","non-dropping-particle":"","parse-names":false,"suffix":""},{"dropping-particle":"","family":"Dusabeyezu","given":"S","non-dropping-particle":"","parse-names":false,"suffix":""},{"dropping-particle":"","family":"Hedt-Gauthier","given":"B L","non-dropping-particle":"","parse-names":false,"suffix":""},{"dropping-particle":"","family":"Ngamije","given":"P","non-dropping-particle":"","parse-names":false,"suffix":""},{"dropping-particle":"","family":"Habiyaremye","given":"M","non-dropping-particle":"","parse-names":false,"suffix":""},{"dropping-particle":"","family":"Harerimana","given":"E","non-dropping-particle":"","parse-names":false,"suffix":""},{"dropping-particle":"","family":"Ndayisaba","given":"G","non-dropping-particle":"","parse-names":false,"suffix":""},{"dropping-particle":"","family":"Rusangwa","given":"C","non-dropping-particle":"","parse-names":false,"suffix":""},{"dropping-particle":"","family":"Niyonsenga","given":"S P","non-dropping-particle":"","parse-names":false,"suffix":""},{"dropping-particle":"","family":"Bavuma","given":"C M","non-dropping-particle":"","parse-names":false,"suffix":""},{"dropping-particle":"","family":"Bukhman","given":"G","non-dropping-particle":"","parse-names":false,"suffix":""},{"dropping-particle":"","family":"Adler","given":"A J","non-dropping-particle":"","parse-names":false,"suffix":""},{"dropping-particle":"","family":"Kateera","given":"F","non-dropping-particle":"","parse-names":false,"suffix":""},{"dropping-particle":"","family":"Park","given":"P H","non-dropping-particle":"","parse-names":false,"suffix":""}],"container-title":"BMJ Open","id":"ITEM-1","issue":"7","issued":{"date-parts":[["2020"]]},"note":"Accession Number: 20203386284. Ng'ang'a, L. (author); Email Address: loisehaks@gmail.com; Ngoga, G. (author); Dusabeyezu, S. (author); Hedt-Gauthier, B. L. (author); Ngamije, P. (author); Habiyaremye, M. (author); Harerimana, E. (author); Ndayisaba, G. (author); Rusangwa, C. (author); Niyonsenga, S. P. (author); Bavuma, C. M. (author); Bukhman, G. (author); Adler, A. J. (author); Kateera, F. (author); Park, P. H. (author). Issue Info: 10, 7. Publication Date: 20200101. Note: 26 ref. Document Type: Journal Article. Language: English. Subject Subsets: Rural Development; Tropical Diseases; CAB Abstracts 1973-Current; Global Health 1973- Current; Nutrition and Food Sciences Database. CAS Registry Number: 9004-10-8. Has References: 26 ref.","publisher":"BMJ Publishing Group","publisher-place":"Research, Inshuti Mu Buzima, Partners In Health-Rwanda, Rwinkwavu, Rwanda.","title":"Implementation of blood glucose self-monitoring among insulin-dependent patients with type 2 diabetes in three rural districts in Rwanda: 6 months open randomised controlled trial.","type":"article-journal","volume":"10"},"uris":["http://www.mendeley.com/documents/?uuid=0c8c820b-1b55-44b4-a52b-6c22c848a6fb"]}],"mendeley":{"formattedCitation":"(143)","manualFormatting":"[82","plainTextFormattedCitation":"(143)","previouslyFormattedCitation":"(147)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096C95D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study protocol </w:t>
            </w:r>
          </w:p>
        </w:tc>
        <w:tc>
          <w:tcPr>
            <w:tcW w:w="1194" w:type="dxa"/>
            <w:shd w:val="clear" w:color="auto" w:fill="auto"/>
            <w:noWrap/>
            <w:hideMark/>
          </w:tcPr>
          <w:p w14:paraId="25BD2C5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1238" w:type="dxa"/>
            <w:shd w:val="clear" w:color="auto" w:fill="auto"/>
            <w:noWrap/>
            <w:hideMark/>
          </w:tcPr>
          <w:p w14:paraId="655B4AF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Rwanda</w:t>
            </w:r>
          </w:p>
        </w:tc>
        <w:tc>
          <w:tcPr>
            <w:tcW w:w="1761" w:type="dxa"/>
            <w:shd w:val="clear" w:color="auto" w:fill="auto"/>
            <w:hideMark/>
          </w:tcPr>
          <w:p w14:paraId="7A57D080"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Insulin-dependent</w:t>
            </w:r>
            <w:r w:rsidRPr="000C26B9">
              <w:rPr>
                <w:rFonts w:ascii="Times New Roman" w:hAnsi="Times New Roman" w:cs="Times New Roman"/>
                <w:color w:val="000000"/>
                <w:sz w:val="20"/>
                <w:szCs w:val="20"/>
                <w:lang w:val="en-US"/>
              </w:rPr>
              <w:t xml:space="preserve"> Type 2 diabetes</w:t>
            </w:r>
          </w:p>
        </w:tc>
        <w:tc>
          <w:tcPr>
            <w:tcW w:w="850" w:type="dxa"/>
            <w:shd w:val="clear" w:color="auto" w:fill="auto"/>
            <w:hideMark/>
          </w:tcPr>
          <w:p w14:paraId="15E6B87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82</w:t>
            </w:r>
          </w:p>
        </w:tc>
        <w:tc>
          <w:tcPr>
            <w:tcW w:w="1472" w:type="dxa"/>
            <w:shd w:val="clear" w:color="auto" w:fill="auto"/>
            <w:hideMark/>
          </w:tcPr>
          <w:p w14:paraId="4F403BC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Study type: study protocol</w:t>
            </w:r>
          </w:p>
        </w:tc>
      </w:tr>
      <w:tr w:rsidR="000F54D9" w:rsidRPr="000C26B9" w14:paraId="0EE79384" w14:textId="77777777" w:rsidTr="00D05366">
        <w:trPr>
          <w:trHeight w:val="315"/>
        </w:trPr>
        <w:tc>
          <w:tcPr>
            <w:tcW w:w="1327" w:type="dxa"/>
            <w:shd w:val="clear" w:color="auto" w:fill="auto"/>
            <w:noWrap/>
            <w:hideMark/>
          </w:tcPr>
          <w:p w14:paraId="1549944A" w14:textId="0A3AA97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Nganou-Gnindjio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{"citationItems":[{"id":"ITEM-1","itemData":{"DOI":"10.1186/s13104-018-3692-z","ISSN":"17560500","PMID":"30126442","abstract":"Objective: We aimed to determine and compare HRV parameters in poorly and well controlled type 2 diabetes. 54 normotensive type 2 diabetes patients without clinical signs of CAN were enrolled; 29 poorly controlled (HbA1c ≥ 7%) and 25 controls matched for age, sex and BMI. HRV analysis was performed using 24-h ambulatory ECG, with automatic estimation of the time and frequency domain ranges. Comparisons were performed using Mann-Whitney test. Results: We included 54 participants (26 males) aged 56 years [43-62], with known duration of diabetes 3 years [1-7]. HbA1c was 10.1% [9.1-11.9] vs 5.3% [5.1-6.3] (p &lt; 0.001). Blood pressure was 126 mmHg [121-130] vs 124 mmHg [113-133] in the poorly controlled group and the well-controlled group respectively (p = 0.5). 24-h mean heart rate was significantly higher in poorly controlled vs well controlled patients (79 bpm [77-83] vs 75 bpm [69-79], p = 0.006). In the time domain analysis, markers of the overall variability were lower and thus altered in the poorly controlled group (SDNN: 102 ms [90.5-111.1] vs 112.3 ms [104.4-131.2], p = 0.01 and SDANN 88 ms [72.9-99.7] vs 97.8 ms [91.8-114.5], p = 0.01). The frequency domain analysis showed trends towards lower values of sympathovagal balance markers in the poorly controlled group. Reduced HRV is associated with poorly controlled type 2 diabetes mellitus and may be an early marker in clinical practice.","author":[{"dropping-particle":"","family":"Nganou-Gnindjio","given":"Chris Nadège","non-dropping-particle":"","parse-names":false,"suffix":""},{"dropping-particle":"","family":"Mba","given":"Camille Maadjhou","non-dropping-particle":"","parse-names":false,"suffix":""},{"dropping-particle":"","family":"Azabji-Kenfack","given":"Marcel","non-dropping-particle":"","parse-names":false,"suffix":""},{"dropping-particle":"","family":"Dehayem","given":"Mesmin Y.","non-dropping-particle":"","parse-names":false,"suffix":""},{"dropping-particle":"","family":"Mfeukeu-Kuate","given":"Liliane","non-dropping-particle":"","parse-names":false,"suffix":""},{"dropping-particle":"","family":"Mbanya","given":"Jean Claude","non-dropping-particle":"","parse-names":false,"suffix":""},{"dropping-particle":"","family":"Sobngwi","given":"Eugène","non-dropping-particle":"","parse-names":false,"suffix":""}],"container-title":"BMC Research Notes","id":"ITEM-1","issue":"1","issued":{"date-parts":[["2018"]]},"page":"1-4","publisher":"BioMed Central","title":"Poor glycemic control impacts heart rate variability in patients with type 2 diabetes mellitus: A cross sectional study","type":"article-journal","volume":"11"},"uris":["http://www.mendeley.com/documents/?uuid=b4b6405e-8df1-47ef-8cae-e536d9481a62"]}],"mendeley":{"formattedCitation":"(144)","manualFormatting":"[83","plainTextFormattedCitation":"(144)","previouslyFormattedCitation":"(148)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42CA981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7139E04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545E04E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Cameroon</w:t>
            </w:r>
          </w:p>
        </w:tc>
        <w:tc>
          <w:tcPr>
            <w:tcW w:w="1761" w:type="dxa"/>
            <w:shd w:val="clear" w:color="auto" w:fill="auto"/>
            <w:hideMark/>
          </w:tcPr>
          <w:p w14:paraId="35EE9DD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43-62 years</w:t>
            </w:r>
          </w:p>
        </w:tc>
        <w:tc>
          <w:tcPr>
            <w:tcW w:w="850" w:type="dxa"/>
            <w:shd w:val="clear" w:color="auto" w:fill="auto"/>
            <w:noWrap/>
            <w:hideMark/>
          </w:tcPr>
          <w:p w14:paraId="1E29C9A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54</w:t>
            </w:r>
          </w:p>
        </w:tc>
        <w:tc>
          <w:tcPr>
            <w:tcW w:w="1472" w:type="dxa"/>
            <w:shd w:val="clear" w:color="auto" w:fill="auto"/>
            <w:noWrap/>
            <w:hideMark/>
          </w:tcPr>
          <w:p w14:paraId="4429B3E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0C91922D" w14:textId="77777777" w:rsidTr="00D05366">
        <w:trPr>
          <w:trHeight w:val="593"/>
        </w:trPr>
        <w:tc>
          <w:tcPr>
            <w:tcW w:w="1327" w:type="dxa"/>
            <w:shd w:val="clear" w:color="auto" w:fill="auto"/>
            <w:noWrap/>
            <w:hideMark/>
          </w:tcPr>
          <w:p w14:paraId="6512E653" w14:textId="76A89C1D"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Nielsen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{"citationItems":[{"id":"ITEM-1","itemData":{"ISSN":"15451151","abstract":"Introduction: Few studies have examined the health consequences of living in a household with a person who has been diagnosed with type 2 diabetes (T2D). We assessed the association of sharing a household with a person with diagnosed T2D and risk factors for cardio-metabolic diseases in Uganda, a low-income country. Methods: Ninety households with 437 residents in southwestern Uganda were studied from December 2012 through March 2013. Forty-five of the households had a member with diagnosed T2D (hereafter \"diabetic household\"), and 45 households had no member with diagnosed T2D (hereafter \"nondiabetic household\"). We compared glycosylated hemoglobin (HbA1c), fasting plasma glucose (FPG), hypertension, anthropometry, aerobic capacity, physical activity, nutrition, smoking, and diabetes-related knowledge of people without diagnosed T2D living in diabetic and nondiabetic households. Results: People living in diabetic households had a significantly higher level of diabetes-related knowledge, lower levels of FPG (5.6 mmol/L vs 6.0 mmol/L), and fewer smoked (1.3% vs 12.9%) than residents of nondiabetic households. HbA1c was significantly lower in people aged 30 years or younger (5.2% vs 5.4%) and in males (5.2% vs 5.4%) living in diabetic households compared to residents of nondiabetic households. No differences were found between the 2 types of households in overweight and obesity, upper-arm fat area, intake of staple foods or cooking oil, or physical activity. Conclusion: Sharing a household with a person with T2D may have unexpected benefits on the risk factor profile for cardio-metabolic diseases, probably because of improved health behaviors and a closer connection with the health care system. Thus, future studies should consider the household for interventions targeting primary and secondary prevention of T2D.","author":[{"dropping-particle":"","family":"Nielsen","given":"J","non-dropping-particle":"","parse-names":false,"suffix":""},{"dropping-particle":"","family":"Bahendeka","given":"S K","non-dropping-particle":"","parse-names":false,"suffix":""},{"dropping-particle":"","family":"Gregg","given":"E W","non-dropping-particle":"","parse-names":false,"suffix":""},{"dropping-particle":"","family":"Whyte","given":"S R","non-dropping-particle":"","parse-names":false,"suffix":""},{"dropping-particle":"","family":"Bygbjerg","given":"I C","non-dropping-particle":"","parse-names":false,"suffix":""},{"dropping-particle":"","family":"Meyrowitsch","given":"D W","non-dropping-particle":"","parse-names":false,"suffix":""}],"container-title":"Preventing Chronic Disease","id":"ITEM-1","issue":"4","issued":{"date-parts":[["2015"]]},"note":"Accession Number: 20153188039. Nielsen, J. (author); Email Address: Jannien@sund.ku.dk; Bahendeka, S. K. (author); Gregg, E. W. (author); Whyte, S. R. (author); Bygbjerg, I. C. (author); Meyrowitsch, D. W. (author). Issue Info: 12, 4. Publication Date: 20150101. Note: 37. Number of Pages: 1. Document Type: Journal Article. Language: English. Subject Subsets: Rural Development; Human Nutrition; Tropical Diseases; CAB Abstracts 1973-Current; Global Health 1973- Current; Nutrition and Food Sciences Database. Has References: 37.","page":"E44","publisher":"National Center for Chronic Disease Prevention and Health Promotion","publisher-place":"Global Health Section, Department of Public Health, University of Copenhagen, Oester Farimagsgade 5, Building 9, Mailbox 2099, 1014 Copenhagen K., Denmark.","title":"A comparison of cardiometabolic risk factors in households in rural Uganda with and without a resident with type 2 diabetes, 2012-2013.","type":"article-journal","volume":"12"},"uris":["http://www.mendeley.com/documents/?uuid=65941fd8-c949-4125-b0ee-22d0a3e85d98"]}],"mendeley":{"formattedCitation":"(145)","manualFormatting":"[84","plainTextFormattedCitation":"(145)","previouslyFormattedCitation":"(149)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11AE0E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Comparative Cross-sectional </w:t>
            </w:r>
          </w:p>
        </w:tc>
        <w:tc>
          <w:tcPr>
            <w:tcW w:w="1194" w:type="dxa"/>
            <w:shd w:val="clear" w:color="auto" w:fill="auto"/>
            <w:noWrap/>
            <w:hideMark/>
          </w:tcPr>
          <w:p w14:paraId="1F330D8F"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049BE24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Uganda</w:t>
            </w:r>
          </w:p>
        </w:tc>
        <w:tc>
          <w:tcPr>
            <w:tcW w:w="1761" w:type="dxa"/>
            <w:shd w:val="clear" w:color="auto" w:fill="auto"/>
            <w:hideMark/>
          </w:tcPr>
          <w:p w14:paraId="6B452BB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People living in diabetic households</w:t>
            </w:r>
          </w:p>
        </w:tc>
        <w:tc>
          <w:tcPr>
            <w:tcW w:w="850" w:type="dxa"/>
            <w:shd w:val="clear" w:color="auto" w:fill="auto"/>
            <w:hideMark/>
          </w:tcPr>
          <w:p w14:paraId="57A9F3F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90</w:t>
            </w:r>
          </w:p>
        </w:tc>
        <w:tc>
          <w:tcPr>
            <w:tcW w:w="1472" w:type="dxa"/>
            <w:shd w:val="clear" w:color="auto" w:fill="auto"/>
            <w:hideMark/>
          </w:tcPr>
          <w:p w14:paraId="2E018D2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Other Population</w:t>
            </w:r>
          </w:p>
        </w:tc>
      </w:tr>
      <w:tr w:rsidR="000F54D9" w:rsidRPr="000C26B9" w14:paraId="5EC0E7B6" w14:textId="77777777" w:rsidTr="00D05366">
        <w:trPr>
          <w:trHeight w:val="728"/>
        </w:trPr>
        <w:tc>
          <w:tcPr>
            <w:tcW w:w="1327" w:type="dxa"/>
            <w:shd w:val="clear" w:color="auto" w:fill="auto"/>
            <w:noWrap/>
            <w:hideMark/>
          </w:tcPr>
          <w:p w14:paraId="47A17CDF" w14:textId="289DAFA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Nkoana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{"citationItems":[{"id":"ITEM-1","itemData":{"DOI":"10.7196/SAMJ.2020.v110i5.13959","ISSN":"2078-5135 (Electronic)","PMID":"32657728","abstract":"BACKGROUND: Glycated haemoglobin (HbA1c) has been used for decades as a measure of  chronic glycaemia. A simple linear relationship between HbA1c values and mean blood glucose (MBG) has been identified and led to conversion of HbA1c values into estimated average glucose (eAG) levels, following the findings of the A1c-Derived Average Glucose (ADAG) Study Group. The intention was to help patients with diabetes mellitus (DM) understand their glycaemic control better, as eAG is reported in the same units as self-monitored glucose levels. However, factors other than glycaemia have been found to affect the relationship between HbA1c and MBG. OBJECTIVES: To: (i) determine the relationship between self-monitored MBG levels and HbA1c values; and (ii) evaluate the correlation between MBG levels and eAG levels calculated from HbA1c values using the regression equation derived from the ADAG Study Group in black South African patients with DM. METHODS: This was a prospective observational study of 96 diabetic patients. MBG levels were calculated using glucose measurements downloaded from the glucose meters for the previous 90 days (3 months). High-performance liquid chromatography was used for measurement of HbA1c values, collected at the end of 3 months. eAG was calculated using the regression equation from the ADAG Study Group, as follows: eAG (mmol/L) = 1.5944 × HbA1c (NGSP, %) - 2.594. RESULTS: A positive correlation was found between MBG and HbA1c in all participants (R2=0.69, p&amp;lt;0.0001). There was a wide range of MBG levels for any given HbA1c value. Clinically significant differences between MBG and eAG were found, with a ≥10% difference in 65.6% of the participants. eAG overestimated MBG in ~71.8% of the study population, with an overestimation of ≥1.6 mmol/L (28.7 mg/dL, equivalent to a 1% change in HbA1c value) in ~50% of the total study population. CONCLUSIONS: Our findings showed an imperfect relationship between MBG levels and HbA1c values. eAG significantly overestimated MBG, and this disagreement may cause confusion among both patients and clinicians. The risk of hypoglycaemic episodes may also increase if HbA1c and eAG alone are used to intensify therapy. We recommend that the use of eAG should be validated prior to implementation in clinical practice. It would be ideal to evaluate the relationship between average glucose and HbA1c in each individual patient in order to provide more personalised diabetes care.","author":[{"dropping-particle":"","family":"Nkoana","given":"M K","non-dropping-particle":"","parse-names":false,"suffix":""},{"dropping-particle":"","family":"Khine","given":"A A","non-dropping-particle":"","parse-names":false,"suffix":""}],"container-title":"South African medical journal = Suid-Afrikaanse tydskrif vir geneeskunde","id":"ITEM-1","issue":"5","issued":{"date-parts":[["2020","4"]]},"language":"eng","page":"416-421","publisher-place":"South Africa","title":"Correlation between self-monitored mean blood glucose and average plasma glucose  estimated from glycated haemoglobin in patients attending the diabetes clinic at Dr George Mukhari Academic Hospital, Pretoria, South Africa.","type":"article-journal","volume":"110"},"uris":["http://www.mendeley.com/documents/?uuid=21f09d3d-7d9f-4a9f-ae41-ca6664545e3f"]}],"mendeley":{"formattedCitation":"(146)","manualFormatting":"[85","plainTextFormattedCitation":"(146)","previouslyFormattedCitation":"(150)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9405D8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Prospective </w:t>
            </w:r>
            <w:r w:rsidRPr="000C26B9">
              <w:rPr>
                <w:rFonts w:ascii="Times New Roman" w:hAnsi="Times New Roman" w:cs="Times New Roman"/>
                <w:color w:val="000000"/>
                <w:sz w:val="20"/>
                <w:szCs w:val="20"/>
                <w:lang w:val="en-US"/>
              </w:rPr>
              <w:br/>
              <w:t>observational study</w:t>
            </w:r>
          </w:p>
        </w:tc>
        <w:tc>
          <w:tcPr>
            <w:tcW w:w="1194" w:type="dxa"/>
            <w:shd w:val="clear" w:color="auto" w:fill="auto"/>
            <w:noWrap/>
            <w:hideMark/>
          </w:tcPr>
          <w:p w14:paraId="5550570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1238" w:type="dxa"/>
            <w:shd w:val="clear" w:color="auto" w:fill="auto"/>
            <w:noWrap/>
            <w:hideMark/>
          </w:tcPr>
          <w:p w14:paraId="0626E19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1CA8122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76CC340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96</w:t>
            </w:r>
          </w:p>
        </w:tc>
        <w:tc>
          <w:tcPr>
            <w:tcW w:w="1472" w:type="dxa"/>
            <w:shd w:val="clear" w:color="auto" w:fill="auto"/>
            <w:hideMark/>
          </w:tcPr>
          <w:p w14:paraId="12F51204"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relationship between self-monitored fasting blood </w:t>
            </w:r>
            <w:r w:rsidRPr="000C26B9">
              <w:rPr>
                <w:rFonts w:ascii="Times New Roman" w:hAnsi="Times New Roman" w:cs="Times New Roman"/>
                <w:color w:val="000000"/>
                <w:sz w:val="20"/>
                <w:szCs w:val="20"/>
                <w:lang w:val="en-US"/>
              </w:rPr>
              <w:lastRenderedPageBreak/>
              <w:t>glucose (FBG) levels and HbA1c values</w:t>
            </w:r>
          </w:p>
        </w:tc>
      </w:tr>
      <w:tr w:rsidR="000F54D9" w:rsidRPr="000C26B9" w14:paraId="16B1D2D2" w14:textId="77777777" w:rsidTr="00D05366">
        <w:trPr>
          <w:trHeight w:val="630"/>
        </w:trPr>
        <w:tc>
          <w:tcPr>
            <w:tcW w:w="1327" w:type="dxa"/>
            <w:shd w:val="clear" w:color="auto" w:fill="auto"/>
            <w:noWrap/>
            <w:hideMark/>
          </w:tcPr>
          <w:p w14:paraId="29861D2A" w14:textId="42D35084"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 xml:space="preserve">Odume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{"citationItems":[{"id":"ITEM-1","itemData":{"DOI":"10.1080/20786190.2015.1090688","ISSN":"20786204","abstract":"Background: There is an increasing epidemic of diabetes worldwide with many patients not achieving set treatment targets. Family interventions in diabetes patient management, a proven adjunct, have not been fully integrated to patient care. Method: A cross-sectional and descriptive study was conducted in the outpatient clinic of the Department of Family Medicine, National Hospital, Abuja. A total of 156 adult patients with type 2 diabetes were recruited between August and October 2012 with 145 (93%) completing the study. The Statistical Package for Social Sciences (SPSS) version 17.0 was used to enter and analyse the data. Results: A total of 145 subjects (81 females, 64 males) were studied. Assessment of the relationship between the family characteristics and glycaemic control was significant for family functional status by APGAR (Adaptability, Partnership, Growth, Affection, and Resolve), which represents the questionnaire categories and social support by the Modified Scale for Perceived Social Support (MSPSS), p-value &lt; 0.000. Conclusion: There was a significant relationship between family function and social support and glycaemic control among type 2 diabetic patients attending the general outpatient clinic in the National Hospital, Abuja, Nigeria.","author":[{"dropping-particle":"","family":"Odume","given":"Bethrand Brian","non-dropping-particle":"","parse-names":false,"suffix":""},{"dropping-particle":"","family":"Ofoegbu","given":"Onyebuchi Stephanie","non-dropping-particle":"","parse-names":false,"suffix":""},{"dropping-particle":"","family":"Aniwada","given":"Elias Chike","non-dropping-particle":"","parse-names":false,"suffix":""},{"dropping-particle":"","family":"Okechukwu","given":"Emeka Franklin","non-dropping-particle":"","parse-names":false,"suffix":""}],"container-title":"South African Family Practice","id":"ITEM-1","issue":"6","issued":{"date-parts":[["2015"]]},"page":"347-353","publisher":"Taylor &amp; Francis","title":"The influence of family characteristics on glycaemic control among adult patients with type 2 diabetes mellitus attending the general outpatient clinic, national hospital, Abuja, Nigeria","type":"article-journal","volume":"57"},"uris":["http://www.mendeley.com/documents/?uuid=8e81fe15-120c-4e4c-9c85-ba78882fb56d"]}],"mendeley":{"formattedCitation":"(147)","manualFormatting":"[86","plainTextFormattedCitation":"(147)","previouslyFormattedCitation":"(151)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919AB4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Descriptive Cross-sectional  </w:t>
            </w:r>
          </w:p>
        </w:tc>
        <w:tc>
          <w:tcPr>
            <w:tcW w:w="1194" w:type="dxa"/>
            <w:shd w:val="clear" w:color="auto" w:fill="auto"/>
            <w:noWrap/>
            <w:hideMark/>
          </w:tcPr>
          <w:p w14:paraId="08CB8BA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03B9FBA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10F8426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diabetes;18-70 years</w:t>
            </w:r>
          </w:p>
        </w:tc>
        <w:tc>
          <w:tcPr>
            <w:tcW w:w="850" w:type="dxa"/>
            <w:shd w:val="clear" w:color="auto" w:fill="auto"/>
            <w:hideMark/>
          </w:tcPr>
          <w:p w14:paraId="1F17881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145</w:t>
            </w:r>
          </w:p>
        </w:tc>
        <w:tc>
          <w:tcPr>
            <w:tcW w:w="1472" w:type="dxa"/>
            <w:shd w:val="clear" w:color="auto" w:fill="auto"/>
            <w:noWrap/>
            <w:hideMark/>
          </w:tcPr>
          <w:p w14:paraId="64CC8FB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3126BFA9" w14:textId="77777777" w:rsidTr="00D05366">
        <w:trPr>
          <w:trHeight w:val="630"/>
        </w:trPr>
        <w:tc>
          <w:tcPr>
            <w:tcW w:w="1327" w:type="dxa"/>
            <w:shd w:val="clear" w:color="auto" w:fill="auto"/>
            <w:noWrap/>
            <w:hideMark/>
          </w:tcPr>
          <w:p w14:paraId="3EF18161" w14:textId="598CE5A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Ofori</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{"citationItems":[{"id":"ITEM-1","itemData":{"DOI":"10.1186/s13104-019-4245-9","ISBN":"1756-0500","PMID":"30944035","abstract":"OBJECTIVE: This study aimed to evaluate dyslipidemia in Ghanaian subjects with type 2 diabetes. RESULTS: Hundred individuals with type 2 diabetes and 61 apparently healthy controls participated. The prevalence of hypercholesterolemia among persons with type 2 diabetes was 53%. Blood pressure, fasting blood glucose (FBG), triglyceride (TG), low-density lipoproteins (LDL) and alanine transaminase (ALT) levels were higher in persons with type 2 diabetes compared with the control group (p &lt; 0.01). Positive correlations were found within persons with type 2 diabetes for triglyceride vs FBG; ALT vs age and aspartate transaminase (AST) vs TG (p &lt; 0.05 respectively). This study demonstrated hyperlipidemia and poor liver health in persons with type 2 diabetes.","author":[{"dropping-particle":"","family":"Ofori","given":"E K","non-dropping-particle":"","parse-names":false,"suffix":""},{"dropping-particle":"","family":"Owusu-Ababio","given":"D","non-dropping-particle":"","parse-names":false,"suffix":""},{"dropping-particle":"","family":"Tagoe","given":"E A","non-dropping-particle":"","parse-names":false,"suffix":""},{"dropping-particle":"","family":"Asare-Anane","given":"H","non-dropping-particle":"","parse-names":false,"suffix":""}],"container-title":"BMC Res Notes","edition":"2019/04/05","id":"ITEM-1","issue":"1","issued":{"date-parts":[["2019"]]},"language":"eng","note":"1756-0500\nOfori, Emmanuel Kwaku\nOwusu-Ababio, Dorcas\nTagoe, Emmanuel A\nAsare-Anane, Henry\nJournal Article\nObservational Study\nBMC Res Notes. 2019 Apr 3;12(1):204. doi: 10.1186/s13104-019-4245-9.","page":"204","title":"Dyslipidaemia is common among patients with type 2 diabetes: a cross-sectional study at Tema Port Clinic","type":"article-journal","volume":"12"},"uris":["http://www.mendeley.com/documents/?uuid=b8d083e3-35a4-4a58-9f3e-ff1968b62998"]}],"mendeley":{"formattedCitation":"(148)","manualFormatting":"[87","plainTextFormattedCitation":"(148)","previouslyFormattedCitation":"(152)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51FD3DD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7B39D4D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74A637D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Ghana</w:t>
            </w:r>
          </w:p>
        </w:tc>
        <w:tc>
          <w:tcPr>
            <w:tcW w:w="1761" w:type="dxa"/>
            <w:shd w:val="clear" w:color="auto" w:fill="auto"/>
            <w:hideMark/>
          </w:tcPr>
          <w:p w14:paraId="27B9B5F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Type 2 diabetes and healthy controls </w:t>
            </w:r>
          </w:p>
        </w:tc>
        <w:tc>
          <w:tcPr>
            <w:tcW w:w="850" w:type="dxa"/>
            <w:shd w:val="clear" w:color="auto" w:fill="auto"/>
            <w:hideMark/>
          </w:tcPr>
          <w:p w14:paraId="1A874DE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161</w:t>
            </w:r>
          </w:p>
        </w:tc>
        <w:tc>
          <w:tcPr>
            <w:tcW w:w="1472" w:type="dxa"/>
            <w:shd w:val="clear" w:color="auto" w:fill="auto"/>
            <w:noWrap/>
            <w:hideMark/>
          </w:tcPr>
          <w:p w14:paraId="53C46A1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5C687D17" w14:textId="77777777" w:rsidTr="00D05366">
        <w:trPr>
          <w:trHeight w:val="773"/>
        </w:trPr>
        <w:tc>
          <w:tcPr>
            <w:tcW w:w="1327" w:type="dxa"/>
            <w:shd w:val="clear" w:color="auto" w:fill="auto"/>
            <w:noWrap/>
            <w:hideMark/>
          </w:tcPr>
          <w:p w14:paraId="36937EED" w14:textId="0E8513C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Okoro</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{"citationItems":[{"id":"ITEM-1","itemData":{"ISSN":"2141-9248","abstract":"Background: Adiponectin is a hormone that is mostly and abundantly produced by the adipocytes and directly sensitizes the body to insulin. Due to the increasing prevalence of Type 2 diabetes mellitus (T2DM) in sub-Saharan Africa, serum adiponectin has attracted much attention because of its anti-diabetic, anti-atherogenic and anti-inflammatory effects. Therefore, the aim of this study was to determine the relationship between serum adiponectin and the metabolic control of plasma glucose and lipids among type 2 diabetic patients. Methods: This was a cross-sectional study of Type 2 diabetic adult Nigerian males and females with age and sex-matched non-diabetic controls. Fasting serum total adiponectin, triglyceride (TG), total cholesterol (TC), high-density lipoprotein-cholesterol (HDL-C), low-density lipoprotein-cholesterol (LDL-C), plasma glucose (FPG) and glycated haemoglobin (HbA1C) were determined. Dyslipidemia was defined based on the third report of National Cholesterol Education Programme, Adult Treatment Panel III (NCEPATP III). Statistical analyses were performed using SPSS version 19 and p&lt;0.05 was considered to be significant. Results: One hundred and eighty subjects (106 females and 74 males) were recruited for the study. Type 2 diabetes mellitus subjects were 110 (61.1%) with mean age of 54.5yrs while healthy non-diabetic controls were 70 (38.9%) with the mean age of 51.8yrs. The prevalence of hypoadiponectinemia T2DM subjects was (82.4%) with a (mean value of 10.71 +/- 1.85ng/ml) and 17.6% among the controls (mean value 21.14 +/- 1.98ng/ml) after log transformation. The correlation coefficients between serum adiponectin and lipid profile parameters, HbA1C and FPG among the subjects were: TG (r=-0.022, p=0.045), TC (r=-0.014, p=0.114), HDL-C (r=0.01, p=0.808), LDL-C (r=-0.007, p=0.267), HbA1C (r=-0.24, p=0.001), FPG (r=-0.22, p=0.003). There were weak but significant negative correlations of adiponectin with FPG and HbA1C. There were weak negative correlations between serum adiponectin and the lipid profile parameters except HDL-C. Conclusion: Serum adiponectin level was significantly lower among type 2 diabetic Nigerians than their control (non-diabetic) counterparts.","author":[{"dropping-particle":"","family":"Okoro","given":"N","non-dropping-particle":"","parse-names":false,"suffix":""},{"dropping-particle":"","family":"Okpara","given":"H","non-dropping-particle":"","parse-names":false,"suffix":""},{"dropping-particle":"","family":"Azinge","given":"E","non-dropping-particle":"","parse-names":false,"suffix":""},{"dropping-particle":"","family":"Builders","given":"M","non-dropping-particle":"","parse-names":false,"suffix":""}],"container-title":"ANNALS OF MEDICAL AND HEALTH SCIENCES RESEARCH","id":"ITEM-1","issue":"1","issued":{"date-parts":[["2019"]]},"language":"English","page":"478-483","publisher-place":"Bingham Coll Med &amp; Hlth Sci, Dept Chem Pathol, Jos, Nigeria","title":"Serum Total Adiponectin and its Relationship with Glycemic Control ad Markers of Lipoprotein Metabolism in Nigerians with Type 2 Diabetes Mellitus","type":"article-journal","volume":"9"},"uris":["http://www.mendeley.com/documents/?uuid=8676a2ab-8379-4149-ab28-df76fa67e9b2"]}],"mendeley":{"formattedCitation":"(149)","manualFormatting":"[88","plainTextFormattedCitation":"(149)","previouslyFormattedCitation":"(153)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77</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53791D5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68678B3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67558DE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5832DD7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Type 2 diabetes </w:t>
            </w:r>
            <w:r w:rsidRPr="000C26B9">
              <w:rPr>
                <w:rFonts w:ascii="Times New Roman" w:hAnsi="Times New Roman" w:cs="Times New Roman"/>
                <w:color w:val="000000"/>
                <w:sz w:val="20"/>
                <w:szCs w:val="20"/>
                <w:lang w:val="en-US"/>
              </w:rPr>
              <w:br/>
              <w:t>and healthy health workers (controls); 35-75 years</w:t>
            </w:r>
          </w:p>
        </w:tc>
        <w:tc>
          <w:tcPr>
            <w:tcW w:w="850" w:type="dxa"/>
            <w:shd w:val="clear" w:color="auto" w:fill="auto"/>
            <w:hideMark/>
          </w:tcPr>
          <w:p w14:paraId="32662D2A"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180</w:t>
            </w:r>
          </w:p>
        </w:tc>
        <w:tc>
          <w:tcPr>
            <w:tcW w:w="1472" w:type="dxa"/>
            <w:shd w:val="clear" w:color="auto" w:fill="auto"/>
            <w:noWrap/>
            <w:hideMark/>
          </w:tcPr>
          <w:p w14:paraId="14DF7A6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4A9D6416" w14:textId="77777777" w:rsidTr="00D05366">
        <w:trPr>
          <w:trHeight w:val="630"/>
        </w:trPr>
        <w:tc>
          <w:tcPr>
            <w:tcW w:w="1327" w:type="dxa"/>
            <w:shd w:val="clear" w:color="auto" w:fill="auto"/>
            <w:noWrap/>
            <w:hideMark/>
          </w:tcPr>
          <w:p w14:paraId="2F93BEDD" w14:textId="0856C1D8"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Olaniyan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{"citationItems":[{"id":"ITEM-1","itemData":{"DOI":"10.11604/pamj.08/05/2019.33.14.14074","ISSN":"19378688","abstract":"Introduction: dry eye is a fairly common ocular surface disorder which significantly affects the quality of life of patients. This study aimed to determine the prevalence, and relationship between dry eye and glycosylated haemoglobin (HbA1c) among patients with diabetes mellitus. Methods: this was a descriptive hospital-based study conducted among patients diagnosed with diabetes mellitus and attending the Diabetic Clinic at a tertiary health facility in Ibadan, south-western Nigeria. Dry eye was assessed using the standardized Ocular Surface Disease Index Questionnaire administered to the eligible respondents on dry eye symptoms. Detailed ocular examination including the tear break-up time (TBUT) and Schirmer I test were carried out and a recent glycosylated haemoglobin value was also obtained. Results: one hundred and eighty-nine Type 2 diabetic patients were studied, with 68.8% female and a mean age of 60.2 ± 10.3 years. The frequency of dry eye among patients was 21.7% (95% CI, 15.8-27.6). The most commonly reported symptoms of dry eye was \"feeling of gritty sensation\" (78%, 95% CI, 65.4-90.7) and \"blurred vision\" (73.2%, 95% CI, 59.6-86.7) while \"discomfort in windy areas\" (61%, 95% CI, 46.0-75.9) was the most common environmental trigger. No statistically significant correlation was noted between dry eye and HbA1c (r = 0.086, p= 0.239), and age (r = 0.096, p = 0.1). Conclusion: dry eye is fairly common among patients with diabetes mellitus with most frequent symptoms being gritty sensation and blurred vision. No significant correlation was noted between dry eye and glycosylated haemoglobin (HbA1c).","author":[{"dropping-particle":"","family":"Olaniyan","given":"S I","non-dropping-particle":"","parse-names":false,"suffix":""},{"dropping-particle":"","family":"Fasina","given":"O","non-dropping-particle":"","parse-names":false,"suffix":""},{"dropping-particle":"","family":"Bekibele","given":"C O","non-dropping-particle":"","parse-names":false,"suffix":""},{"dropping-particle":"","family":"Ogundipe","given":"A O","non-dropping-particle":"","parse-names":false,"suffix":""}],"container-title":"Pan African Medical Journal","id":"ITEM-1","issued":{"date-parts":[["2019"]]},"note":"Accession Number: 20203169452. Olaniyan, S. I. (author); Fasina, O. (author); Bekibele, C. O. (author); Ogundipe, A. O. (author). Issue Info: 33. Publication Date: 20190101. Note: 37 ref. Document Type: Journal Article. Language: English. Subject Subsets: Tropical Diseases; Global Health 1973- Current. CAS Registry Number: 9062-63-9. Has References: 37 ref.","publisher":"African Field Epidemiology Network","publisher-place":"Department of Ophthalmology, University College Hospital, Ibadan, Nigeria.","title":"Relationship between dry eye and glycosylated haemoglobin among diabetics in Ibadan, Nigeria.","type":"article-journal","volume":"33"},"uris":["http://www.mendeley.com/documents/?uuid=28fe3d8b-78e3-4b02-a22b-927a6a18d7dd"]}],"mendeley":{"formattedCitation":"(150)","manualFormatting":"[89","plainTextFormattedCitation":"(150)","previouslyFormattedCitation":"(154)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EC2E49">
              <w:rPr>
                <w:rFonts w:ascii="Times New Roman" w:hAnsi="Times New Roman" w:cs="Times New Roman"/>
                <w:color w:val="000000"/>
                <w:sz w:val="20"/>
                <w:szCs w:val="20"/>
                <w:lang w:val="en-US"/>
              </w:rPr>
              <w:t>78</w:t>
            </w:r>
            <w:r>
              <w:rPr>
                <w:rFonts w:ascii="Times New Roman" w:hAnsi="Times New Roman" w:cs="Times New Roman"/>
                <w:color w:val="000000"/>
                <w:sz w:val="20"/>
                <w:szCs w:val="20"/>
                <w:lang w:val="en-US"/>
              </w:rPr>
              <w:t>]</w:t>
            </w:r>
          </w:p>
        </w:tc>
        <w:tc>
          <w:tcPr>
            <w:tcW w:w="1440" w:type="dxa"/>
            <w:shd w:val="clear" w:color="auto" w:fill="auto"/>
            <w:hideMark/>
          </w:tcPr>
          <w:p w14:paraId="520DE02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Descriptive study </w:t>
            </w:r>
          </w:p>
        </w:tc>
        <w:tc>
          <w:tcPr>
            <w:tcW w:w="1194" w:type="dxa"/>
            <w:shd w:val="clear" w:color="auto" w:fill="auto"/>
            <w:noWrap/>
            <w:hideMark/>
          </w:tcPr>
          <w:p w14:paraId="795D170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03493FB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2C1EE13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noWrap/>
            <w:hideMark/>
          </w:tcPr>
          <w:p w14:paraId="37B2031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189</w:t>
            </w:r>
          </w:p>
        </w:tc>
        <w:tc>
          <w:tcPr>
            <w:tcW w:w="1472" w:type="dxa"/>
            <w:shd w:val="clear" w:color="auto" w:fill="auto"/>
            <w:noWrap/>
            <w:hideMark/>
          </w:tcPr>
          <w:p w14:paraId="432DAEF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55DBF8BB" w14:textId="77777777" w:rsidTr="00D05366">
        <w:trPr>
          <w:trHeight w:val="315"/>
        </w:trPr>
        <w:tc>
          <w:tcPr>
            <w:tcW w:w="1327" w:type="dxa"/>
            <w:shd w:val="clear" w:color="auto" w:fill="auto"/>
            <w:noWrap/>
            <w:hideMark/>
          </w:tcPr>
          <w:p w14:paraId="13158898" w14:textId="74AD951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Omar</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{"citationItems":[{"id":"ITEM-1","itemData":{"DOI":"10.1177/2042018819860071","ISBN":"2042-0188","abstract":"Background: Diabetes mellitus (DM) constitutes a global health threat and burden, especially in developing countries. We conducted a cross-sectional study in Gadarif in eastern Sudan to evaluate the prevalence and glycaemic control of patients with type 2 diabetes mellitus (T2DM). Methods: We performed a cross-sectional community-based study. Data on blood glucose levels, and anthropometric, demographic and clinical history data were obtained. Results: Six hundred Sudanese adults with a mean (SD) age of 44.9 (16.5) years were enrolled. More than two-thirds (70.3%) of the study participants were women. The prevalence of T2DM, newly diagnosed T2DM and uncontrolled T2DM was 20.8%, 10.0% and 80.0%, respectively. Logistic regression analysis showed no significant association between education, marital status, body mass index, waist circumference and DM. However older age (AOR = 4.88, 95% CI = 3.09-7.70) and a family history of DM (AOR = 2.58, 95% CI = 1.59-4.20) were associated with T2DM. Conclusion: The prevalence of T2DM is high among the Sudanese population, especially in older people and those with a family history of DM. The high prevalence of uncontrolled DM in this setting is another hidden burden.","author":[{"dropping-particle":"","family":"Omar","given":"S M","non-dropping-particle":"","parse-names":false,"suffix":""},{"dropping-particle":"","family":"Musa","given":"I R","non-dropping-particle":"","parse-names":false,"suffix":""},{"dropping-particle":"","family":"ElSouli","given":"A","non-dropping-particle":"","parse-names":false,"suffix":""},{"dropping-particle":"","family":"Adam","given":"I","non-dropping-particle":"","parse-names":false,"suffix":""}],"container-title":"Therapeutic Advances in Endocrinology and Metabolism","id":"ITEM-1","issued":{"date-parts":[["2019"]]},"note":"Omar, Saeed M. Musa, Imad R. ElSouli, Amir Adam, Ishag\nmusa, IMAD EDDIN/0000-0002-1138-0710; Adam, Ishag/0000-0001-5031-7741\n2042-0196","title":"Prevalence, risk factors, and glycaemic control of type 2 diabetes mellitus in eastern Sudan: a community-based study","type":"article-journal","volume":"10"},"uris":["http://www.mendeley.com/documents/?uuid=976af718-67dc-429c-b7e5-17f9e37a11c4"]}],"mendeley":{"formattedCitation":"(151)","manualFormatting":"[90","plainTextFormattedCitation":"(151)","previouslyFormattedCitation":"(155)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79</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3C25F89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17BDF29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6D0FBCB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Sudan</w:t>
            </w:r>
          </w:p>
        </w:tc>
        <w:tc>
          <w:tcPr>
            <w:tcW w:w="1761" w:type="dxa"/>
            <w:shd w:val="clear" w:color="auto" w:fill="auto"/>
            <w:hideMark/>
          </w:tcPr>
          <w:p w14:paraId="0FC7344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noWrap/>
            <w:hideMark/>
          </w:tcPr>
          <w:p w14:paraId="682DA7C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600</w:t>
            </w:r>
          </w:p>
        </w:tc>
        <w:tc>
          <w:tcPr>
            <w:tcW w:w="1472" w:type="dxa"/>
            <w:shd w:val="clear" w:color="auto" w:fill="auto"/>
            <w:noWrap/>
            <w:hideMark/>
          </w:tcPr>
          <w:p w14:paraId="3A89DC7A"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than glycaemic control</w:t>
            </w:r>
          </w:p>
        </w:tc>
      </w:tr>
      <w:tr w:rsidR="000F54D9" w:rsidRPr="000C26B9" w14:paraId="0D40CCF1" w14:textId="77777777" w:rsidTr="00D05366">
        <w:trPr>
          <w:trHeight w:val="630"/>
        </w:trPr>
        <w:tc>
          <w:tcPr>
            <w:tcW w:w="1327" w:type="dxa"/>
            <w:shd w:val="clear" w:color="auto" w:fill="auto"/>
            <w:noWrap/>
            <w:hideMark/>
          </w:tcPr>
          <w:p w14:paraId="72E1F18D" w14:textId="47F204E3"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Osei-Yeboah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{"citationItems":[{"id":"ITEM-1","itemData":{"DOI":"10.4314/ejhs.v29i1.3","ISBN":"1029-1857","abstract":"BACKGROUND: Physical activity (PA) offers considerable health benefits for diabetic patients. However, extensive high levels of inactivity has been reported among diabetic patients. This study sought to assess the patterns of physical activity and its relationship with two management-relevant outcomes (glycaemic and blood pressure control) among people living with diabetes in the Ho Municipality, Ghana. METHODS: A hospital-based cross-sectional study was carried out from January 2017 to April 2017 among 150 purposively recruited diabetic patients who were receiving care at the diabetes clinics of the Volta Regional Hospital and the Ho Municipal Hospital. A semi-structured questionnaire was used in capturing socio-demographic information. Physical activity was assessed using the International Physical Activity Questionnaire Short Form. Glycaemic and blood pressure control were evaluated within a three-month period from patients' records. RESULTS: Physical activity estimates among participants were 21.33%, 48% and 30.67% for high, moderate and low PA respectively. Glycaemic control among the study participants was 33.33% and blood pressure control was 58.67%. Both glycaemic and blood pressure control were significantly associated with PA. CONCLUSION: In this group of PLWD in the Ho Municipality, high levels of inactivity, uncontrolled glycaemia and blood pressure exist. However, glycaemic and blood pressure control may be modulated by moderate-intensity physical activity.","author":[{"dropping-particle":"","family":"Osei-Yeboah","given":"J","non-dropping-particle":"","parse-names":false,"suffix":""},{"dropping-particle":"","family":"Owiredu","given":"W","non-dropping-particle":"","parse-names":false,"suffix":""},{"dropping-particle":"","family":"Norgbe","given":"G","non-dropping-particle":"","parse-names":false,"suffix":""},{"dropping-particle":"","family":"Obirikorang","given":"C","non-dropping-particle":"","parse-names":false,"suffix":""},{"dropping-particle":"","family":"Lokpo","given":"S","non-dropping-particle":"","parse-names":false,"suffix":""},{"dropping-particle":"","family":"Ashigbi","given":"E","non-dropping-particle":"","parse-names":false,"suffix":""},{"dropping-particle":"","family":"Johnson","given":"B","non-dropping-particle":"","parse-names":false,"suffix":""},{"dropping-particle":"","family":"Ussher","given":"F","non-dropping-particle":"","parse-names":false,"suffix":""},{"dropping-particle":"","family":"Deku","given":"J","non-dropping-particle":"","parse-names":false,"suffix":""},{"dropping-particle":"","family":"Asiamah","given":"E","non-dropping-particle":"","parse-names":false,"suffix":""},{"dropping-particle":"","family":"Avorkliyah","given":"R","non-dropping-particle":"","parse-names":false,"suffix":""},{"dropping-particle":"","family":"Boakye","given":"E","non-dropping-particle":"","parse-names":false,"suffix":""},{"dropping-particle":"","family":"Ntoni","given":"T","non-dropping-particle":"","parse-names":false,"suffix":""},{"dropping-particle":"","family":"Nyamadi","given":"P","non-dropping-particle":"","parse-names":false,"suffix":""}],"container-title":"Ethiopian Journal of Health Sciences","id":"ITEM-1","issue":"1","issued":{"date-parts":[["2019"]]},"note":"Osei-Yeboah, James Owiredu, William Norgbe, Gameli Obirikorang, Christian Lokpo, Sylvester Ashigbi, Evans Johnson, Beatrice Ussher, Francis Deku, John Asiamah, Emmanuel Avorkliyah, Roseline Boakye, Edward Ntoni, Tibemponi Nyamadi, Prince\nUssher, Francis Abeku/AAL-5699-2020; Obirikorang, Christian/F-5843-2011; Lokpo, Sylvester Yao/J-1116-2019\nUssher, Francis Abeku/0000-0001-7377-6502; Obirikorang, Christian/0000-0002-6128-1358; Lokpo, Sylvester Yao/0000-0002-1628-0735; /0000-0003-3458-7850; Osei-Yeboah, James/0000-0001-7982-5707\n2413-7170","page":"819-830","title":"Physical Activity Pattern and Its Association with Glycaemic and Blood Pressure Control among People Living with Diabetes (PLWD) In The Ho Municipality, Ghana","type":"article-journal","volume":"29"},"uris":["http://www.mendeley.com/documents/?uuid=805bbe9b-02fc-43cf-a448-520527e9a7cc"]}],"mendeley":{"formattedCitation":"(152)","manualFormatting":"[91","plainTextFormattedCitation":"(152)","previouslyFormattedCitation":"(156)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0FCA35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5712F07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0CA0A18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Ghana</w:t>
            </w:r>
          </w:p>
        </w:tc>
        <w:tc>
          <w:tcPr>
            <w:tcW w:w="1761" w:type="dxa"/>
            <w:shd w:val="clear" w:color="auto" w:fill="auto"/>
            <w:hideMark/>
          </w:tcPr>
          <w:p w14:paraId="0960D79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r w:rsidRPr="000C26B9">
              <w:rPr>
                <w:rFonts w:ascii="Times New Roman" w:hAnsi="Times New Roman" w:cs="Times New Roman"/>
                <w:color w:val="000000"/>
                <w:sz w:val="20"/>
                <w:szCs w:val="20"/>
                <w:lang w:val="en-US"/>
              </w:rPr>
              <w:br/>
              <w:t>27-84 years</w:t>
            </w:r>
          </w:p>
        </w:tc>
        <w:tc>
          <w:tcPr>
            <w:tcW w:w="850" w:type="dxa"/>
            <w:shd w:val="clear" w:color="auto" w:fill="auto"/>
            <w:noWrap/>
            <w:hideMark/>
          </w:tcPr>
          <w:p w14:paraId="633C5E4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150</w:t>
            </w:r>
          </w:p>
        </w:tc>
        <w:tc>
          <w:tcPr>
            <w:tcW w:w="1472" w:type="dxa"/>
            <w:shd w:val="clear" w:color="auto" w:fill="auto"/>
            <w:noWrap/>
            <w:hideMark/>
          </w:tcPr>
          <w:p w14:paraId="1DF9A52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1913CE2E" w14:textId="77777777" w:rsidTr="00D05366">
        <w:trPr>
          <w:trHeight w:val="315"/>
        </w:trPr>
        <w:tc>
          <w:tcPr>
            <w:tcW w:w="1327" w:type="dxa"/>
            <w:shd w:val="clear" w:color="auto" w:fill="auto"/>
            <w:noWrap/>
            <w:hideMark/>
          </w:tcPr>
          <w:p w14:paraId="0A02E6E3" w14:textId="01789F71"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Osei-Yeboah</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{"citationItems":[{"id":"ITEM-1","itemData":{"DOI":"10.2174/1874944501811010552","ISSN":"1874-9445","abstract":"© 2018 Osei-Yeboah et al. Background: Adherence is the active, voluntary, and collaborative involvement of the patient in a mutually acceptable course of behaviour to produce a therapeutic result. The study is aimed at assessing adherence to medication and its relation to therapeutic outcomes among people living with diabetes in the Ho Municipality. Methodology: A cross-sectional study was conducted involving 150 diabetic patients attending the diabetic clinic at the Ho Municipal Hospital. Urine glucose and urine protein were measured using a two-parameter dipstick. The current fasting blood glucose and blood pressure, as well as the measurements of two previous visits, were documented. A semi-structured questionnaire including the Diabetes Complication Checklist and the Morisky, Green and Levine Adherence Scale were used to capture biodata, clinical information and medication adherence. Results: Optimal medication adherence was 60.67%. Glycaemic control and controlled blood pressure were 33.33% and 58.67%, respectively. The prevalence of glycosuria and proteinuria was 10.67% and 3.3%, respectively. Percentage glycaemic control and controlled blood pressure were found to be higher among the medication adherent group, while glycosuria and proteinuria were the highest among participants presenting with low medication adherence. Conclusion: In this group of patients living with diabetes in the Ho Municipality, high level of uncontrolled glycaemia and blood pressure exist. However, these two treatment outcomes may be modulated by optimal medication adherence.","author":[{"dropping-particle":"","family":"Osei-Yeboah","given":"James","non-dropping-particle":"","parse-names":false,"suffix":""},{"dropping-particle":"","family":"Lokpo","given":"Sylvester Yao","non-dropping-particle":"","parse-names":false,"suffix":""},{"dropping-particle":"","family":"Owiredu","given":"William K. B. A.","non-dropping-particle":"","parse-names":false,"suffix":""},{"dropping-particle":"","family":"Johnson","given":"Beatrice Bella","non-dropping-particle":"","parse-names":false,"suffix":""},{"dropping-particle":"","family":"Orish","given":"Verner Ndudiri","non-dropping-particle":"","parse-names":false,"suffix":""},{"dropping-particle":"","family":"Botchway","given":"Felix","non-dropping-particle":"","parse-names":false,"suffix":""},{"dropping-particle":"","family":"Ussher","given":"Francis Abeku","non-dropping-particle":"","parse-names":false,"suffix":""},{"dropping-particle":"","family":"Avorkliyah","given":"Roseline","non-dropping-particle":"","parse-names":false,"suffix":""}],"container-title":"The Open Public Health Journal","id":"ITEM-1","issue":"1","issued":{"date-parts":[["2019"]]},"page":"552-561","title":"Medication Adherence and its Association with Glycaemic Control, Blood Pressure Control, Glycosuria and Proteinuria Among People Living With Diabetes (PLWD) in the Ho Municipality, Ghana","type":"article-journal","volume":"11"},"uris":["http://www.mendeley.com/documents/?uuid=77d9ec52-add0-4269-9392-5006decfe9a3"]}],"mendeley":{"formattedCitation":"(153)","manualFormatting":"[92","plainTextFormattedCitation":"(153)","previouslyFormattedCitation":"(157)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C6041D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03C9E75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73BCA41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Ghana</w:t>
            </w:r>
          </w:p>
        </w:tc>
        <w:tc>
          <w:tcPr>
            <w:tcW w:w="1761" w:type="dxa"/>
            <w:shd w:val="clear" w:color="auto" w:fill="auto"/>
            <w:hideMark/>
          </w:tcPr>
          <w:p w14:paraId="26F0A62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Healthcare workers</w:t>
            </w:r>
          </w:p>
        </w:tc>
        <w:tc>
          <w:tcPr>
            <w:tcW w:w="850" w:type="dxa"/>
            <w:shd w:val="clear" w:color="auto" w:fill="auto"/>
            <w:noWrap/>
            <w:hideMark/>
          </w:tcPr>
          <w:p w14:paraId="79231A3B"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112</w:t>
            </w:r>
          </w:p>
        </w:tc>
        <w:tc>
          <w:tcPr>
            <w:tcW w:w="1472" w:type="dxa"/>
            <w:shd w:val="clear" w:color="auto" w:fill="auto"/>
            <w:noWrap/>
            <w:hideMark/>
          </w:tcPr>
          <w:p w14:paraId="52B2312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Other Population</w:t>
            </w:r>
          </w:p>
        </w:tc>
      </w:tr>
      <w:tr w:rsidR="000F54D9" w:rsidRPr="000C26B9" w14:paraId="4C63E1CE" w14:textId="77777777" w:rsidTr="00D05366">
        <w:trPr>
          <w:trHeight w:val="315"/>
        </w:trPr>
        <w:tc>
          <w:tcPr>
            <w:tcW w:w="1327" w:type="dxa"/>
            <w:shd w:val="clear" w:color="auto" w:fill="auto"/>
            <w:noWrap/>
            <w:hideMark/>
          </w:tcPr>
          <w:p w14:paraId="27D9729C" w14:textId="0E32EDCE"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Osman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{"citationItems":[{"id":"ITEM-1","itemData":{"ISSN":"19907567","abstract":"The aim of this study was to assess the demographic and clinical characteristics of 400 adult diabetic patients, seen in the endocrine clinic of Omdurman Teaching Hospital, Omdurman, Sudan, in the period, October 2012-March 2013. Of the 400 patient, 242 were women (63%). The age range was 23-88 years. With a mean of 57.7±14 years; urban resident patients were 290 (72.5%), illiterates were 85 (21.3%), and poorly economic patients were 142 (35.5%). Type 2 diabetes was detected in 377 patients (94.3%); mean duration of the disease was 13.6±5 years. Treatments received included diet only (36.9%), oral hypoglycaemic agents (232, 58%), insulin (75, 18.7%). Poor glycaemic control was detected in 174 patients (43.5%). The majority had poor knowledge on diabetes (273, 68.3%). Suffering poor impact of diabetes on the socioeconomic status of patients was reported in 186 patients (46.5%). Long-term complications recorded include peripheral neuropathy (211), (52.7%), hypertension (194, 49.7%), autonomic neuropathy (88, 21.7%), macrovascular complications (87, 21.7%), retinopathy (93, 23.2%), nephropathy (54, 13.5%). The study indicates presence of diabetes in a population mostly of women, older people of urban residency. This study indicate prominence of some unwanted features including poor glycaemic control, low physical activity, lack of basic knowledge on diabetes, poor impact on patients' socioeconomic status, a high profile of long term complications. An effort by government community to establish a good diabetes care is badly needed.","author":[{"dropping-particle":"","family":"Osman","given":"H","non-dropping-particle":"","parse-names":false,"suffix":""},{"dropping-particle":"","family":"Ahmed","given":"A M","non-dropping-particle":"","parse-names":false,"suffix":""},{"dropping-particle":"","family":"A-Rahman","given":"N H A","non-dropping-particle":"","parse-names":false,"suffix":""}],"container-title":"Sudanese Journal of Public Health","id":"ITEM-1","issue":"2","issued":{"date-parts":[["2013"]]},"note":"Accession Number: 20143181319. Osman, H. (author); Email Address: awad.sd@gmail.com; Ahmed, A. M. (author); A-Rahman, N. H. A. (author). Issue Info: 8, 2. Publication Date: 20130101. Note: 19. Number of Pages: 5. Document Type: Journal Article. Language: English. Subject Subsets: Tropical Diseases; Rural Development; CAB Abstracts 1973-Current; Global Health 1973- Current; Nutrition and Food Sciences Database. CAS Registry Number: 9004-10-8. Has References: 19.","page":"47-51","publisher":"Sudanese Journal of Public Health","publisher-place":"Department of Medicine, Faculty of Medicine, University of Omdurman, Omdurman, Sudan.","title":"Demographic and clinical characteristics of diabetic patients attending an outpatient clinic in Omdurman, Sudan.","type":"article-journal","volume":"8"},"uris":["http://www.mendeley.com/documents/?uuid=7cfcf21c-badc-42f6-8994-bec0a4a9657e"]}],"mendeley":{"formattedCitation":"(154)","manualFormatting":"[93","plainTextFormattedCitation":"(154)","previouslyFormattedCitation":"(158)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5C0E917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Descriptive study </w:t>
            </w:r>
          </w:p>
        </w:tc>
        <w:tc>
          <w:tcPr>
            <w:tcW w:w="1194" w:type="dxa"/>
            <w:shd w:val="clear" w:color="auto" w:fill="auto"/>
            <w:noWrap/>
            <w:hideMark/>
          </w:tcPr>
          <w:p w14:paraId="35EFE81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4FA85E8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Sudan</w:t>
            </w:r>
          </w:p>
        </w:tc>
        <w:tc>
          <w:tcPr>
            <w:tcW w:w="1761" w:type="dxa"/>
            <w:shd w:val="clear" w:color="auto" w:fill="auto"/>
            <w:hideMark/>
          </w:tcPr>
          <w:p w14:paraId="093E36A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noWrap/>
            <w:hideMark/>
          </w:tcPr>
          <w:p w14:paraId="32C3A2E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400</w:t>
            </w:r>
          </w:p>
        </w:tc>
        <w:tc>
          <w:tcPr>
            <w:tcW w:w="1472" w:type="dxa"/>
            <w:shd w:val="clear" w:color="auto" w:fill="auto"/>
            <w:noWrap/>
            <w:hideMark/>
          </w:tcPr>
          <w:p w14:paraId="164E140D"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132240CC" w14:textId="77777777" w:rsidTr="00D05366">
        <w:trPr>
          <w:trHeight w:val="1295"/>
        </w:trPr>
        <w:tc>
          <w:tcPr>
            <w:tcW w:w="1327" w:type="dxa"/>
            <w:shd w:val="clear" w:color="auto" w:fill="auto"/>
            <w:noWrap/>
            <w:hideMark/>
          </w:tcPr>
          <w:p w14:paraId="2EDA86AF" w14:textId="1AE72EE1"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Owolabi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{"citationItems":[{"id":"ITEM-1","itemData":{"DOI":"10.1371/journal.pone.0224791","ISSN":"1932-6203 (Electronic)","PMID":"31774842","abstract":"South Africa is confronted with a high burden of diabetes, the majority of which are  poorly controlled. The use of mHealth, specifically text messaging for fostering health, is evolving and studies on its efficacy, the majority of which were conducted in developed countries, have documented mixed findings. There is no such study done amongst patients living with diabetes in the resource-poor settings of South Africa. The aim of this study is to determine the efficacy, acceptability and feasibility of text-messaging in improving glycaemic control and other clinical outcomes among individuals living with diabetes in low-resource settings in Eastern Cape, South Africa. The study adopted a multi-centre, two-arm, parallel, randomised-controlled trial design. The study was conducted amongst patients with an uncontrolled glycaemic status. Participants were randomly assigned to the intervention (n = 108) and the control arm (n = 108). Participants in the intervention arm received daily educational text messages on diabetes for six months. Data was collected at baseline and six months post-intervention. Blood glucose, blood pressure and anthropometric measurements followed standard procedure. Mixed-model analysis was used to assess the impact of the text messages on blood glucose while linear regression was used to assess its effect on other clinical outcomes such as weight, body mass index, systolic and diastolic blood pressure. The mean age of the participants was 60.64 (SD± 11.58) years. The majority of the participants had a secondary level of education (95.3%) and earned 104.80 to 991.42 USD per month (67.7%). Both arms of the study showed improvement in their blood glucose levels, but the intervention did not have any significant effect, the mean adjusted change in blood glucose was 0.26 (-0.81 to 1.32), p = 0.634. Also, the intervention did not have any significant effect on weight, body mass index, systolic and diastolic blood pressure. Almost all participants (90.74%) were pleased with the intervention and felt it was helpful. Of those who participated in the intervention, 91% completed the follow-up after 6 months. Unidirectional text-messaging was acceptable and feasible amongst adults living with diabetes in this setting. However, its efficacy in improving glycaemic status and other clinical outcomes remains doubtful. Trial Registration: Pan African Clinical Trial Registry PACTR201810599931422.","author":[{"dropping-particle":"","family":"Owolabi","given":"Eyitayo Omolara","non-dropping-particle":"","parse-names":false,"suffix":""},{"dropping-particle":"Ter","family":"Goon","given":"Daniel","non-dropping-particle":"","parse-names":false,"suffix":""},{"dropping-particle":"","family":"Ajayi","given":"Anthony Idowu","non-dropping-particle":"","parse-names":false,"suffix":""}],"container-title":"PloS one","id":"ITEM-1","issue":"11","issued":{"date-parts":[["2019"]]},"language":"eng","page":"e0224791","title":"Efficacy, acceptability and feasibility of daily text-messaging in promoting  glycaemic control and other clinical outcomes in a low-resource setting of South Africa: A randomised controlled trial.","type":"article-journal","volume":"14"},"uris":["http://www.mendeley.com/documents/?uuid=bfa68460-4a33-46c0-b163-5964dbc68047"]}],"mendeley":{"formattedCitation":"(155)","manualFormatting":"[94","plainTextFormattedCitation":"(155)","previouslyFormattedCitation":"(159)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06DC22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Randomized controlled trial</w:t>
            </w:r>
          </w:p>
        </w:tc>
        <w:tc>
          <w:tcPr>
            <w:tcW w:w="1194" w:type="dxa"/>
            <w:shd w:val="clear" w:color="auto" w:fill="auto"/>
            <w:noWrap/>
            <w:hideMark/>
          </w:tcPr>
          <w:p w14:paraId="5DBE8FE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noWrap/>
            <w:hideMark/>
          </w:tcPr>
          <w:p w14:paraId="72A2CE0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6AC5F4B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Adult with uncontrolled diabetes; types 1 and 2 diabetes </w:t>
            </w:r>
          </w:p>
        </w:tc>
        <w:tc>
          <w:tcPr>
            <w:tcW w:w="850" w:type="dxa"/>
            <w:shd w:val="clear" w:color="auto" w:fill="auto"/>
            <w:hideMark/>
          </w:tcPr>
          <w:p w14:paraId="47494614"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216</w:t>
            </w:r>
          </w:p>
        </w:tc>
        <w:tc>
          <w:tcPr>
            <w:tcW w:w="1472" w:type="dxa"/>
            <w:shd w:val="clear" w:color="auto" w:fill="auto"/>
            <w:hideMark/>
          </w:tcPr>
          <w:p w14:paraId="61123904"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Efficacy, acceptability, and feasibility of daily text-messaging </w:t>
            </w:r>
            <w:r w:rsidRPr="000C26B9">
              <w:rPr>
                <w:rFonts w:ascii="Times New Roman" w:hAnsi="Times New Roman" w:cs="Times New Roman"/>
                <w:color w:val="000000"/>
                <w:sz w:val="20"/>
                <w:szCs w:val="20"/>
                <w:lang w:val="en-US"/>
              </w:rPr>
              <w:br/>
              <w:t xml:space="preserve">in promoting glycaemic control and Other clinical outcomes; </w:t>
            </w: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04E2C2DB" w14:textId="77777777" w:rsidTr="00D05366">
        <w:trPr>
          <w:trHeight w:val="710"/>
        </w:trPr>
        <w:tc>
          <w:tcPr>
            <w:tcW w:w="1327" w:type="dxa"/>
            <w:shd w:val="clear" w:color="auto" w:fill="auto"/>
            <w:noWrap/>
            <w:hideMark/>
          </w:tcPr>
          <w:p w14:paraId="241C8CA1" w14:textId="74BF2C5D"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Paruk</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{"citationItems":[{"id":"ITEM-1","itemData":{"DOI":"10.7196/SAMJ.2019.v109i12.13893","ISSN":"02569574","abstract":"Background. The reported prevalence of low testosterone among men with type 2 diabetes mellitus (T2DM) is high. However, there is a dearth of information on the prevalence of androgen deficiency symptoms and low serum testosterone levels in men with T2DM from sub- Saharan Africa. Scanty data are available from Nigeria, Ghana and South Africa (SA). Objectives. To determine the prevalence of low serum testosterone and associated risk factors and the prevalence of androgen deficiency symptoms in men with T2DM. Methods. In a cross-sectional observational study, androgen deficiency symptoms in men with T2DM attending two outpatient diabetes clinics in Durban, KwaZulu-Natal Province, SA, were assessed using the Ageing Males' Symptoms Scale (AMS) questionnaire and direct enquiry. Serum total testosterone (TT), sex hormone-binding globulin (SHBG), luteinising hormone (LH), fructosamine, serum lipids and glycated haemoglobin (HbA1c) were measured and free testosterone (FT) was calculated. TT, SHBG and FT levels were measured in control subjects with no history of diabetes. Results. There were 148 men with T2DM in the study group and 50 control subjects in the control group. In the study group, the majority were black Africans (58.8%); Indians (39.2%) and whites (2.0%) constituted the remainder. The mean (standard deviation (SD)) age was 57.5 (11.2) years, the mean duration of diabetes 11.4 (8.9) years and the mean HbA1c 8.6% (1.9%). Of the study group, 85.8% had metabolic syndrome. Mean TT, SHBG and FT and median LH (interquartile range) in the study group were within normal ranges. However, mean (SD) serum TT and FT were lower in the study group than in the control subjects (14.5 (5.8) v. 18.8 (7.2) nmol/L; p &lt; 0.001 and 265.9 (90.4) v. 351.7 (127.3) pmol/L; p &lt; 0.001, respectively). The prevalence of low serum total testosterone (LSTT) and low serum free testosterone (LSFT) in the study group was 35.8% and 16.2%, respectively. The prevalence of androgen deficiency symptoms using the AMS questionnaire was 74.5% and correlated poorly with LSTT or LSFT. In multivariate analysis, LSFT was significantly associated with age (odds ratio (OR) 1.05, 95% confidence interval (CI) 1.02 - 1.218; p=0.043) and waist circumference (WC) (OR 1.033, 95% CI 0.999 - 1.068; p=0.059). LSTT was associated with body mass index (BMI) only (OR 1.138, 95% CI 1.063 - 1.218; p &lt; 0.0001). TT correlated inversely with BMI, WC and the number of metabolic syndrome criteria. FT correlated inver…","author":[{"dropping-particle":"","family":"Paruk","given":"I M","non-dropping-particle":"","parse-names":false,"suffix":""},{"dropping-particle":"","family":"Pir","given":"F J","non-dropping-particle":"","parse-names":false,"suffix":""},{"dropping-particle":"","family":"Nkwanyana","given":"N M","non-dropping-particle":"","parse-names":false,"suffix":""},{"dropping-particle":"","family":"Motala","given":"A A","non-dropping-particle":"","parse-names":false,"suffix":""}],"container-title":"SAMJ - South African Medical Journal","id":"ITEM-1","issue":"12","issued":{"date-parts":[["2019"]]},"note":"Accession Number: 20203394197. Paruk, I. M. (author); Email Address: paruki@ukzn.ac.za; Pir, F. J. (author); Nkwanyana, N. M. (author); Motala, A. A. (author). Issue Info: 109, 12. Publication Date: 20190101. Note: 34 ref. Number of Pages: 6. Document Type: Journal Article. Language: English. Subject Subsets: Tropical Diseases; Global Health 1973- Current; Nutrition and Food Sciences Database. CAS Registry Number: 1255-69-8. CAS Registry Number: 15262-86-9. CAS Registry Number: 315-37-7. CAS Registry Number: 57-85-2. CAS Registry Number: 5721-91-5. CAS Registry Number: 58-22-0. Has References: 34 ref.","page":"957-962","publisher":"Health and Medical Publishing Group","publisher-place":"Department of Diabetes and Endocrinology, School of Clinical Medicine, College of Health Sciences, University of KwaZulu-Natal, Durban, South Africa.","title":"Prevalence of low serum testosterone levels among men with type 2 diabetes mellitus attending two outpatient diabetes clinics in KwaZulu-Natal Province, South Africa.","type":"article-journal","volume":"109"},"uris":["http://www.mendeley.com/documents/?uuid=9bd726d2-7598-488d-838f-0ac3ab658117"]}],"mendeley":{"formattedCitation":"(156)","manualFormatting":"[95","plainTextFormattedCitation":"(156)","previouslyFormattedCitation":"(160)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764BD10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Retrospective observational study</w:t>
            </w:r>
          </w:p>
        </w:tc>
        <w:tc>
          <w:tcPr>
            <w:tcW w:w="1194" w:type="dxa"/>
            <w:shd w:val="clear" w:color="auto" w:fill="auto"/>
            <w:noWrap/>
            <w:hideMark/>
          </w:tcPr>
          <w:p w14:paraId="559E0F5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2BC07AA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122EACB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23A4C3F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472" w:type="dxa"/>
            <w:shd w:val="clear" w:color="auto" w:fill="auto"/>
            <w:hideMark/>
          </w:tcPr>
          <w:p w14:paraId="02FED29F"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patterns of </w:t>
            </w:r>
            <w:r w:rsidRPr="000C26B9">
              <w:rPr>
                <w:rFonts w:ascii="Times New Roman" w:hAnsi="Times New Roman" w:cs="Times New Roman"/>
                <w:color w:val="000000"/>
                <w:sz w:val="20"/>
                <w:szCs w:val="20"/>
                <w:lang w:val="en-US"/>
              </w:rPr>
              <w:lastRenderedPageBreak/>
              <w:t xml:space="preserve">treatment and control </w:t>
            </w:r>
          </w:p>
        </w:tc>
      </w:tr>
      <w:tr w:rsidR="000F54D9" w:rsidRPr="000C26B9" w14:paraId="6B64C8A0" w14:textId="77777777" w:rsidTr="00D05366">
        <w:trPr>
          <w:trHeight w:val="315"/>
        </w:trPr>
        <w:tc>
          <w:tcPr>
            <w:tcW w:w="1327" w:type="dxa"/>
            <w:shd w:val="clear" w:color="auto" w:fill="auto"/>
            <w:noWrap/>
            <w:hideMark/>
          </w:tcPr>
          <w:p w14:paraId="0A59FBAB" w14:textId="53ABF624"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Pengpi</w:t>
            </w:r>
            <w:r>
              <w:rPr>
                <w:rFonts w:ascii="Times New Roman" w:hAnsi="Times New Roman" w:cs="Times New Roman"/>
                <w:color w:val="000000"/>
                <w:sz w:val="20"/>
                <w:szCs w:val="20"/>
                <w:lang w:val="en-US"/>
              </w:rPr>
              <w:t xml:space="preserve">d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{"citationItems":[{"id":"ITEM-1","itemData":{"DOI":"10.1186/1471-2458-14-568","ISSN":"1471-2458 (Electronic)","PMID":"24906450","abstract":"BACKGROUND: In persons 15 years and above in South Africa the prevalence of  pre-diabetes and diabetes has been estimated at 9.1% and 9.6%, respectively, and the prevalence of systolic prehypertension and hypertension, 38.2% and 24.6%, respectively. Elevated blood glucose and elevated blood pressure are prototype of preventable chronic cardiovascular disease risk factors.Lifestyle interventions have been shown to control high normal blood pressure and/or high normal blood glucose. METHODS/DESIGN: This study proposes to evaluate the efficacy of a community (church)-based lifestyle intervention programme to control high normal blood pressure and/or high normal blood glucose in church members in a randomized controlled trial in Gauteng, South Africa. The objectives are to: (1) measure non-communicable diseases profile, including hypertension and diabetes, health behaviours, weight management and psychological distress of church members; (2) measure the reduction of blood glucose and blood pressure levels after the intervention; (3) prevent the development of impaired glucose tolerance; (4) compare health behaviours, weight management and psychological distress, blood glucose and blood pressure levels between intervention and control groups, and within group during 6, 12, 24 and 36 months during and post intervention. The study will use a group-randomized design, recruiting 300 church members from 12 churches. Churches will be randomly assigned to experimental and control conditions. DISCUSSION: Lifestyle interventions may prevent from the development of high blood pressure and/or diabetes. The findings will impact public health and will enable the health ministry to formulate policy related to lifestyle interventions to control blood pressure and glucose. TRIAL REGISTRATION NUMBER: PACTR201105000297151.","author":[{"dropping-particle":"","family":"Pengpid","given":"Supa","non-dropping-particle":"","parse-names":false,"suffix":""},{"dropping-particle":"","family":"Peltzer","given":"Karl","non-dropping-particle":"","parse-names":false,"suffix":""},{"dropping-particle":"","family":"Skaal","given":"Linda","non-dropping-particle":"","parse-names":false,"suffix":""}],"container-title":"BMC public health","id":"ITEM-1","issued":{"date-parts":[["2014","6"]]},"language":"eng","page":"568","title":"Efficacy of a church-based lifestyle intervention programme to control high normal  blood pressure and/or high normal blood glucose in church members: a randomized controlled trial in Pretoria, South Africa.","type":"article-journal","volume":"14"},"uris":["http://www.mendeley.com/documents/?uuid=236b3e7f-6484-4123-939e-90f113fa5ba7"]}],"mendeley":{"formattedCitation":"(157)","manualFormatting":"[96","plainTextFormattedCitation":"(157)","previouslyFormattedCitation":"(161)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39188AC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Study protocol </w:t>
            </w:r>
          </w:p>
        </w:tc>
        <w:tc>
          <w:tcPr>
            <w:tcW w:w="1194" w:type="dxa"/>
            <w:shd w:val="clear" w:color="auto" w:fill="auto"/>
            <w:noWrap/>
            <w:hideMark/>
          </w:tcPr>
          <w:p w14:paraId="7D8FEF2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1238" w:type="dxa"/>
            <w:shd w:val="clear" w:color="auto" w:fill="auto"/>
            <w:noWrap/>
            <w:hideMark/>
          </w:tcPr>
          <w:p w14:paraId="15D754D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00DF48B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General population</w:t>
            </w:r>
          </w:p>
        </w:tc>
        <w:tc>
          <w:tcPr>
            <w:tcW w:w="850" w:type="dxa"/>
            <w:shd w:val="clear" w:color="auto" w:fill="auto"/>
            <w:hideMark/>
          </w:tcPr>
          <w:p w14:paraId="10F5C20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300</w:t>
            </w:r>
          </w:p>
        </w:tc>
        <w:tc>
          <w:tcPr>
            <w:tcW w:w="1472" w:type="dxa"/>
            <w:shd w:val="clear" w:color="auto" w:fill="auto"/>
            <w:hideMark/>
          </w:tcPr>
          <w:p w14:paraId="3F20E10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Study type: study protocol; other population </w:t>
            </w:r>
          </w:p>
        </w:tc>
      </w:tr>
      <w:tr w:rsidR="000F54D9" w:rsidRPr="000C26B9" w14:paraId="28ECAFFC" w14:textId="77777777" w:rsidTr="00D05366">
        <w:trPr>
          <w:trHeight w:val="512"/>
        </w:trPr>
        <w:tc>
          <w:tcPr>
            <w:tcW w:w="1327" w:type="dxa"/>
            <w:shd w:val="clear" w:color="auto" w:fill="auto"/>
            <w:noWrap/>
            <w:hideMark/>
          </w:tcPr>
          <w:p w14:paraId="1471A1CE" w14:textId="533E34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Philis-Tsimika</w:t>
            </w:r>
            <w:r>
              <w:rPr>
                <w:rFonts w:ascii="Times New Roman" w:hAnsi="Times New Roman" w:cs="Times New Roman"/>
                <w:color w:val="000000"/>
                <w:sz w:val="20"/>
                <w:szCs w:val="20"/>
                <w:lang w:val="en-US"/>
              </w:rPr>
              <w:t xml:space="preserve">s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{"citationItems":[{"id":"ITEM-1","itemData":{"DOI":"10.1111/dom.12115","abstract":"Aim: The efficacy and safety of insulin degludec (IDeg), a new basal insulin with an ultra-long duration of action, was compared to sitagliptin (Sita) in a 26-week, open-label trial. Methods: Insulin-na¨ıvena¨ıve subjects with type 2 diabetes [n = 458, age: 56 years, diabetes duration: 7.7 years, glycosylated haemoglobin (HbA1c): 8.9% (74 mmol/mol)] were randomized (1 : 1) to once-daily IDeg or Sita (100 mg orally) as add-on to stable treatment with 1 or 2 oral antidiabetic drugs (OADs). Results: Superiority of IDeg to Sita in improving HbA1c and fasting plasma glucose (FPG) was confirmed [estimated treatment difference (ETD) IDeg-Sita for HbA1c: −0.43%-points [95% confidence interval (CI): −0.61; −0.24, p &lt; 0.0001] and for FPG: −2.17 mmol/l (95% CI: −2.59; −1.74, p &lt; 0.0001)]. HbA1c &lt; 7% (&lt;53 mmol/mol) was achieved by 41% (IDeg) versus 28% (Sita) of patients, estimated odds ratio IDeg/Sita: 1.60 (95% CI: 1.04; 2.47, p = 0.034). There was no statistically significant difference in the rate of nocturnal confirmed hypoglycaemia between IDeg and Sita [0.52 vs. 0.30 episodes/patient-year, estimated rate ratio (ERR): IDeg/Sita: 1.93 (95% CI: 0.90; 4.10, p = 0.09)]. Rates of overall confirmed hypoglycaemia were higher with IDeg than with Sita [3.1 vs. 1.3 episodes/patient-year, ERR IDeg/Sita: 3.81 (95% CI: 2.40; 6.05, p &lt; 0.0001)]. IDeg was associated with a greater change in body weight than Sita [ETD IDeg-Sita: 2.75 kg (95% CI: 1.97; 3.54, p &lt; 0.0001)]. The overall rates of adverse events were low and similar for both groups. Conclusions: In patients unable to achieve good glycaemic control on OAD(s), treatment intensification with IDeg offers an effective, well-tolerated alternative to the addition of a second or third OAD.","author":[{"dropping-particle":"","family":"Philis-Tsimikas","given":"A","non-dropping-particle":"","parse-names":false,"suffix":""},{"dropping-particle":"","family":"Prato","given":"S","non-dropping-particle":"Del","parse-names":false,"suffix":""},{"dropping-particle":"","family":"Satman","given":"I","non-dropping-particle":"","parse-names":false,"suffix":""},{"dropping-particle":"","family":"Bhargava","given":"A","non-dropping-particle":"","parse-names":false,"suffix":""},{"dropping-particle":"","family":"Dharmalingam","given":"M","non-dropping-particle":"","parse-names":false,"suffix":""},{"dropping-particle":"V","family":"Skjøth","given":"T","non-dropping-particle":"","parse-names":false,"suffix":""},{"dropping-particle":"","family":"Rasmussen","given":"S","non-dropping-particle":"","parse-names":false,"suffix":""},{"dropping-particle":"","family":"Garber","given":"A J","non-dropping-particle":"","parse-names":false,"suffix":""}],"container-title":"Obesity and Metabolism","id":"ITEM-1","issued":{"date-parts":[["2013"]]},"page":"760-766","title":"Effect of insulin degludec versus sitagliptin in patients with type 2 diabetes uncontrolled on oral antidiabetic agents","type":"article-journal","volume":"15"},"uris":["http://www.mendeley.com/documents/?uuid=62c955be-c5bf-3849-b6cb-e88c37292175"]}],"mendeley":{"formattedCitation":"(158)","manualFormatting":"[97","plainTextFormattedCitation":"(158)","previouslyFormattedCitation":"(162)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659231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26-week, open-label trial</w:t>
            </w:r>
          </w:p>
        </w:tc>
        <w:tc>
          <w:tcPr>
            <w:tcW w:w="1194" w:type="dxa"/>
            <w:shd w:val="clear" w:color="auto" w:fill="auto"/>
            <w:noWrap/>
            <w:hideMark/>
          </w:tcPr>
          <w:p w14:paraId="04A41F9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275CD5D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Multicentre study</w:t>
            </w:r>
          </w:p>
        </w:tc>
        <w:tc>
          <w:tcPr>
            <w:tcW w:w="1761" w:type="dxa"/>
            <w:shd w:val="clear" w:color="auto" w:fill="auto"/>
            <w:hideMark/>
          </w:tcPr>
          <w:p w14:paraId="2F83BDB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uncontrolled on oral antidiabetic agents</w:t>
            </w:r>
          </w:p>
        </w:tc>
        <w:tc>
          <w:tcPr>
            <w:tcW w:w="850" w:type="dxa"/>
            <w:shd w:val="clear" w:color="auto" w:fill="auto"/>
            <w:hideMark/>
          </w:tcPr>
          <w:p w14:paraId="6C11186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458</w:t>
            </w:r>
          </w:p>
        </w:tc>
        <w:tc>
          <w:tcPr>
            <w:tcW w:w="1472" w:type="dxa"/>
            <w:shd w:val="clear" w:color="auto" w:fill="auto"/>
            <w:hideMark/>
          </w:tcPr>
          <w:p w14:paraId="66E2E15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Other Setting</w:t>
            </w:r>
          </w:p>
        </w:tc>
      </w:tr>
      <w:tr w:rsidR="000F54D9" w:rsidRPr="000C26B9" w14:paraId="759E3FA7" w14:textId="77777777" w:rsidTr="00D05366">
        <w:trPr>
          <w:trHeight w:val="315"/>
        </w:trPr>
        <w:tc>
          <w:tcPr>
            <w:tcW w:w="1327" w:type="dxa"/>
            <w:shd w:val="clear" w:color="auto" w:fill="auto"/>
            <w:noWrap/>
            <w:hideMark/>
          </w:tcPr>
          <w:p w14:paraId="1B283269" w14:textId="7B78B24E"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Pillay</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{"citationItems":[{"id":"ITEM-1","itemData":{"DOI":"10.1080/16089677.2017.1414731","ISSN":"2220-1009","abstract":"Background: Diabetes mellitus (DM) poses a great burden of disease worldwide. The adverse effects of hypomagnesaemia (hypoMg 2+) in patients with DM have been well described, with a higher prevalence of hypoMg 2+ in patients with DM than in the general population (up to 35% vs. up to 15%). No data exist for South Africa (SA). Objectives: The study aimed to determine the prevalence of hypoMg 2+ in a cohort of patients visiting a specialised DM clinic and to ascertain whether there is a relationship between hypoMg 2+ and glycaemic control and hypoMg 2+ and renal dysfunction. Methods: Data recorded on standardised clinical sheets from patients who attended a specialised DM clinic at Edendale Hospital, Pietermaritzburg, SA, over a period of one year (July 1, 2015 to June 30, 2016) were collected. Patient demographics, diabetes type, glycaemic control, serum magnesium (Mg 2+) and renal function are presented for statistical analysis. Results: A total of 744 patients were enrolled. Most patients were female (527; 70.8%) and were diagnosed with Type 2 diabetes (DM2) (633; 85.1%) with a mean age of 52.3 (SD 15.6 years). The prevalence of hypoMg 2+ was found to be 8.44%. HypoMg 2+ was associated with poor glycaemic control (r =-0.16, p &lt; 0.0001). A significant relationship was observed between glycaemic control and hypoMg 2+ in males (r =-0.21, p = 0.0038), but not females (r =-0.011, p = 0.81). No significant relationship was evident between hypoMg 2+ and renal dysfunction (r =-0.064, p = 0.11). Conclusion: HypoMg 2+ in patients with DM was associated with poorer glycaemic control in the male population, potentially increasing the risk of adverse health outcomes. However, the prevalence of hypoMg 2+ was not higher than in published data, but population-specific controls are required. No association could be found between hypoMg 2+ and renal dysfunction. The need for routine Mg 2+ testing and supplementation in our population requires further assessment.","author":[{"dropping-particle":"","family":"Pillay","given":"S","non-dropping-particle":"","parse-names":false,"suffix":""},{"dropping-particle":"","family":"Jansen Van Vuuren","given":"J M","non-dropping-particle":"","parse-names":false,"suffix":""},{"dropping-particle":"","family":"Cj","given":"&amp;","non-dropping-particle":"","parse-names":false,"suffix":""},{"dropping-particle":"","family":"Vuuren","given":"Jansen","non-dropping-particle":"Van","parse-names":false,"suffix":""},{"dropping-particle":"","family":"Jansen Van Vuuren","given":"C J","non-dropping-particle":"","parse-names":false,"suffix":""}],"container-title":"Metabolism and Diabetes of South Africa","id":"ITEM-1","issue":"1","issued":{"date-parts":[["2018"]]},"page":"22-25","title":"Journal of Endocrinology, Metabolism and Diabetes of South Africa The Magnesium and Glucose (MAG) Study: the prevalence and effect of hypomagnesaemia on diabetes control in a regional hospital in KwaZulu-Natal the Creative Commons License [CC BY-NC 3.0] The Magnesium and Glucose (MAG) Study: the prevalence and effect of hypomagnesaemia on diabetes control in a regional hospital in KwaZulu-Natal","type":"article-journal","volume":"23"},"uris":["http://www.mendeley.com/documents/?uuid=31a0023f-587c-3274-a758-867363182a47"]}],"mendeley":{"formattedCitation":"(159)","manualFormatting":"[98","plainTextFormattedCitation":"(159)","previouslyFormattedCitation":"(163)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87</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7022B42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7E65CCA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1238" w:type="dxa"/>
            <w:shd w:val="clear" w:color="auto" w:fill="auto"/>
            <w:noWrap/>
            <w:hideMark/>
          </w:tcPr>
          <w:p w14:paraId="2268FB0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30725B9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2E2F6301"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744</w:t>
            </w:r>
          </w:p>
        </w:tc>
        <w:tc>
          <w:tcPr>
            <w:tcW w:w="1472" w:type="dxa"/>
            <w:shd w:val="clear" w:color="auto" w:fill="auto"/>
            <w:hideMark/>
          </w:tcPr>
          <w:p w14:paraId="6AF5DFF9"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1E4DF504" w14:textId="77777777" w:rsidTr="00D05366">
        <w:trPr>
          <w:trHeight w:val="945"/>
        </w:trPr>
        <w:tc>
          <w:tcPr>
            <w:tcW w:w="1327" w:type="dxa"/>
            <w:shd w:val="clear" w:color="auto" w:fill="auto"/>
            <w:noWrap/>
            <w:hideMark/>
          </w:tcPr>
          <w:p w14:paraId="52FCCE98" w14:textId="408DA92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Pinchevsky</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{"citationItems":[{"id":"ITEM-1","itemData":{"ISSN":"16089677","abstract":"AJOL Abstract: Objective: The aim of this study was to identify the treatment gaps that pertain to risk factors in South African patients with type 2 diabetes mellitus, using national treatment guidelines.Design: Cross-sectional study.Setting and subjects: The study consisted of 666 patients with type 2 diabetes mellitus, attending a diabetes clinic at the Charlotte Maxeke Johannesburg Academic Hospital.Outcome measures: Using a public sector database, retrospective data were obtained on the treatment of type 2 diabetes mellitus participants. Patients were randomly selected on the basis of established type 2 diabetes mellitus diagnosis, and if they were receiving oral hypoglycaemic and/or insulin therapy. Age, gender, race, blood pressure, haemoglobin A1c (HbA1c) and fasting lipids were captured and measured. The history of patients’ previous coronary artery disease, strokes, nephropathy, neuropathy and retinopathy was recorded.Results: The mean age of the patients was 63 years [standard deviation (SD) 11.9], 55% of whom were females. The HbA1c was 8.8% (SD 2.5). 26.2% of patients attained HbA1c levels of &lt; 7%. Of the total patients, 45.8% met a &lt; 130/80 mmHg blood pressure target, and 53.8% a low-density lipoprotein (LDL) cholesterol of &lt; 2.5 mmol/l. Only 7.5% obtained the combined target for HbA1c , blood pressure and LDL cholesterol.Conclusion: Traditionally, type 2 diabetes mellitus treatment has centred on correcting blood glucose levels. Yet, as many as 80% of people with type 2 diabetes mellitus die from some form of cardiovascular disease (CVD). Many trials have demonstrated the benefits of targeting CVD risk factors (HbA1c, blood pressure and lipids) in patients with type 2 diabetes mellitus. Despite the wealth of evidence, our data suggest that significant undertreatment of risk factors in patients with type 2 diabetes mellitus remains","author":[{"dropping-particle":"","family":"Butkow","given":"W","non-dropping-particle":"","parse-names":false,"suffix":""},{"dropping-particle":"","family":"Chirwa","given":"T","non-dropping-particle":"","parse-names":false,"suffix":""},{"dropping-particle":"","family":"Butkow","given":"N","non-dropping-particle":"","parse-names":false,"suffix":""},{"dropping-particle":"","family":"Pinchevsky","given":"Y*","non-dropping-particle":"","parse-names":false,"suffix":""},{"dropping-particle":"","family":"Raal","given":"F J","non-dropping-particle":"","parse-names":false,"suffix":""},{"dropping-particle":"","family":"University of the Witwatersrand","given":"South Africa","non-dropping-particle":"","parse-names":false,"suffix":""}],"container-title":"Journal of Endocrinology, Metabolism and Diabetes of South Africa","id":"ITEM-1","issue":"3","issued":{"date-parts":[["2013","1","1"]]},"note":"Database Contributor: COMPOSITE RECORD; AFRICAN JOURNALS ONLINE [AJOL]; AFRICAN DEVELOPMENT DATABASE; HEALTHLIT. Database Contributor ID: jemdsa-99031; 1302371. Language: English. Document Type: Article. Publication Type: Peer-reviewed Article; Article. Accession Number: jemdsa-99031.","page":"154-158","publisher":"South Arican Medical Association","title":"The implementation of guidelines in a South African population with type 2 diabetes","type":"article-journal","volume":"18"},"uris":["http://www.mendeley.com/documents/?uuid=354d1b1b-0d97-412b-9458-530518b5931b"]}],"mendeley":{"formattedCitation":"(160)","manualFormatting":"[99","plainTextFormattedCitation":"(160)","previouslyFormattedCitation":"(164)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EC2E49">
              <w:rPr>
                <w:rFonts w:ascii="Times New Roman" w:hAnsi="Times New Roman" w:cs="Times New Roman"/>
                <w:noProof/>
                <w:color w:val="000000"/>
                <w:sz w:val="20"/>
                <w:szCs w:val="20"/>
                <w:lang w:val="en-US"/>
              </w:rPr>
              <w:t>88</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478E90D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Descriptive Cross-sectional </w:t>
            </w:r>
          </w:p>
        </w:tc>
        <w:tc>
          <w:tcPr>
            <w:tcW w:w="1194" w:type="dxa"/>
            <w:shd w:val="clear" w:color="auto" w:fill="auto"/>
            <w:noWrap/>
            <w:hideMark/>
          </w:tcPr>
          <w:p w14:paraId="43571FA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noWrap/>
            <w:hideMark/>
          </w:tcPr>
          <w:p w14:paraId="0065650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4CE20CA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Retrospective</w:t>
            </w:r>
          </w:p>
        </w:tc>
        <w:tc>
          <w:tcPr>
            <w:tcW w:w="850" w:type="dxa"/>
            <w:shd w:val="clear" w:color="auto" w:fill="auto"/>
            <w:noWrap/>
            <w:hideMark/>
          </w:tcPr>
          <w:p w14:paraId="170BF1E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666</w:t>
            </w:r>
          </w:p>
        </w:tc>
        <w:tc>
          <w:tcPr>
            <w:tcW w:w="1472" w:type="dxa"/>
            <w:shd w:val="clear" w:color="auto" w:fill="auto"/>
            <w:hideMark/>
          </w:tcPr>
          <w:p w14:paraId="404B2818"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identifying treatment gaps</w:t>
            </w:r>
            <w:r w:rsidRPr="000C26B9">
              <w:rPr>
                <w:rFonts w:ascii="Times New Roman" w:hAnsi="Times New Roman" w:cs="Times New Roman"/>
                <w:color w:val="000000"/>
                <w:sz w:val="20"/>
                <w:szCs w:val="20"/>
                <w:lang w:val="en-US"/>
              </w:rPr>
              <w:br/>
              <w:t>in the management of type 2 diabetes after implementation of guidelines</w:t>
            </w:r>
          </w:p>
        </w:tc>
      </w:tr>
      <w:tr w:rsidR="000F54D9" w:rsidRPr="000C26B9" w14:paraId="2A5A9352" w14:textId="77777777" w:rsidTr="00D05366">
        <w:trPr>
          <w:trHeight w:val="630"/>
        </w:trPr>
        <w:tc>
          <w:tcPr>
            <w:tcW w:w="1327" w:type="dxa"/>
            <w:shd w:val="clear" w:color="auto" w:fill="auto"/>
            <w:noWrap/>
            <w:hideMark/>
          </w:tcPr>
          <w:p w14:paraId="2FBD5B31" w14:textId="00E75FD1"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Pinchevsky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{"citationItems":[{"id":"ITEM-1","itemData":{"DOI":"10.5830/cvja-2015-050","ISBN":"1995-1892","abstract":"Objective: To examine and compare the extent to which people with type 2 diabetes (T2DM) are achieving haemoglobin A(1c) (HbA(1c)), blood pressure (BP) and LDL cholesterol (LDL-C) treatment targets. Methods: A review of databases (MEDLINE Ovid, Pubmed and Sabinet) was performed and limited to the following terms: type 2 diabetes mellitus AND guideline AND goal achievement for the years 2009 to 2014 (five years). Results: A total of 14 studies (25 629 patients) were selected across 19 different countries. An HbA(1c) level of 7.0% (or less) was achieved by 44.5% of subjects (range 19.2-70.5%), while 35.2% (range 7.4-66.3%) achieved BP of 130/80 mmHg (or less), and 51.4% (range 20.0-82.9%) had an LDL-C level of either 2.5 or 2.6 mmol/l (100 mg/dl or less). Conclusion: Despite guideline recommendations that lowering of HbA(1c) BP and lipids to target levels in T2DM will lead to a reduction in morbidity and mortality rates, we found that control of these risk factors remains suboptimal, even across different settings.","author":[{"dropping-particle":"","family":"Pinchevsky","given":"Y","non-dropping-particle":"","parse-names":false,"suffix":""},{"dropping-particle":"","family":"Butkow","given":"N","non-dropping-particle":"","parse-names":false,"suffix":""},{"dropping-particle":"","family":"Chirwa","given":"T","non-dropping-particle":"","parse-names":false,"suffix":""},{"dropping-particle":"","family":"Raal","given":"F J","non-dropping-particle":"","parse-names":false,"suffix":""}],"container-title":"Cardiovascular Journal of Africa","id":"ITEM-1","issue":"4","issued":{"date-parts":[["2015"]]},"note":"Pinchevsky, Y. Butkow, N. Chirwa, T. Raal, F. J.\nChirwa, Tobias/AAI-9087-2021\nPinchevsky, Yacob/0000-0002-7348-7740\n1680-0745","page":"188-192","title":"Glycaemic, blood pressure and cholesterol control in 25 629 diabetics","type":"article-journal","volume":"26"},"uris":["http://www.mendeley.com/documents/?uuid=a1e59a74-0ed8-49a0-9b63-199233d7ad12"]}],"mendeley":{"formattedCitation":"(161)","manualFormatting":"[100","plainTextFormattedCitation":"(161)","previouslyFormattedCitation":"(165)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89</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0E603E3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1D40A964"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2015</w:t>
            </w:r>
          </w:p>
        </w:tc>
        <w:tc>
          <w:tcPr>
            <w:tcW w:w="1238" w:type="dxa"/>
            <w:shd w:val="clear" w:color="auto" w:fill="auto"/>
            <w:noWrap/>
            <w:hideMark/>
          </w:tcPr>
          <w:p w14:paraId="54AF252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5E30985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noWrap/>
            <w:hideMark/>
          </w:tcPr>
          <w:p w14:paraId="095024C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261</w:t>
            </w:r>
          </w:p>
        </w:tc>
        <w:tc>
          <w:tcPr>
            <w:tcW w:w="1472" w:type="dxa"/>
            <w:shd w:val="clear" w:color="auto" w:fill="auto"/>
            <w:noWrap/>
            <w:hideMark/>
          </w:tcPr>
          <w:p w14:paraId="629FDFD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2C5F4CA7" w14:textId="77777777" w:rsidTr="00D05366">
        <w:trPr>
          <w:trHeight w:val="548"/>
        </w:trPr>
        <w:tc>
          <w:tcPr>
            <w:tcW w:w="1327" w:type="dxa"/>
            <w:shd w:val="clear" w:color="auto" w:fill="auto"/>
            <w:noWrap/>
            <w:hideMark/>
          </w:tcPr>
          <w:p w14:paraId="6FD27951" w14:textId="02A3609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Pinchevsky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{"citationItems":[{"id":"ITEM-1","itemData":{"DOI":"10.2147/IJGM.S119965","ISSN":"11787074","abstract":"Purpose: Our study set out to examine if disparities in control of glycated hemoglobin (HbA1c), blood pressure (BP), and low-density-lipoprotein cholesterol (LDL-C) existed among an urban multi-ethnic cohort of South Africans, living with type 2 diabetes mellitus (T2DM). Patients and methods: This longitudinal, retrospective study consisted of 261 men and women with previously diagnosed T2DM who attended Charlotte Maxeke Johannesburg Academic Hospital, South Africa across two time periods 2009 and 2013. Demographic and clinical data were extracted from consecutive medical records. The primary outcome was to determine achievements in HbA1c, BP, and LDL-C among ethnic groups using evidence-based goals. Results: The mean age of the cohort was 64 (±10.6) years, females represented 55%, and the self-reported diabetes duration was 16 (±10.6) years as at 2013. Black Africans (42.9%, n=112 of 261) were more likely to reach the HbA1c target (&lt;7%) and less likely to have had retinopathy, nephropathy, or cardiovascular disease. Over two-thirds of mixed-ancestry patients attained the BP target (&lt;140/80 mmHg), while 90.2% of Caucasians achieved LDL-C goals (&lt;2.5 mmol/L). Overall, across the ethnic groups studied, we found that HbA1c control deteriorated over time, although BP levels remained the same and LDL-C levels drastically improved. Conclusion: There was poor control of HbA1c, BP, and LDL-C across all ethnic groups. Although a minority achieved recommended targets, some ethnic groups appeared to have worse control than others. Timely aggressive actions in particularly high-risk ethnic groups will prevent/delay the complications commonly associated with T2DM.","author":[{"dropping-particle":"","family":"Pinchevsky","given":"Yacob","non-dropping-particle":"","parse-names":false,"suffix":""},{"dropping-particle":"","family":"Shukla","given":"Varada J.","non-dropping-particle":"","parse-names":false,"suffix":""},{"dropping-particle":"","family":"Butkow","given":"Neil","non-dropping-particle":"","parse-names":false,"suffix":""},{"dropping-particle":"","family":"Chirwa","given":"Tobias","non-dropping-particle":"","parse-names":false,"suffix":""},{"dropping-particle":"","family":"Raal","given":"Frederick","non-dropping-particle":"","parse-names":false,"suffix":""}],"container-title":"International Journal of General Medicine","id":"ITEM-1","issued":{"date-parts":[["2016"]]},"page":"419-426","title":"Multi-ethnic differences in HbA1c, blood pressure, and low-density-lipid cholesterol control among South Africans living with type 2 diabetes, after a 4-year follow-up","type":"article-journal","volume":"9"},"uris":["http://www.mendeley.com/documents/?uuid=ad1d1862-e703-4302-b1cb-a4c9fa2527f6"]}],"mendeley":{"formattedCitation":"(162)","manualFormatting":"[101","plainTextFormattedCitation":"(162)","previouslyFormattedCitation":"(166)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7885120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Retrospective study</w:t>
            </w:r>
          </w:p>
        </w:tc>
        <w:tc>
          <w:tcPr>
            <w:tcW w:w="1194" w:type="dxa"/>
            <w:shd w:val="clear" w:color="auto" w:fill="auto"/>
            <w:noWrap/>
            <w:hideMark/>
          </w:tcPr>
          <w:p w14:paraId="2411B59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2016</w:t>
            </w:r>
          </w:p>
        </w:tc>
        <w:tc>
          <w:tcPr>
            <w:tcW w:w="1238" w:type="dxa"/>
            <w:shd w:val="clear" w:color="auto" w:fill="auto"/>
            <w:noWrap/>
            <w:hideMark/>
          </w:tcPr>
          <w:p w14:paraId="567139D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50C536A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noWrap/>
            <w:hideMark/>
          </w:tcPr>
          <w:p w14:paraId="38CEE2C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261</w:t>
            </w:r>
          </w:p>
        </w:tc>
        <w:tc>
          <w:tcPr>
            <w:tcW w:w="1472" w:type="dxa"/>
            <w:shd w:val="clear" w:color="auto" w:fill="auto"/>
            <w:noWrap/>
            <w:hideMark/>
          </w:tcPr>
          <w:p w14:paraId="73DE25D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6DF69ADE" w14:textId="77777777" w:rsidTr="00D05366">
        <w:trPr>
          <w:trHeight w:val="630"/>
        </w:trPr>
        <w:tc>
          <w:tcPr>
            <w:tcW w:w="1327" w:type="dxa"/>
            <w:shd w:val="clear" w:color="auto" w:fill="auto"/>
            <w:noWrap/>
            <w:hideMark/>
          </w:tcPr>
          <w:p w14:paraId="5F0C7384" w14:textId="5185D5A3"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Pinchevsky</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{"citationItems":[{"id":"ITEM-1","itemData":{"DOI":"10.1155/2017/9536025","ISSN":"23146753","abstract":"MEDLINE Abstract: Aims:&lt;;BR&gt;The management of cardiometabolic goals or \"ABCs\" (HbA1c, blood pressure (BP), and cholesterol) ultimately determines the morbidity and mortality outcomes in patients with type 2 diabetes mellitus (T2DM). We sought to determine if patients with T2DM attending an urbanized public sector community health centre (CHC) were having their ABCs measured, were treated with appropriate cardioprotective agents and finally, were achieving guideline-based targets.&lt;;BR&gt;Methods and Results:&lt;;BR&gt;A cross-sectional record review of 519 patients was conducted between May and August 2015. The mean age was 54 years (SD: ±11.5) and 54% (&lt;;BR&gt;n&lt;;BR&gt;= 280) were females. Testing of ABCs occurred in 68.8% (&lt;;BR&gt;n&lt;;BR&gt;= 357) for HbA1c, 95.4% (&lt;;BR&gt;n&lt;;BR&gt;= 495) for BP, and 58.6% (&lt;;BR&gt;n&lt;;BR&gt;= 304) for LDL-C. Achievement of ABC targets was as follows: 19.3% (HbA1c &lt;; 7%), 22.0% (BP &lt;; 140/80 mmHg), and 56.3% (LDL-C &lt;; 2.5 mmol/l).&lt;;BR&gt;Conclusion:&lt;;BR&gt;There were a significant number of patients who were not tested nor received adequate pharmacotherapy or achieved their ABC targets. This places these patients at an increased risk for the development of diabetes-related complications. Although the realities of resource constraints exist in South Africa's public sector settings, a wider implementation of evidence-based guidelines must be instituted in order to ensure better patient outcomes.&lt;;BR&gt;","author":[{"dropping-particle":"","family":"Pinchevsky","given":"Yacob","non-dropping-particle":"","parse-names":false,"suffix":""},{"dropping-particle":"","family":"Butkow","given":"Neil","non-dropping-particle":"","parse-names":false,"suffix":""},{"dropping-particle":"","family":"Chirwa","given":"Tobias","non-dropping-particle":"","parse-names":false,"suffix":""},{"dropping-particle":"","family":"Raal","given":"Frederick","non-dropping-particle":"","parse-names":false,"suffix":""},{"dropping-particle":"","family":"PinchevskyYacob","given":"","non-dropping-particle":"","parse-names":false,"suffix":""},{"dropping-particle":"","family":"Butkow","given":"Neil","non-dropping-particle":"","parse-names":false,"suffix":""},{"dropping-particle":"","family":"Chirwa","given":"Tobias","non-dropping-particle":"","parse-names":false,"suffix":""},{"dropping-particle":"","family":"Raal","given":"Frederick","non-dropping-particle":"","parse-names":false,"suffix":""}],"container-title":"Journal of diabetes research","id":"ITEM-1","issued":{"date-parts":[["2017","1","1"]]},"note":"From Duplicate 1 (Treatment Gaps Found in the Management of Type 2 Diabetes at a Community Health Centre in Johannesburg, South Africa - PinchevskyYacob; Butkow, Neil; Chirwa, Tobias; Raal, Frederick)\n\nNote: CAS Registry Number: 97C5T2UQ7J; Address: Department of Pharmacy and Pharmacology, School of Therapeutic Sciences, Faculty of Health Sciences, University of the Witwatersrand, Johannesburg, South Africa.; Department of Pharmacy and Pharmacology, School of Therapeutic Sciences, Faculty of Health Sciences, University of the Witwatersrand, Johannesburg, South Africa.; Division of Epidemiology and Biostatistics, School of Public Health, Faculty of Health Sciences, University of the Witwatersrand, Johannesburg, South Africa.; Carbohydrate and Lipid Metabolism Research Unit, Division of Endocrinology and Metabolism, Faculty of Health Sciences, University of the Witwatersrand, Johannesburg, South Africa; Record Source: This record is provided from the MEDLINE database of the National Library of Medicine (NLM), United States. The index terms may have been modified to conform with terminology used throughout the database. Database Contributor: MEDLINE. Database Contributor ID: 29130053. Language: English. Document Type: Article. Publication Type: Journal Article. Accession Number: 29130053.","page":"9536025","title":"Treatment Gaps Found in the Management of Type 2 Diabetes at a Community Health Centre in Johannesburg, South Africa","type":"article-journal","volume":"2017"},"uris":["http://www.mendeley.com/documents/?uuid=b6935ab6-d762-48a8-ba4c-b79f3e0766bc"]}],"mendeley":{"formattedCitation":"(163)","manualFormatting":"[102","plainTextFormattedCitation":"(163)","previouslyFormattedCitation":"(167)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7BB8686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6C8AA61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1E11A1E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257C2E8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Type 2 diabetes; ≥18 years </w:t>
            </w:r>
          </w:p>
        </w:tc>
        <w:tc>
          <w:tcPr>
            <w:tcW w:w="850" w:type="dxa"/>
            <w:shd w:val="clear" w:color="auto" w:fill="auto"/>
            <w:noWrap/>
            <w:hideMark/>
          </w:tcPr>
          <w:p w14:paraId="28109E59"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519</w:t>
            </w:r>
          </w:p>
        </w:tc>
        <w:tc>
          <w:tcPr>
            <w:tcW w:w="1472" w:type="dxa"/>
            <w:shd w:val="clear" w:color="auto" w:fill="auto"/>
            <w:hideMark/>
          </w:tcPr>
          <w:p w14:paraId="20977880"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treatment gaps in the management of type 2 diabetes</w:t>
            </w:r>
          </w:p>
        </w:tc>
      </w:tr>
      <w:tr w:rsidR="000F54D9" w:rsidRPr="000C26B9" w14:paraId="00918C42" w14:textId="77777777" w:rsidTr="00D05366">
        <w:trPr>
          <w:trHeight w:val="630"/>
        </w:trPr>
        <w:tc>
          <w:tcPr>
            <w:tcW w:w="1327" w:type="dxa"/>
            <w:shd w:val="clear" w:color="auto" w:fill="auto"/>
            <w:noWrap/>
            <w:hideMark/>
          </w:tcPr>
          <w:p w14:paraId="28A024B8" w14:textId="7E5E6E6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Pirie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{"citationItems":[{"id":"ITEM-1","itemData":{"DOI":"10.1016/j.jcte.2013.12.002","ISSN":"22146237","abstract":"Aim: To determine the prevalence of clinical and laboratory variables and genetic polymorphisms in association with diabetic retinopathy (DR) in subjects with type 2 diabetes attending a tertiary referral diabetes clinic in Durban, South Africa. Methods: Cross-sectional study on 292 Indian and African patients with type 2 diabetes (71.5% women). The presence of DR was determined by direct ophthalmoscopy. Clinical and laboratory data were collected and polymorphisms in the NOS3 (rs61722009, rs2070744, rs1799983) and VEGF (rs35569394, rs2010963) genes were determined. Results: DR was present in 113 (39%) subjects. Those with DR were older (60.6 ± 9.6 vs. 55.4 ± 12.9 years, p = 0.005), had longer duration diabetes (18.5 ± 8.8 vs. 11.9 ± 9.2 years, p &lt; 0.0001), higher HbA1c (9.2 ± 1.8 vs. 8.8 ± 1.7%, p = 0.049), serum creatinine (106.3 ± 90.2 vs. 75.2 ± 33.4 mmol/l), triglycerides (2.1 ± 1.2 vs. 1.9 ± 1.6 mmol/l, p = 0.042), proteinuria (72% vs. 28%, p = 0.001), and used more insulin (78% vs. 39% p = 0.0001), anti-hypertensive (95% vs. 80%, p = 0.0003) and lipid-lowering therapy (70% vs. 56%, p = 0.023). There was no association between DR and any of the NOS3 or VEGF gene polymorphisms studied, although there were ethnic differences. After adjustment, diabetes duration (OR 1.05, 95% CI 1.01-1.08), presence of proteinuria (OR 4.15, 95% CI 1.70-10.11) and use of insulin therapy (OR 3.38, 95% CI 1.60-7.12) were associated with DR. Conclusion: Hyperglycemia, duration of diabetes and proteinuria are associated with DR in Indian and African patients in South Africa, whereas NOS3 and VEGF gene polymorphisms were not associated with DR. © 2014 Elsevier Inc. All rights reserved.","author":[{"dropping-particle":"","family":"Pirie","given":"F. J.","non-dropping-particle":"","parse-names":false,"suffix":""},{"dropping-particle":"","family":"Maharaj","given":"S.","non-dropping-particle":"","parse-names":false,"suffix":""},{"dropping-particle":"","family":"Esterhuizen","given":"T. M.","non-dropping-particle":"","parse-names":false,"suffix":""},{"dropping-particle":"","family":"Paruk","given":"I. M.","non-dropping-particle":"","parse-names":false,"suffix":""},{"dropping-particle":"","family":"Motala","given":"A. A.","non-dropping-particle":"","parse-names":false,"suffix":""}],"container-title":"Journal of Clinical and Translational Endocrinology","id":"ITEM-1","issue":"1","issued":{"date-parts":[["2014"]]},"page":"e9","publisher":"Elsevier Inc","title":"Retinopathy in subjects with type 2 diabetes at a tertiary diabetes clinic in Durban, South Africa: Clinical, biochemical and genetic factors","type":"article-journal","volume":"1"},"uris":["http://www.mendeley.com/documents/?uuid=916a72d2-6c9f-4cd7-a251-126b401aa458"]}],"mendeley":{"formattedCitation":"(164)","manualFormatting":"[103","plainTextFormattedCitation":"(164)","previouslyFormattedCitation":"(168)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2AD7A3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7437565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2014</w:t>
            </w:r>
          </w:p>
        </w:tc>
        <w:tc>
          <w:tcPr>
            <w:tcW w:w="1238" w:type="dxa"/>
            <w:shd w:val="clear" w:color="auto" w:fill="auto"/>
            <w:noWrap/>
            <w:hideMark/>
          </w:tcPr>
          <w:p w14:paraId="09F936A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38B385A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noWrap/>
            <w:hideMark/>
          </w:tcPr>
          <w:p w14:paraId="5A1B4CB4"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292</w:t>
            </w:r>
          </w:p>
        </w:tc>
        <w:tc>
          <w:tcPr>
            <w:tcW w:w="1472" w:type="dxa"/>
            <w:shd w:val="clear" w:color="auto" w:fill="auto"/>
            <w:noWrap/>
            <w:hideMark/>
          </w:tcPr>
          <w:p w14:paraId="645A8AF4"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t xml:space="preserve">a </w:t>
            </w:r>
            <w:r w:rsidRPr="000C26B9">
              <w:rPr>
                <w:rFonts w:ascii="Times New Roman" w:hAnsi="Times New Roman" w:cs="Times New Roman"/>
                <w:color w:val="000000"/>
                <w:sz w:val="20"/>
                <w:szCs w:val="20"/>
                <w:lang w:val="en-US"/>
              </w:rPr>
              <w:t>predictor of diabetic retinopathy</w:t>
            </w:r>
          </w:p>
        </w:tc>
      </w:tr>
      <w:tr w:rsidR="000F54D9" w:rsidRPr="000C26B9" w14:paraId="4FE63112" w14:textId="77777777" w:rsidTr="00D05366">
        <w:trPr>
          <w:trHeight w:val="630"/>
        </w:trPr>
        <w:tc>
          <w:tcPr>
            <w:tcW w:w="1327" w:type="dxa"/>
            <w:shd w:val="clear" w:color="auto" w:fill="auto"/>
            <w:noWrap/>
            <w:hideMark/>
          </w:tcPr>
          <w:p w14:paraId="6ABE7CBE" w14:textId="59E2E413"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Ramkisson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{"citationItems":[{"id":"ITEM-1","itemData":{"DOI":"10.4102/phcfm.v9i1.1405","ISBN":"2071-2928","abstract":"Background: The diagnosis of diabetes has been described as a lifelong psychological burden on the patient and his or her family. Social support plays a pivotal role in patients with diabetes and is important in enabling them to cope effectively with the disease. There is a dearth of research on social support and coping in patients with diabetes in South Africa. Objectives: The aim of this study was to explore whether patients with poor perceived social support have lower levels of well-being and coping than patients with good social support. Method: A cross-sectional study was conducted at both public and private facilities on the north coast of KwaZulu-Natal, South Africa. The Diabetes Care Profile (DCP), the General Health Questionnaire (GHQ), the Social Support Questionnaire (SSQ) and the WHO-5 Wellbeing Index (WHO-5) were administered to 401 participants. Results: The findings indicate that there is an inverse relationship between social support and coping, which suggests that an increase in social support is associated with a decrease in emotional distress. There was a small positive correlation between the SSQ and the WHO-5, which suggests participants who had good support endorsed better levels of well-being. Although participants indicated that they were satisfied with their level of support, they had poor coping as indicated by the high mean score on the GHQ and the high HbA1c level. There was a small positive correlation between GHQ and HbA1c. There was no association between social support and HbA1c. Conclusion: Social support is important in helping the patient with diabetes cope with the disease and to improve adherence to treatment. Health care providers should take cognisance of psychosocial factors in the treatment regime of the patient. Family members should be educated about diabetes, the importance of adherence and long-term complications of the disease.","author":[{"dropping-particle":"","family":"Ramkisson","given":"S","non-dropping-particle":"","parse-names":false,"suffix":""},{"dropping-particle":"","family":"Pillay","given":"B J","non-dropping-particle":"","parse-names":false,"suffix":""},{"dropping-particle":"","family":"Sibanda","given":"W","non-dropping-particle":"","parse-names":false,"suffix":""}],"container-title":"African journal of primary health care &amp; family medicine","id":"ITEM-1","issue":"1","issued":{"date-parts":[["2017"]]},"note":"Ramkisson, Samantha Pillay, Basil J. Sibanda, Wilbert\n2071-2936","title":"Social support and coping in adults with type 2 diabetes","type":"article-journal","volume":"9"},"uris":["http://www.mendeley.com/documents/?uuid=3dc8c8c8-d29d-476e-aadf-8ce183ca824a"]}],"mendeley":{"formattedCitation":"(165)","manualFormatting":"[104","plainTextFormattedCitation":"(165)","previouslyFormattedCitation":"(169)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28C46AC7"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12412CDC"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6962C23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0CC1D76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≥18 years</w:t>
            </w:r>
          </w:p>
        </w:tc>
        <w:tc>
          <w:tcPr>
            <w:tcW w:w="850" w:type="dxa"/>
            <w:shd w:val="clear" w:color="auto" w:fill="auto"/>
            <w:noWrap/>
            <w:hideMark/>
          </w:tcPr>
          <w:p w14:paraId="03725ED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401</w:t>
            </w:r>
          </w:p>
        </w:tc>
        <w:tc>
          <w:tcPr>
            <w:tcW w:w="1472" w:type="dxa"/>
            <w:shd w:val="clear" w:color="auto" w:fill="auto"/>
            <w:noWrap/>
            <w:hideMark/>
          </w:tcPr>
          <w:p w14:paraId="55AC592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3CC8B363" w14:textId="77777777" w:rsidTr="00D05366">
        <w:trPr>
          <w:trHeight w:val="630"/>
        </w:trPr>
        <w:tc>
          <w:tcPr>
            <w:tcW w:w="1327" w:type="dxa"/>
            <w:shd w:val="clear" w:color="auto" w:fill="auto"/>
            <w:noWrap/>
            <w:hideMark/>
          </w:tcPr>
          <w:p w14:paraId="4CF566F1" w14:textId="01C0BB8D"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Rwegerera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{"citationItems":[{"id":"ITEM-1","itemData":{"DOI":"10.2147/dmso.S285720","ISBN":"1178-7007","abstract":"Purpose: We primarily aimed at determining the prevalence of metabolic syndrome and abnormal individual metabolic control variables in HIV-infected participants as compared to HIV-uninfected participants given current concerns. Our secondary objective was to determine the predictors of metabolic syndrome and individual metabolic control variables among the study participants to guide future management. Patients and Methods: A descriptive, case-matched cross-sectional study for four months from 15th June 2019 to 15th October 2019 at Block 6 Diabetes Reference Clinic in Gaborone, Botswana. We compared the proportions of metabolic syndrome and individual metabolic control variables based on gender and HIV status by means of bivariate analysis (Chi-squared test or Fisher's exact test) to determine factors associated with metabolic control. A p-value of less than 0.05 was considered statistically significant. Results: Overall, 86% of the study participants were found to have metabolic syndrome by International Diabetes Federation (IDF) criteria with 79.8% among HIV-infected and 89.1% among HIV-negative participants (p-value=0.018). Older age was significantly associated with metabolic syndrome (p-value=0.008). Female gender was significantly associated with metabolic syndrome as compared to male gender (P-value &lt; 0.001), and with a statistically significant higher proportion of low HDL-C compared to males (P-value &lt; 0.001). Female participants were significantly more likely to be obese as compared to males (P-value &lt; 0.001). High triglycerides were more common in HIV-infected compared to HIV-negative participants (P-value=0.004). HIV-negative participants were more likely to be obese as compared to HIV-infected participants (P-value=0.003). Conclusion: Metabolic syndrome is an appreciable problem in this tertiary clinic in Botswana for both HIV-infected and HIV-negative participants. Future prospective studies are warranted in our setting and similar sub-Saharan settings to enhance understanding of the role played by HAART in causing the metabolic syndrome, and the implications for future patient management.","author":[{"dropping-particle":"","family":"Rwegerera","given":"G M","non-dropping-particle":"","parse-names":false,"suffix":""},{"dropping-particle":"","family":"Shailemo","given":"D H P","non-dropping-particle":"","parse-names":false,"suffix":""},{"dropping-particle":"","family":"Rivera","given":"Y P","non-dropping-particle":"","parse-names":false,"suffix":""},{"dropping-particle":"","family":"Mokgosi","given":"K O","non-dropping-particle":"","parse-names":false,"suffix":""},{"dropping-particle":"","family":"Bale","given":"P","non-dropping-particle":"","parse-names":false,"suffix":""},{"dropping-particle":"","family":"Oyewo","given":"T A","non-dropping-particle":"","parse-names":false,"suffix":""},{"dropping-particle":"","family":"Luis","given":"B D","non-dropping-particle":"","parse-names":false,"suffix":""},{"dropping-particle":"","family":"Habte","given":"D","non-dropping-particle":"","parse-names":false,"suffix":""},{"dropping-particle":"","family":"Godman","given":"B","non-dropping-particle":"","parse-names":false,"suffix":""}],"container-title":"Diabetes Metabolic Syndrome and Obesity-Targets and Therapy","id":"ITEM-1","issued":{"date-parts":[["2021"]]},"note":"Rwegerera, Godfrey Mutashambara Shailemo, Dorothea H. P. Rivera, Yordanka Pina Mokgosi, Kathryn O. Bale, Portia Oyewo, Taibat Aderonke Luis, Bruno Diaz Habte, Dereje Godman, Brian\nRwegerera, Godfrey Mutashambara/J-1475-2019\nRwegerera, Godfrey Mutashambara/0000-0002-5896-6065; Godman, Brian/0000-0001-6539-6972","page":"85-97","title":"Metabolic Control and Determinants Among HIV-Infected Type 2 Diabetes Mellitus Patients Attending a Tertiary Clinic in Botswana","type":"article-journal","volume":"14"},"uris":["http://www.mendeley.com/documents/?uuid=7e32b20e-e45e-46a1-9ee4-cdfc8ac6340a"]}],"mendeley":{"formattedCitation":"(166)","manualFormatting":"[105","plainTextFormattedCitation":"(166)","previouslyFormattedCitation":"(170)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7D7AF88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r w:rsidRPr="000C26B9">
              <w:rPr>
                <w:rFonts w:ascii="Times New Roman" w:hAnsi="Times New Roman" w:cs="Times New Roman"/>
                <w:color w:val="000000"/>
                <w:sz w:val="20"/>
                <w:szCs w:val="20"/>
                <w:lang w:val="en-US"/>
              </w:rPr>
              <w:br/>
              <w:t xml:space="preserve"> </w:t>
            </w:r>
          </w:p>
        </w:tc>
        <w:tc>
          <w:tcPr>
            <w:tcW w:w="1194" w:type="dxa"/>
            <w:shd w:val="clear" w:color="auto" w:fill="auto"/>
            <w:noWrap/>
            <w:hideMark/>
          </w:tcPr>
          <w:p w14:paraId="719C353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2021</w:t>
            </w:r>
          </w:p>
        </w:tc>
        <w:tc>
          <w:tcPr>
            <w:tcW w:w="1238" w:type="dxa"/>
            <w:shd w:val="clear" w:color="auto" w:fill="auto"/>
            <w:noWrap/>
            <w:hideMark/>
          </w:tcPr>
          <w:p w14:paraId="10B3775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Botswana</w:t>
            </w:r>
          </w:p>
        </w:tc>
        <w:tc>
          <w:tcPr>
            <w:tcW w:w="1761" w:type="dxa"/>
            <w:shd w:val="clear" w:color="auto" w:fill="auto"/>
            <w:hideMark/>
          </w:tcPr>
          <w:p w14:paraId="4FF6537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with and without HIV infection</w:t>
            </w:r>
          </w:p>
        </w:tc>
        <w:tc>
          <w:tcPr>
            <w:tcW w:w="850" w:type="dxa"/>
            <w:shd w:val="clear" w:color="auto" w:fill="auto"/>
            <w:hideMark/>
          </w:tcPr>
          <w:p w14:paraId="37EDF18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357</w:t>
            </w:r>
          </w:p>
        </w:tc>
        <w:tc>
          <w:tcPr>
            <w:tcW w:w="1472" w:type="dxa"/>
            <w:shd w:val="clear" w:color="auto" w:fill="auto"/>
            <w:noWrap/>
            <w:hideMark/>
          </w:tcPr>
          <w:p w14:paraId="3E5778F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203360E8" w14:textId="77777777" w:rsidTr="00D05366">
        <w:trPr>
          <w:trHeight w:val="1340"/>
        </w:trPr>
        <w:tc>
          <w:tcPr>
            <w:tcW w:w="1327" w:type="dxa"/>
            <w:shd w:val="clear" w:color="auto" w:fill="auto"/>
            <w:noWrap/>
            <w:hideMark/>
          </w:tcPr>
          <w:p w14:paraId="7A96A904" w14:textId="49D08BAA"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Sadik</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{"citationItems":[{"id":"ITEM-1","itemData":{"DOI":"10.18502/sjms.v12i4.1354","ISBN":"1858-5051","abstract":"Background: Recent literature reports show large interest in ischemic modified albumin (IMA) biochemical marker for detection of myocardial injury. Special attention is focused in estimation of IMA test for the diagnosis and evaluation of myocardial ischemia as well as others acute coronary syndrome in emergency patients. Objective: evaluation of ischemia-modified albumin (IMA) in well controlled and uncontrolled patients with type 2 diabetes mellitus and estimation of its connection with cardiovascular disease. Measurement the levelof IMA as risk marker for cardio vascular disease (CVD) in diabetic patients that arrived to emergency department with signs and symptoms of CVD. Methodology: 140 subjects enrolled in this study,70 diabetes mellitus patients with signs and symptoms of CVD, and other 70 apparently non diabetic healthy subjects' as controls,, the levels of biomarker IMA was measured as the risk marker of CVDin controlled and uncontrolled diabeticpatients with type2, the Diagnostic potential was evaluated by receiver operating characteristic analysis and their relationships were analyzed. This study was done in Shab Hospital, Khartoum. Period from 1st of February 2015 to October 2015. Results: The results showed that CVD were predominant among diabetic female 57 % and peaked at age 75.5 years among 40-75 year old. The IMA was significantly increase in diabetic patients when compare with normal healthy group with cut off value (0.97 IU/L), and there is also significantly increase in IMA level in uncontrolled diabetic patients (Mean +/- SD; 14.70 + 10.66) that presented with acute chest pain and havea signs and symptoms of cardiac ischemia when compared with the well-controlled diabetic patients(Mean +/- SD; 3.74 +/- 3.68). controlled and uncontrolled diabetic patients were determined by the level of their HBA1c and comparison with the means of IMA level in their serum. Conclusions: increase IMA level in poor control and long stand diabetic patients could help to identify the higher risk for develop to CVD, and The most common complication such as suffering from local or systemic hypoxic conditions, as acute ischemic stroke, peripheral vascular disease.","author":[{"dropping-particle":"","family":"Sadik","given":"I","non-dropping-particle":"","parse-names":false,"suffix":""},{"dropping-particle":"","family":"Yagoub","given":"Z","non-dropping-particle":"","parse-names":false,"suffix":""},{"dropping-particle":"","family":"Sayed","given":"N","non-dropping-particle":"","parse-names":false,"suffix":""},{"dropping-particle":"","family":"Nour","given":"A","non-dropping-particle":"El","parse-names":false,"suffix":""},{"dropping-particle":"","family":"Hameed","given":"M A","non-dropping-particle":"El","parse-names":false,"suffix":""},{"dropping-particle":"","family":"Abid","given":"S B","non-dropping-particle":"","parse-names":false,"suffix":""}],"container-title":"Sudan Journal of Medical Sciences","id":"ITEM-1","issue":"4","issued":{"date-parts":[["2017"]]},"note":"Sadik, I Yagoub, Z. Sayed, N. El Nour, A. El Hameed, Abide M. Abid, Satee B.","page":"231-239","title":"The Level of Ischemic Modified Albumin (IMA) as Risk Marker for Cardio Vascular Disease (CVD) among some diabetic patients (type II) in Khartoum State-Sudan","type":"article-journal","volume":"12"},"uris":["http://www.mendeley.com/documents/?uuid=5bd6d22d-5c4f-4c83-aab3-ae4a0e14adab"]}],"mendeley":{"formattedCitation":"(167)","manualFormatting":"[106","plainTextFormattedCitation":"(167)","previouslyFormattedCitation":"(171)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Pr>
                <w:rFonts w:ascii="Times New Roman" w:hAnsi="Times New Roman" w:cs="Times New Roman"/>
                <w:color w:val="000000"/>
                <w:sz w:val="20"/>
                <w:szCs w:val="20"/>
                <w:lang w:val="en-US"/>
              </w:rPr>
              <w:fldChar w:fldCharType="end"/>
            </w:r>
            <w:r w:rsidR="001329F5">
              <w:rPr>
                <w:rFonts w:ascii="Times New Roman" w:hAnsi="Times New Roman" w:cs="Times New Roman"/>
                <w:color w:val="000000"/>
                <w:sz w:val="20"/>
                <w:szCs w:val="20"/>
                <w:lang w:val="en-US"/>
              </w:rPr>
              <w:t>95</w:t>
            </w:r>
            <w:r>
              <w:rPr>
                <w:rFonts w:ascii="Times New Roman" w:hAnsi="Times New Roman" w:cs="Times New Roman"/>
                <w:color w:val="000000"/>
                <w:sz w:val="20"/>
                <w:szCs w:val="20"/>
                <w:lang w:val="en-US"/>
              </w:rPr>
              <w:t>]</w:t>
            </w:r>
          </w:p>
        </w:tc>
        <w:tc>
          <w:tcPr>
            <w:tcW w:w="1440" w:type="dxa"/>
            <w:shd w:val="clear" w:color="auto" w:fill="auto"/>
            <w:hideMark/>
          </w:tcPr>
          <w:p w14:paraId="00DEE64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Quantitively</w:t>
            </w:r>
            <w:r w:rsidRPr="000C26B9">
              <w:rPr>
                <w:rFonts w:ascii="Times New Roman" w:hAnsi="Times New Roman" w:cs="Times New Roman"/>
                <w:color w:val="000000"/>
                <w:sz w:val="20"/>
                <w:szCs w:val="20"/>
                <w:lang w:val="en-US"/>
              </w:rPr>
              <w:br/>
              <w:t xml:space="preserve">exploratory descriptive </w:t>
            </w:r>
            <w:r w:rsidRPr="000C26B9">
              <w:rPr>
                <w:rFonts w:ascii="Times New Roman" w:hAnsi="Times New Roman" w:cs="Times New Roman"/>
                <w:color w:val="000000"/>
                <w:sz w:val="20"/>
                <w:szCs w:val="20"/>
                <w:lang w:val="en-US"/>
              </w:rPr>
              <w:br/>
              <w:t>research study</w:t>
            </w:r>
          </w:p>
        </w:tc>
        <w:tc>
          <w:tcPr>
            <w:tcW w:w="1194" w:type="dxa"/>
            <w:shd w:val="clear" w:color="auto" w:fill="auto"/>
            <w:noWrap/>
            <w:hideMark/>
          </w:tcPr>
          <w:p w14:paraId="02360EE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6EE5D80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Sudan</w:t>
            </w:r>
          </w:p>
        </w:tc>
        <w:tc>
          <w:tcPr>
            <w:tcW w:w="1761" w:type="dxa"/>
            <w:shd w:val="clear" w:color="auto" w:fill="auto"/>
            <w:hideMark/>
          </w:tcPr>
          <w:p w14:paraId="029E8244"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with manifestations</w:t>
            </w:r>
            <w:r w:rsidRPr="000C26B9">
              <w:rPr>
                <w:rFonts w:ascii="Times New Roman" w:hAnsi="Times New Roman" w:cs="Times New Roman"/>
                <w:color w:val="000000"/>
                <w:sz w:val="20"/>
                <w:szCs w:val="20"/>
                <w:lang w:val="en-US"/>
              </w:rPr>
              <w:br/>
              <w:t xml:space="preserve">suggestive of </w:t>
            </w:r>
            <w:r w:rsidRPr="000C26B9">
              <w:rPr>
                <w:rFonts w:ascii="Times New Roman" w:hAnsi="Times New Roman" w:cs="Times New Roman"/>
                <w:color w:val="000000"/>
                <w:sz w:val="20"/>
                <w:szCs w:val="20"/>
                <w:lang w:val="en-US"/>
              </w:rPr>
              <w:br/>
              <w:t xml:space="preserve">acute myocardial </w:t>
            </w:r>
            <w:r w:rsidRPr="000C26B9">
              <w:rPr>
                <w:rFonts w:ascii="Times New Roman" w:hAnsi="Times New Roman" w:cs="Times New Roman"/>
                <w:color w:val="000000"/>
                <w:sz w:val="20"/>
                <w:szCs w:val="20"/>
                <w:lang w:val="en-US"/>
              </w:rPr>
              <w:br/>
              <w:t xml:space="preserve">ischemia and healthy controls </w:t>
            </w:r>
          </w:p>
        </w:tc>
        <w:tc>
          <w:tcPr>
            <w:tcW w:w="850" w:type="dxa"/>
            <w:shd w:val="clear" w:color="auto" w:fill="auto"/>
            <w:hideMark/>
          </w:tcPr>
          <w:p w14:paraId="15F82886"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140</w:t>
            </w:r>
          </w:p>
        </w:tc>
        <w:tc>
          <w:tcPr>
            <w:tcW w:w="1472" w:type="dxa"/>
            <w:shd w:val="clear" w:color="auto" w:fill="auto"/>
            <w:noWrap/>
            <w:hideMark/>
          </w:tcPr>
          <w:p w14:paraId="6C374A8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37F764A0" w14:textId="77777777" w:rsidTr="00D05366">
        <w:trPr>
          <w:trHeight w:val="630"/>
        </w:trPr>
        <w:tc>
          <w:tcPr>
            <w:tcW w:w="1327" w:type="dxa"/>
            <w:shd w:val="clear" w:color="auto" w:fill="auto"/>
            <w:noWrap/>
            <w:hideMark/>
          </w:tcPr>
          <w:p w14:paraId="6E1976ED" w14:textId="2223F5FB"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Shimels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{"citationItems":[{"id":"ITEM-1","itemData":{"DOI":"10.1371/journal.pone.0249222","ISSN":"1932-6203 (Electronic)","PMID":"33822807","abstract":"OBJECTIVE: This study aims to assess the magnitude and associated factors of poor  medication adherence among diabetic and hypertensive patients visiting public health facilities in Addis Ababa, Ethiopia during the COVID-19 pandemic. METHODS: A multi-site cross-sectional design was conducted from 1st through 30th of August 2020 at public health facilities of the study area. Adult outpatients with T2DM and hypertension visiting hospitals and health centers were included in the study. A proportion to size allocation method was used to determine the required sample size per facility. Data was collected using the 8-item Morisky medication adherence scale. Descriptive statistics and binary logistic regression were used to analyze data. A 95% confidence interval and p≤0.05 statistical significance was considered to determine factors associated with poor medication adherence. RESULTS: A total of 409 patients were included in the present study. About 57% of the patients reported that the COVID-19 pandemic has posed negative impacts on either of their follow-up visits, availability of medications, or affordability of prices. And, 21% have reported that they have been affected in all aspects. The overall magnitude of poor medication adherence was 72%. Patients with extreme poverty were more likely to have good medication adherence (AOR: 0.59; 95%C.I: 0.36-0.97), whereas attendance to a health center (AOR: 1.71; 95%C.I: 1.02-2.85), presence of comorbidity (AOR: 2.05; 95%C.I: 1.13-3.71), and current substance use history (AOR: 11.57; 95%C.I: 1.52-88.05) predicted high odds of poor adherence. CONCLUSION: Over a three-fourth of the patients, in the study setting, have poor adherence to their anti-diabetic and antihypertensive medications. Health facility type, income level, comorbidity, and current substance use history showed a statistically significant association with poor adherence to medication. Stakeholders should set alternative strategies as perceived impacts of the COVID-19 pandemic on medication adherence are high in the study area.","author":[{"dropping-particle":"","family":"Shimels","given":"Tariku","non-dropping-particle":"","parse-names":false,"suffix":""},{"dropping-particle":"","family":"Asrat Kassu","given":"Rodas","non-dropping-particle":"","parse-names":false,"suffix":""},{"dropping-particle":"","family":"Bogale","given":"Gelila","non-dropping-particle":"","parse-names":false,"suffix":""},{"dropping-particle":"","family":"Bekele","given":"Mahteme","non-dropping-particle":"","parse-names":false,"suffix":""},{"dropping-particle":"","family":"Getnet","given":"Melsew","non-dropping-particle":"","parse-names":false,"suffix":""},{"dropping-particle":"","family":"Getachew","given":"Abrham","non-dropping-particle":"","parse-names":false,"suffix":""},{"dropping-particle":"","family":"Shewamene","given":"Zewdneh","non-dropping-particle":"","parse-names":false,"suffix":""},{"dropping-particle":"","family":"Abraha","given":"Mebratu","non-dropping-particle":"","parse-names":false,"suffix":""}],"container-title":"PloS one","id":"ITEM-1","issue":"4","issued":{"date-parts":[["2021"]]},"language":"eng","page":"e0249222","title":"Magnitude and associated factors of poor medication adherence among diabetic and  hypertensive patients visiting public health facilities in Ethiopia during the COVID-19 pandemic.","type":"article-journal","volume":"16"},"uris":["http://www.mendeley.com/documents/?uuid=5c44abb6-f627-49ac-ab2f-c4fa67703d4b"]}],"mendeley":{"formattedCitation":"(168)","manualFormatting":"[107","plainTextFormattedCitation":"(168)","previouslyFormattedCitation":"(172)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1F4495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73AEC0DB"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2021</w:t>
            </w:r>
          </w:p>
        </w:tc>
        <w:tc>
          <w:tcPr>
            <w:tcW w:w="1238" w:type="dxa"/>
            <w:shd w:val="clear" w:color="auto" w:fill="auto"/>
            <w:noWrap/>
            <w:hideMark/>
          </w:tcPr>
          <w:p w14:paraId="1229967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607ECF8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Diabetic hypertensive patients</w:t>
            </w:r>
          </w:p>
        </w:tc>
        <w:tc>
          <w:tcPr>
            <w:tcW w:w="850" w:type="dxa"/>
            <w:shd w:val="clear" w:color="auto" w:fill="auto"/>
            <w:hideMark/>
          </w:tcPr>
          <w:p w14:paraId="7BEBC4D4"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409</w:t>
            </w:r>
          </w:p>
        </w:tc>
        <w:tc>
          <w:tcPr>
            <w:tcW w:w="1472" w:type="dxa"/>
            <w:shd w:val="clear" w:color="auto" w:fill="auto"/>
            <w:hideMark/>
          </w:tcPr>
          <w:p w14:paraId="1EEAFCF7"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adherence to medication, glycaemic control not assessed</w:t>
            </w:r>
          </w:p>
        </w:tc>
      </w:tr>
      <w:tr w:rsidR="000F54D9" w:rsidRPr="000C26B9" w14:paraId="7B861A96" w14:textId="77777777" w:rsidTr="00D05366">
        <w:trPr>
          <w:trHeight w:val="1412"/>
        </w:trPr>
        <w:tc>
          <w:tcPr>
            <w:tcW w:w="1327" w:type="dxa"/>
            <w:shd w:val="clear" w:color="auto" w:fill="auto"/>
            <w:noWrap/>
            <w:hideMark/>
          </w:tcPr>
          <w:p w14:paraId="28DC2040" w14:textId="24AF2AC3"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Randeree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{"citationItems":[{"id":"ITEM-1","itemData":{"DOI":"10.1007/s13300-013-0026-y","ISBN":"1869-6953","abstract":"Introduction: This sub-analysis evaluated clinical safety and effectiveness of bolus insulin aspart [with/without oral glucose-lowering drugs (OGLDs)] as the only insulin therapy. Methods: A(1)chieve was an international, multicenter, prospective, open-label, non-interventional, observational, 24-week study in people with type 2 diabetes mellitus starting/switching to biphasic insulin aspart 30, insulin detemir or insulin aspart treatment (alone/in combination) in routine clinical practice. This sub-analysis evaluated clinical safety and effectiveness of bolus insulin aspart (+/- OGLDs) as the only insulin therapy. Data were analyzed for all patients, insulin-experienced and insulin-naive sub-groups, and sub-groups defined by the number of OGLDs prescribed at baseline (no OGLDs, one OGLD or &gt;= two OGLDs). Safety and effectiveness endpoints were assessed at baseline and following 24 weeks' therapy. Results: In total, 2,026 patients were included (insulin-experienced, n = 561; insulin-naive, n = 1,465) in this sub-analysis. Significant improvements from baseline after 24 weeks' treatment with insulin aspart +/- OGLDs were observed across all sub-groups for: glycated hemoglobin (range of means across sub-groups -1.6 to -2.4%; p &lt; 0.001 for all comparisons), fasting plasma glucose (-2.5 to -3.8 mmol/l; p &lt; 0.001 for all comparisons), post-breakfast post-prandial glucose (-3.4 to -5.8 mmol/l; p &lt; 0.001 for all comparisons), and health-related quality of life (HRQoL; p &lt; 0.001 for all comparisons). The proportion of patients reporting hypoglycemia events was significantly reduced from baseline after 24 weeks (insulin-naive cohort: 7.9-2.8%; p &lt; 0.001; insulin-experienced cohort: 23.2-7.8%; p &lt; 0.001). There were no reports of major hypoglycemia events at 24 weeks; risk of nocturnal hypoglycemia was &lt;0.6 events/person-year. No serious adverse drug reactions were reported. Conclusion: Insulin aspart +/- OGLDs is associated with significant improvements in glycemic control and HRQoL, without increased risk of hypoglycemia, in people with type 2 diabetes and sub-optimal glucose control.","author":[{"dropping-particle":"","family":"Randeree","given":"H","non-dropping-particle":"","parse-names":false,"suffix":""},{"dropping-particle":"","family":"Liebl","given":"A","non-dropping-particle":"","parse-names":false,"suffix":""},{"dropping-particle":"","family":"Hajjaji","given":"I","non-dropping-particle":"","parse-names":false,"suffix":""},{"dropping-particle":"","family":"Khamseh","given":"M","non-dropping-particle":"","parse-names":false,"suffix":""},{"dropping-particle":"","family":"Zajdenverg","given":"L","non-dropping-particle":"","parse-names":false,"suffix":""},{"dropping-particle":"","family":"Chen","given":"J W","non-dropping-particle":"","parse-names":false,"suffix":""},{"dropping-particle":"","family":"Haddad","given":"J","non-dropping-particle":"","parse-names":false,"suffix":""}],"container-title":"Diabetes Therapy","id":"ITEM-1","issue":"1","issued":{"date-parts":[["2013"]]},"note":"Randeree, Hoosen Liebl, Andreas Hajjaji, Issam Khamseh, Mohammad Zajdenverg, Lenita Chen, Jian-Wen Haddad, Jihad\nKhamseh, Mohammad Ebrahim/L-9391-2018; Hajjaji, Issam/S-6077-2019\nHajjaji, Issam/0000-0001-8497-0749; Zajdenverg, Lenita/0000-0002-1579-3299\n1869-6961","page":"153-166","title":"Safety and Effectiveness of Bolus Insulin Aspart in People with Type 2 Diabetes: A(1)chieve Sub-Analysis","type":"article-journal","volume":"4"},"uris":["http://www.mendeley.com/documents/?uuid=6a6b4494-0f47-4d92-b968-4c41dd06dd6a"]}],"mendeley":{"formattedCitation":"(169)","manualFormatting":"[108","plainTextFormattedCitation":"(169)","previouslyFormattedCitation":"(173)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97</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FCDEDB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Prospective, open-label, </w:t>
            </w:r>
            <w:r w:rsidRPr="000C26B9">
              <w:rPr>
                <w:rFonts w:ascii="Times New Roman" w:hAnsi="Times New Roman" w:cs="Times New Roman"/>
                <w:color w:val="000000"/>
                <w:sz w:val="20"/>
                <w:szCs w:val="20"/>
                <w:lang w:val="en-US"/>
              </w:rPr>
              <w:br/>
              <w:t>non-interventional, observational,</w:t>
            </w:r>
            <w:r w:rsidRPr="000C26B9">
              <w:rPr>
                <w:rFonts w:ascii="Times New Roman" w:hAnsi="Times New Roman" w:cs="Times New Roman"/>
                <w:color w:val="000000"/>
                <w:sz w:val="20"/>
                <w:szCs w:val="20"/>
                <w:lang w:val="en-US"/>
              </w:rPr>
              <w:br/>
              <w:t xml:space="preserve"> 24-week study</w:t>
            </w:r>
          </w:p>
        </w:tc>
        <w:tc>
          <w:tcPr>
            <w:tcW w:w="1194" w:type="dxa"/>
            <w:shd w:val="clear" w:color="auto" w:fill="auto"/>
            <w:noWrap/>
            <w:hideMark/>
          </w:tcPr>
          <w:p w14:paraId="3A25AE1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2013</w:t>
            </w:r>
          </w:p>
        </w:tc>
        <w:tc>
          <w:tcPr>
            <w:tcW w:w="1238" w:type="dxa"/>
            <w:shd w:val="clear" w:color="auto" w:fill="auto"/>
            <w:hideMark/>
          </w:tcPr>
          <w:p w14:paraId="5293B68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International study</w:t>
            </w:r>
          </w:p>
        </w:tc>
        <w:tc>
          <w:tcPr>
            <w:tcW w:w="1761" w:type="dxa"/>
            <w:shd w:val="clear" w:color="auto" w:fill="auto"/>
            <w:hideMark/>
          </w:tcPr>
          <w:p w14:paraId="07CEA95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noWrap/>
            <w:hideMark/>
          </w:tcPr>
          <w:p w14:paraId="1E436D5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2,026</w:t>
            </w:r>
          </w:p>
        </w:tc>
        <w:tc>
          <w:tcPr>
            <w:tcW w:w="1472" w:type="dxa"/>
            <w:shd w:val="clear" w:color="auto" w:fill="auto"/>
            <w:hideMark/>
          </w:tcPr>
          <w:p w14:paraId="1BC54F76"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Setting outside Sub-Saharan Africa</w:t>
            </w:r>
          </w:p>
        </w:tc>
      </w:tr>
      <w:tr w:rsidR="000F54D9" w:rsidRPr="000C26B9" w14:paraId="7C5F469D" w14:textId="77777777" w:rsidTr="00D05366">
        <w:trPr>
          <w:trHeight w:val="908"/>
        </w:trPr>
        <w:tc>
          <w:tcPr>
            <w:tcW w:w="1327" w:type="dxa"/>
            <w:shd w:val="clear" w:color="auto" w:fill="auto"/>
            <w:noWrap/>
            <w:hideMark/>
          </w:tcPr>
          <w:p w14:paraId="62B6D996" w14:textId="02F5515D"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Segal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{"citationItems":[{"id":"ITEM-1","itemData":{"DOI":"10.7196/SAMJ.6345","ISSN":"0256-9574","PMID":"23802207","abstract":"The need for more cost-effective insulin therapy is critical in reducing the burden on patients and health systems. Biosimilar insulins have the potential to dramatically lower healthcare costs by delivering insulin with a similar anti-glycaemic effect and adverse reaction profile. Objectives. The purpose of this study was to confirm equivalence in glycaemic outcomes and side-effect profiles between Biosulin 30/70 and other human premixed insulin preparations on the South African market in a clinical practice setting. Methods. Subjects in this interventional, observational, multicentre, open-label, prospective study were switched from their existing human premix insulin (Actraphane, Humulin 30/70 or Insuman) to the study insulin Biosulin 30/70. The primary endpoint was the change in HbA1c from baseline to 6 months. Results. Seventy-seven adult patients with type 1(n=18) or type 2 (n=59) diabetes were enrolled. The baseline HbA1c in the overall cohort was 7.9%, 8.0% at 3 months (p=0.50) and 7.6% at 6 months (p=0.14).There was a small increase in the total daily dose of insulin used in both the type 1 and type 2 cohort, from 0.62 to 0.65 units/kg/day (p=0.0004). There was no significant difference in weight in the study subjects during the 6-month period on Biosulin 30/70 (p=0.67). Conclusion. Biosulin 30/70 achieved at least equivalent glycaemic control to existing human premix insulins, with no reported new or severe adverse events. Increased use of biosimilar insulins has the potential for significant cost savings.","author":[{"dropping-particle":"","family":"Segal","given":"D.","non-dropping-particle":"","parse-names":false,"suffix":""},{"dropping-particle":"","family":"Tupy","given":"D.","non-dropping-particle":"","parse-names":false,"suffix":""},{"dropping-particle":"","family":"Distiller","given":"L.","non-dropping-particle":"","parse-names":false,"suffix":""}],"container-title":"South African medical journal = Suid-Afrikaanse tydskrif vir geneeskunde","id":"ITEM-1","issue":"7","issued":{"date-parts":[["2013"]]},"page":"458-460","publisher":"S Afr Med J","title":"The Biosulin equivalence in standard therapy (BEST) study - a multicentre, open-label, non-randomised, interventional, observational study in subjects using Biosulin 30/70 for the treatment of insulin-dependent type 1 and type 2 diabetes mellitus","type":"article-journal","volume":"103"},"uris":["http://www.mendeley.com/documents/?uuid=35d005c2-67a2-34b9-a539-3de4a00a2f1d"]}],"mendeley":{"formattedCitation":"(170)","manualFormatting":"[109","plainTextFormattedCitation":"(170)","previouslyFormattedCitation":"(174)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98</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BC63B5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Non-Randomized interventional study</w:t>
            </w:r>
          </w:p>
        </w:tc>
        <w:tc>
          <w:tcPr>
            <w:tcW w:w="1194" w:type="dxa"/>
            <w:shd w:val="clear" w:color="auto" w:fill="auto"/>
            <w:noWrap/>
            <w:hideMark/>
          </w:tcPr>
          <w:p w14:paraId="1EDE5484"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2012</w:t>
            </w:r>
          </w:p>
        </w:tc>
        <w:tc>
          <w:tcPr>
            <w:tcW w:w="1238" w:type="dxa"/>
            <w:shd w:val="clear" w:color="auto" w:fill="auto"/>
            <w:noWrap/>
            <w:hideMark/>
          </w:tcPr>
          <w:p w14:paraId="525D075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55F0A2E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hideMark/>
          </w:tcPr>
          <w:p w14:paraId="0BA728A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77</w:t>
            </w:r>
          </w:p>
        </w:tc>
        <w:tc>
          <w:tcPr>
            <w:tcW w:w="1472" w:type="dxa"/>
            <w:shd w:val="clear" w:color="auto" w:fill="auto"/>
            <w:noWrap/>
            <w:hideMark/>
          </w:tcPr>
          <w:p w14:paraId="26CF5E3E"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304D6201" w14:textId="77777777" w:rsidTr="00D05366">
        <w:trPr>
          <w:trHeight w:val="2132"/>
        </w:trPr>
        <w:tc>
          <w:tcPr>
            <w:tcW w:w="1327" w:type="dxa"/>
            <w:shd w:val="clear" w:color="auto" w:fill="auto"/>
            <w:noWrap/>
            <w:hideMark/>
          </w:tcPr>
          <w:p w14:paraId="6E24E9EC" w14:textId="51D776A0"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Sobngwi</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{"citationItems":[{"id":"ITEM-1","itemData":{"DOI":"10.1016/j.diabres.2011.10.018","ISSN":"01688227","PMID":"22071431","abstract":"Aim: The Diabcare Africa project was carried out across six sub-Saharan African countries to collect standardised and comparable information for the evaluation of diabetes control, management and late complications in diabetic populations at specialist clinics. Methods: A cross-sectional, descriptive study of 2352 type-2 diabetes patients who were treated at specialist clinics for at least 12. months prior to the study. Results: The mean age of patients was 53.0 ± 16.0. years and had 8.0 ± 6.0. years known duration of diabetes. 47% had their HbA1c assessed in the past year (mean 8.2 ± 2.4%) with 29% achieving a level &lt;6.5%. 21% had BP within 130/80. mmHg and 65% were treated for hypertension. Fasting lipids were assessed in 45% of the patients with mean cholesterol level of 4.9 ± 1.2. mmol/L, HDL-cholesterol of 1.3 ± 0.7. mmol/L and triglycerides of 1.2 ± 0.7. mmol/L. 13% of the patients were treated for hyperlipidaemia, mostly with statins. Background retinopathy (18%) and cataract (14%) were the most common eye complications. Macrovascular disease was rare, and 48% had neuropathy. Conclusions: Half of the patients benefitted from standard care, and a third had appropriate glycaemic control - attributed to access to, rather than quality of care. This study provided evidence to support appropriate interventions to diabetic populations of sub-Saharan origin. © 2011 Elsevier Ireland Ltd.","author":[{"dropping-particle":"","family":"Sobngwi","given":"Eugene","non-dropping-particle":"","parse-names":false,"suffix":""},{"dropping-particle":"","family":"Ndour-Mbaye","given":"Maimouna","non-dropping-particle":"","parse-names":false,"suffix":""},{"dropping-particle":"","family":"Boateng","given":"Kofi A.","non-dropping-particle":"","parse-names":false,"suffix":""},{"dropping-particle":"","family":"Ramaiya","given":"Kaushik L.","non-dropping-particle":"","parse-names":false,"suffix":""},{"dropping-particle":"","family":"Njenga","given":"Eva W.","non-dropping-particle":"","parse-names":false,"suffix":""},{"dropping-particle":"","family":"Diop","given":"Said N.","non-dropping-particle":"","parse-names":false,"suffix":""},{"dropping-particle":"","family":"Mbanya","given":"Jean Claude","non-dropping-particle":"","parse-names":false,"suffix":""},{"dropping-particle":"","family":"Ohwovoriole","given":"Augustine E.","non-dropping-particle":"","parse-names":false,"suffix":""}],"container-title":"Diabetes Research and Clinical Practice","id":"ITEM-1","issue":"1","issued":{"date-parts":[["2012","1"]]},"page":"30-36","publisher":"Elsevier Ireland Ltd","title":"Type 2 diabetes control and complications in specialised diabetes care centres of six sub-Saharan African countries: The Diabcare Africa study","type":"article-journal","volume":"95"},"uris":["http://www.mendeley.com/documents/?uuid=34698e51-e34c-421b-94e4-896fa48100a6"]}],"mendeley":{"formattedCitation":"(171)","manualFormatting":"[110","plainTextFormattedCitation":"(171)","previouslyFormattedCitation":"(175)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99</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92EEA5D"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37E1AD5B"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2012</w:t>
            </w:r>
          </w:p>
        </w:tc>
        <w:tc>
          <w:tcPr>
            <w:tcW w:w="1238" w:type="dxa"/>
            <w:shd w:val="clear" w:color="auto" w:fill="auto"/>
            <w:hideMark/>
          </w:tcPr>
          <w:p w14:paraId="67C43F0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East Africa</w:t>
            </w:r>
            <w:r w:rsidRPr="000C26B9">
              <w:rPr>
                <w:rFonts w:ascii="Times New Roman" w:hAnsi="Times New Roman" w:cs="Times New Roman"/>
                <w:color w:val="000000"/>
                <w:sz w:val="20"/>
                <w:szCs w:val="20"/>
                <w:lang w:val="en-US"/>
              </w:rPr>
              <w:br/>
              <w:t>(Tanzania and Kenya), Central Africa (Cameroon)</w:t>
            </w:r>
            <w:r w:rsidRPr="000C26B9">
              <w:rPr>
                <w:rFonts w:ascii="Times New Roman" w:hAnsi="Times New Roman" w:cs="Times New Roman"/>
                <w:color w:val="000000"/>
                <w:sz w:val="20"/>
                <w:szCs w:val="20"/>
                <w:lang w:val="en-US"/>
              </w:rPr>
              <w:br/>
              <w:t>and West Africa (Ghana, Senegal, and Nigeria)</w:t>
            </w:r>
          </w:p>
        </w:tc>
        <w:tc>
          <w:tcPr>
            <w:tcW w:w="1761" w:type="dxa"/>
            <w:shd w:val="clear" w:color="auto" w:fill="auto"/>
            <w:hideMark/>
          </w:tcPr>
          <w:p w14:paraId="6EB371A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w:t>
            </w:r>
          </w:p>
        </w:tc>
        <w:tc>
          <w:tcPr>
            <w:tcW w:w="850" w:type="dxa"/>
            <w:shd w:val="clear" w:color="auto" w:fill="auto"/>
            <w:hideMark/>
          </w:tcPr>
          <w:p w14:paraId="751CA3C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2352</w:t>
            </w:r>
          </w:p>
        </w:tc>
        <w:tc>
          <w:tcPr>
            <w:tcW w:w="1472" w:type="dxa"/>
            <w:shd w:val="clear" w:color="auto" w:fill="auto"/>
            <w:hideMark/>
          </w:tcPr>
          <w:p w14:paraId="66C50B3F"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factors of glycaemic control not assessed</w:t>
            </w:r>
          </w:p>
        </w:tc>
      </w:tr>
      <w:tr w:rsidR="000F54D9" w:rsidRPr="000C26B9" w14:paraId="0217E8E7" w14:textId="77777777" w:rsidTr="00D05366">
        <w:trPr>
          <w:trHeight w:val="315"/>
        </w:trPr>
        <w:tc>
          <w:tcPr>
            <w:tcW w:w="1327" w:type="dxa"/>
            <w:shd w:val="clear" w:color="auto" w:fill="auto"/>
            <w:noWrap/>
            <w:hideMark/>
          </w:tcPr>
          <w:p w14:paraId="23B58C58" w14:textId="6CBBA87A"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Tayo</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{"citationItems":[{"id":"ITEM-1","itemData":{"ISBN":"16089677","abstract":"AFRICAN DEVELOPMENT Abstract: Background: The incidence of diabetes mellitus, particularly type 2 diabetes is increasing dramatically across the world because of increasing obesity, sedentary lifestyle and population aging, and is the cause of substantial morbidity and mortality. The International Diabetes Federation(IDF) predicts an increase in the diabetes incidence in Africa by 108% by the year 2040. This alarming rate of increase in incidence together with the potential complications of disease renders this disease to be a great challenge facing the healthcare system. The major goal of treatment of diabetic patients is to achieve good (near normal) metabolic control, thus preventing long term complications. Despite all recommendations, a large number of patients are not well-controlled, and do not reach the target of HbA1C value below 7%, indicating a need to better assess the current practices in diabetes management. The aim of the International Diabetes Management Practices Study (IDMPS) study was to describe the characteristics of management and achievement of therapeutic targets in patients with diabetes mellitus. This abstract will focus on the South African cohort of the multinational study. Methods: A total of 7165 patients was recruited globally in the sixth wave of the IDMPS study and 7122 were included in the eligible population for analysis. Data was analysed from 97 patients with type 1 (T1D, n = 31, 32%) and type 2 diabetes (T2D, n = 66, 68%) included in the South African cohort. Results: Of the T2D patients, 50% were treated with oral glycaemia lowering drug (OGLD) alone, 15.2% were treated with insulin alone, 33.3% were treated with OGLD plus insulin and 1.5% treated with diet and exercise alone. A large proportion of T1D patients, 74.2%, were prescribed a basal plus a prandial insulin regimen whereas a lower proportion, 16.1% were treated using a premix regimen. After comparison with the international recommendations (EASD, ADA and IDF), it was shown that 16.7% of T1D patients and 33.9% of T2D patients reached the recommended target value of HbA1C","author":[{"dropping-particle":"","family":"Tayo","given":"M S","non-dropping-particle":"","parse-names":false,"suffix":""},{"dropping-particle":"","family":"Joshi","given":"M P","non-dropping-particle":"","parse-names":false,"suffix":""},{"dropping-particle":"","family":"Jurgens","given":"J C","non-dropping-particle":"","parse-names":false,"suffix":""},{"dropping-particle":"","family":"Hough et.al.","given":"G A","non-dropping-particle":"","parse-names":false,"suffix":""},{"dropping-particle":"","family":"Distiller","given":"L*","non-dropping-particle":"","parse-names":false,"suffix":""},{"dropping-particle":"","family":"Centre for Diabetes and Endocrinology South Africa","given":"Houghton","non-dropping-particle":"","parse-names":false,"suffix":""}],"container-title":"Journal of Endocrinology, Metabolism and Diabetes of South Africa","id":"ITEM-1","issue":"1","issued":{"date-parts":[["2017","1","1"]]},"note":"Database Contributor: AFRICAN DEVELOPMENT DATABASE; HEALTHLIT; COMPOSITE RECORD. Database Contributor ID: 1284320. Language: English. Document Type: Abstract. Publication Type: Poster Abstract. Conference: 52nd SEMDSA Congress, 5-7 May 2017, Johannesburg, South Africa; 52nd SEMDSA Congress, 5-7 May 2017, Johannesburg, South Africa. Accession Number: 1284320.","page":"41-42","publisher":"South Arican Medical Association","title":"Achievement of therapeutic targets in South African patients with diabetes mellitus","type":"article","volume":"22"},"uris":["http://www.mendeley.com/documents/?uuid=62fb3428-200f-4af2-a82a-8fb5448069d0"]}],"mendeley":{"formattedCitation":"(172)","manualFormatting":"[111","plainTextFormattedCitation":"(172)","previouslyFormattedCitation":"(176)"},"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100</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06D5C67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522C7DEE"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hideMark/>
          </w:tcPr>
          <w:p w14:paraId="0FE7E91B"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South Africa</w:t>
            </w:r>
          </w:p>
        </w:tc>
        <w:tc>
          <w:tcPr>
            <w:tcW w:w="1761" w:type="dxa"/>
            <w:shd w:val="clear" w:color="auto" w:fill="auto"/>
            <w:hideMark/>
          </w:tcPr>
          <w:p w14:paraId="4EE67BE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Types 1 and 2 diabetes</w:t>
            </w:r>
          </w:p>
        </w:tc>
        <w:tc>
          <w:tcPr>
            <w:tcW w:w="850" w:type="dxa"/>
            <w:shd w:val="clear" w:color="auto" w:fill="auto"/>
            <w:noWrap/>
            <w:hideMark/>
          </w:tcPr>
          <w:p w14:paraId="7B2B8D7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97</w:t>
            </w:r>
          </w:p>
        </w:tc>
        <w:tc>
          <w:tcPr>
            <w:tcW w:w="1472" w:type="dxa"/>
            <w:shd w:val="clear" w:color="auto" w:fill="auto"/>
            <w:hideMark/>
          </w:tcPr>
          <w:p w14:paraId="50DE7AC0"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type</w:t>
            </w:r>
            <w:r w:rsidRPr="000C26B9">
              <w:rPr>
                <w:rFonts w:ascii="Times New Roman" w:hAnsi="Times New Roman" w:cs="Times New Roman"/>
                <w:color w:val="000000"/>
                <w:sz w:val="20"/>
                <w:szCs w:val="20"/>
                <w:lang w:val="en-US"/>
              </w:rPr>
              <w:t xml:space="preserve"> of diabetes included</w:t>
            </w:r>
          </w:p>
        </w:tc>
      </w:tr>
      <w:tr w:rsidR="000F54D9" w:rsidRPr="000C26B9" w14:paraId="01FA381F" w14:textId="77777777" w:rsidTr="00D05366">
        <w:trPr>
          <w:trHeight w:val="315"/>
        </w:trPr>
        <w:tc>
          <w:tcPr>
            <w:tcW w:w="1327" w:type="dxa"/>
            <w:shd w:val="clear" w:color="auto" w:fill="auto"/>
            <w:noWrap/>
            <w:hideMark/>
          </w:tcPr>
          <w:p w14:paraId="6A4E8E87" w14:textId="57771995"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Udoh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{"citationItems":[{"id":"ITEM-1","itemData":{"DOI":"10.4103/sjmms.sjmms_178_18","ISSN":"1658-631X","abstract":"Background: Asymptomatic malaria (ASM) constitutes a reservoir of malaria parasites that sustain transmission and threaten elimination efforts. Studies have also shown a significant relation between insulin resistance and malaria infection. However, data on the clinical effects of ASM and its patterns of carriage among adult malaria patients is limited., Objectives: To determine the prevalence of ASM due to Plasmodium falciparum among adult type 2 diabetes (T2DM) patients in Lagos, Nigeria; to assess the diagnostic performance of light microscopy and histidine-rich protein 2 rapid diagnostic test (HRP-2 RDT); and to determine the effects of ASM on glycemic control and anemia., Materials and Methods: This cross-sectional study enrolled 208 afebrile, nonobese, nonhypertensive T2DM patients, aged 40-70 years, undergoing treatment (adherence, &gt;=95%) at six private health facilities in Lagos, Nigeria, between March and August 2015. Sociodemographic data were obtained using a semi-structured questionnaire and clinical case files. Venous blood samples were collected and processed for fasting blood sugar estimation, packed cell volume determination and malaria parasite detection by HRP2-RDT, light microscopy and polymerase chain reaction (PCR)., Results: The mean age of the patients was 54.5 years. ASM was diagnosed in 16.8%, 7.2% and 4.3% of the patients by PCR, light microscopy and HRP2-RDT, respectively. ASM was significantly (P &lt; 0.05) associated with poor glycemic control, anemia and insulin resistance. The overall parasitemia ranged from 85 to 3789 parasites/muL (median, 1580 parasites/muL). Benchmarking against the PCR results, light microscopy and rapid diagnostic tests were found to have a sensitivity (95% confidence interval) of 42.9% (26.5-59.3) and 22.9% (12.1-39), respectively, in diagnosing ASM., Conclusion: This study revealed that T2DM patients in Lagos, Nigeria, are potential reservoirs of asymptomatic Plasmodium falciparum, which has a significantly negative effect on glycemic control and anemia. The study also found PCR to be the most effective diagnostic method. Copyright: © 2019 Saudi Journal of Medicine &amp; Medical Sciences.","author":[{"dropping-particle":"","family":"Udoh","given":"BerniceEnobong","non-dropping-particle":"","parse-names":false,"suffix":""},{"dropping-particle":"","family":"Iwalokun","given":"BamideleAbiodun","non-dropping-particle":"","parse-names":false,"suffix":""},{"dropping-particle":"","family":"Etukumana","given":"Etiobong","non-dropping-particle":"","parse-names":false,"suffix":""},{"dropping-particle":"","family":"Amoo","given":"Joseph","non-dropping-particle":"","parse-names":false,"suffix":""}],"container-title":"Saudi Journal of Medicine and Medical Sciences","id":"ITEM-1","issue":"1","issued":{"date-parts":[["2020"]]},"page":"32","title":"Asymptomatic falciparum malaria and its effects on type 2 diabetes mellitus patients in Lagos, Nigeria","type":"article-journal","volume":"8"},"uris":["http://www.mendeley.com/documents/?uuid=db9b6d54-893c-4e86-8a07-0117cf8932f1"]}],"mendeley":{"formattedCitation":"(173)","manualFormatting":"[112","plainTextFormattedCitation":"(173)","previouslyFormattedCitation":"(177)"},"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001329F5">
              <w:rPr>
                <w:rFonts w:ascii="Times New Roman" w:hAnsi="Times New Roman" w:cs="Times New Roman"/>
                <w:noProof/>
                <w:color w:val="000000"/>
                <w:sz w:val="20"/>
                <w:szCs w:val="20"/>
                <w:lang w:val="en-US"/>
              </w:rPr>
              <w:t>101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62BEBC1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shd w:val="clear" w:color="auto" w:fill="auto"/>
            <w:noWrap/>
            <w:hideMark/>
          </w:tcPr>
          <w:p w14:paraId="4A43AB08"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2019</w:t>
            </w:r>
          </w:p>
        </w:tc>
        <w:tc>
          <w:tcPr>
            <w:tcW w:w="1238" w:type="dxa"/>
            <w:shd w:val="clear" w:color="auto" w:fill="auto"/>
            <w:hideMark/>
          </w:tcPr>
          <w:p w14:paraId="21052D79"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5EAE2D1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≥40 years</w:t>
            </w:r>
          </w:p>
        </w:tc>
        <w:tc>
          <w:tcPr>
            <w:tcW w:w="850" w:type="dxa"/>
            <w:shd w:val="clear" w:color="auto" w:fill="auto"/>
            <w:hideMark/>
          </w:tcPr>
          <w:p w14:paraId="5B046C53"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208</w:t>
            </w:r>
          </w:p>
        </w:tc>
        <w:tc>
          <w:tcPr>
            <w:tcW w:w="1472" w:type="dxa"/>
            <w:shd w:val="clear" w:color="auto" w:fill="auto"/>
            <w:noWrap/>
            <w:hideMark/>
          </w:tcPr>
          <w:p w14:paraId="53BC82FE"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4FD51DDE" w14:textId="77777777" w:rsidTr="00D05366">
        <w:trPr>
          <w:trHeight w:val="1223"/>
        </w:trPr>
        <w:tc>
          <w:tcPr>
            <w:tcW w:w="1327" w:type="dxa"/>
            <w:shd w:val="clear" w:color="auto" w:fill="auto"/>
            <w:noWrap/>
            <w:hideMark/>
          </w:tcPr>
          <w:p w14:paraId="7747BBAD" w14:textId="6FDD8B6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Unung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{"citationItems":[{"id":"ITEM-1","itemData":{"ISBN":"1658-3639","abstract":"Objectives: The disruption of the reciprocal regulation between vascular endothelial growth factor (VEGF) and pigment epithelium-derived factor (PEDF) has been associated with the pathogenesis of diabetic retinopathy (DR). This study assessed the levels of VEGF, PEDF, indices of glycemia, and lipid profile in diabetic patients with retinopathy. Methods: One hundred fifty participants comprised 50 type 2 diabetic patients with DR, 50 without DR and 50 non-diabetic normotensive controls, aged 30-80 years, were randomly recruited for this case-control study. The study was carried out from November 2017 to December 2018. VEGF, PEDF, glycated hemoglobin (HbA1c), fasting plasma glucose, and lipid profile were determined using standard methods. Blood pressures (BP) and anthropometric indices were measured. Chi-squared test of independence, analysis of variance, and Pearson's correlation were used to analyze data. Statistical significance was set at P &lt; 0.05 and 95% confidence interval. Results: Both diabetic groups had significantly higher (P = 0.001) systolic and diastolic BP, VEGF, PEDF, HbA1c, fasting plasma glucose, triglycerides, total, high-density lipoprotein-cholesterol (HDL-C), and low-density lipoprotein-cholesterol (LDL-C) levels and significantly lower (P = 0.005) VEGF/PEDF than the controls. However, the diabetics with retinopathy had significantly higher (P = 0.001) HDL-C, LDL-C, VEGF, and PEDF levels compared to the diabetics without retinopathy. There were no significant differences (P &gt; 0.05) in the levels of VEGF, PEDF, and VEGF/PEDF in both groups of diabetics that had good glycemic control and poor glycemic control. There was also no significant difference (P &gt; 0.05) in the levels of VEGF and PEDF between the dyslipidemic and non-dyslipidemic subjects in both diabetic groups. Conclusion: DR is associated with higher levels of VEGF and PEDF while good glycemic control and dyslipidemia seem not to have a profound effect on VEGF and PEDF levels in diabetics with or without DR. Higher PEDF levels are associated with higher atherogenic risk in the diabetics with retinopathy.","author":[{"dropping-particle":"","family":"Unung","given":"P J","non-dropping-particle":"","parse-names":false,"suffix":""},{"dropping-particle":"","family":"Bassey","given":"I E","non-dropping-particle":"","parse-names":false,"suffix":""},{"dropping-particle":"","family":"Etukudo","given":"M H","non-dropping-particle":"","parse-names":false,"suffix":""},{"dropping-particle":"","family":"Udoh","given":"A E","non-dropping-particle":"","parse-names":false,"suffix":""},{"dropping-particle":"","family":"Alhassan","given":"M B","non-dropping-particle":"","parse-names":false,"suffix":""},{"dropping-particle":"","family":"Akpan","given":"U O","non-dropping-particle":"","parse-names":false,"suffix":""}],"container-title":"International Journal of Health Sciences-Ijhs","id":"ITEM-1","issue":"6","issued":{"date-parts":[["2020"]]},"note":"Unung, Paulinus Jimmy Bassey, Iya Eze Etukudo, Maisie Henrietta Udoh, Alphonsus Ekpe Alhassan, Mahmoud B. Akpan, Uwem Okon\n1658-7774","page":"4-12","title":"Effect of glycemic control and dyslipidemia on plasma vascular endothelial growth factor and pigment epithelium-derived factor in diabetic retinopathy patients in Northern Nigeria","type":"article-journal","volume":"14"},"uris":["http://www.mendeley.com/documents/?uuid=ad26f857-5169-43cb-b369-f4387d981216"]}],"mendeley":{"formattedCitation":"(174)","manualFormatting":"[113","plainTextFormattedCitation":"(174)","previouslyFormattedCitation":"(178)"},"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D71C15">
              <w:rPr>
                <w:rFonts w:ascii="Times New Roman" w:hAnsi="Times New Roman" w:cs="Times New Roman"/>
                <w:noProof/>
                <w:color w:val="000000"/>
                <w:sz w:val="20"/>
                <w:szCs w:val="20"/>
                <w:lang w:val="en-US"/>
              </w:rPr>
              <w:t>1</w:t>
            </w:r>
            <w:r w:rsidR="001329F5">
              <w:rPr>
                <w:rFonts w:ascii="Times New Roman" w:hAnsi="Times New Roman" w:cs="Times New Roman"/>
                <w:noProof/>
                <w:color w:val="000000"/>
                <w:sz w:val="20"/>
                <w:szCs w:val="20"/>
                <w:lang w:val="en-US"/>
              </w:rPr>
              <w:t>02</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5F7C175"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Case-control</w:t>
            </w:r>
          </w:p>
        </w:tc>
        <w:tc>
          <w:tcPr>
            <w:tcW w:w="1194" w:type="dxa"/>
            <w:shd w:val="clear" w:color="auto" w:fill="auto"/>
            <w:noWrap/>
            <w:hideMark/>
          </w:tcPr>
          <w:p w14:paraId="5CC55562"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2020</w:t>
            </w:r>
          </w:p>
        </w:tc>
        <w:tc>
          <w:tcPr>
            <w:tcW w:w="1238" w:type="dxa"/>
            <w:shd w:val="clear" w:color="auto" w:fill="auto"/>
            <w:hideMark/>
          </w:tcPr>
          <w:p w14:paraId="19696D1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Nigeria</w:t>
            </w:r>
          </w:p>
        </w:tc>
        <w:tc>
          <w:tcPr>
            <w:tcW w:w="1761" w:type="dxa"/>
            <w:shd w:val="clear" w:color="auto" w:fill="auto"/>
            <w:hideMark/>
          </w:tcPr>
          <w:p w14:paraId="7C89DE3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Type 2 diabetes with or without Diabetic retinopathy; non-diabetic normohypertensive </w:t>
            </w:r>
            <w:r w:rsidRPr="000C26B9">
              <w:rPr>
                <w:rFonts w:ascii="Times New Roman" w:hAnsi="Times New Roman" w:cs="Times New Roman"/>
                <w:color w:val="000000"/>
                <w:sz w:val="20"/>
                <w:szCs w:val="20"/>
              </w:rPr>
              <w:lastRenderedPageBreak/>
              <w:t>control; 30</w:t>
            </w:r>
            <w:r w:rsidRPr="000C26B9">
              <w:rPr>
                <w:rFonts w:ascii="Times New Roman" w:hAnsi="Times New Roman" w:cs="Times New Roman"/>
                <w:color w:val="000000"/>
                <w:sz w:val="20"/>
                <w:szCs w:val="20"/>
                <w:lang w:val="en-US"/>
              </w:rPr>
              <w:t>-80 years</w:t>
            </w:r>
          </w:p>
        </w:tc>
        <w:tc>
          <w:tcPr>
            <w:tcW w:w="850" w:type="dxa"/>
            <w:shd w:val="clear" w:color="auto" w:fill="auto"/>
            <w:hideMark/>
          </w:tcPr>
          <w:p w14:paraId="501E06C5"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lastRenderedPageBreak/>
              <w:t>150</w:t>
            </w:r>
          </w:p>
        </w:tc>
        <w:tc>
          <w:tcPr>
            <w:tcW w:w="1472" w:type="dxa"/>
            <w:shd w:val="clear" w:color="auto" w:fill="auto"/>
            <w:noWrap/>
            <w:hideMark/>
          </w:tcPr>
          <w:p w14:paraId="2AF68EE8"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29BBF156" w14:textId="77777777" w:rsidTr="00D05366">
        <w:trPr>
          <w:trHeight w:val="630"/>
        </w:trPr>
        <w:tc>
          <w:tcPr>
            <w:tcW w:w="1327" w:type="dxa"/>
            <w:shd w:val="clear" w:color="auto" w:fill="auto"/>
            <w:noWrap/>
            <w:hideMark/>
          </w:tcPr>
          <w:p w14:paraId="3DE7A158" w14:textId="1ECCEC9C"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 xml:space="preserve">van den Berg </w:t>
            </w:r>
            <w:r>
              <w:rPr>
                <w:rFonts w:ascii="Times New Roman" w:hAnsi="Times New Roman" w:cs="Times New Roman"/>
                <w:sz w:val="20"/>
                <w:szCs w:val="20"/>
                <w:lang w:val="en-US"/>
              </w:rPr>
              <w:fldChar w:fldCharType="begin" w:fldLock="1"/>
            </w:r>
            <w:r>
              <w:rPr>
                <w:rFonts w:ascii="Times New Roman" w:hAnsi="Times New Roman" w:cs="Times New Roman"/>
                <w:sz w:val="20"/>
                <w:szCs w:val="20"/>
                <w:lang w:val="en-US"/>
              </w:rPr>
              <w:instrText>ADDIN CSL_CITATION {"citationItems":[{"id":"ITEM-1","itemData":{"DOI":"10.1080/16089677.2019.1649341","ISSN":"16089677","abstract":"AFRICAN DEVELOPMENT Abstract: Objectives: To evaluate the nutritional status, glycaemic control and barriers to treatment compliance of outpatients with type 2 diabetes mellitus (T2DM) attending two public primary health clinics in Maseru, Lesotho. Design: Cross-sectional analytical study. Setting: Lesotho Defence Force Clinic and Domiciliary Clinic. Subjects: 124 participants with T2DM, 30–69 years. Outcome measures: Sociodemography, medical history, diet, lifestyle, metabolic risk-related anthropometry, glycaemic and metabolic control, and barriers that may impact on treatment compliance. Results: Participants (53.9; SD 9.4 years; 79.5% females; 53.3% diagnosed for &gt; 5 years) were knowledgeable about basic lifestyle recommendations for diabetes, and reported being active (98.3%). However, 88.5% were overweight or obese; 93.4%, 78.1%; 66.1% did not meet the recommended intakes of dairy, vegetables and fruit; 10.7% used tobacco; and 52% of men drank excessively. None performed blood glucose self-monitoring, and 90.2% were ignorant of normal blood glucose ranges, while 94.3% had uncontrolled hypertension despite being on anti-hypertensive medication. Participants were rarely screened for long-term glycaemic control or comorbidities, or referred to dietitians, but 98.4% were satisfied with the services. Conclusions: In this setting, patients were not meeting treatment goals for T2DM, and were not being screened or referred, rendering clinic visits a revolving door that poses the risk of costly complications","author":[{"dropping-particle":"","family":"Berg","given":"Louise","non-dropping-particle":"van den","parse-names":false,"suffix":""},{"dropping-particle":"","family":"Mokhehle","given":"Mohlakotsana","non-dropping-particle":"","parse-names":false,"suffix":""},{"dropping-particle":"","family":"Raubenheimer","given":"Jacques","non-dropping-particle":"","parse-names":false,"suffix":""},{"dropping-particle":"","family":"University of the Free State","given":"South Africa","non-dropping-particle":"","parse-names":false,"suffix":""}],"container-title":"Journal of Endocrinology, Metabolism and Diabetes of South Africa","id":"ITEM-1","issue":"3","issued":{"date-parts":[["2019","1","1"]]},"note":"From Duplicate 2 (Nutritional status, glycaemic control and barriers to treatment compliance among patients with type 2 diabetes attending public primary health clinics in Maseru, Lesotho - van den Berg, L*; Mokhehle, M; Raubenheimer, J; University of the Free State, South Africa)\n\nDatabase Contributor: HEALTHLIT; AFRICAN DEVELOPMENT DATABASE; COMPOSITE RECORD. Database Contributor ID: 1414598. Language: English. Document Type: Article. Publication Type: Article. Accession Number: 1414598.","page":"98-110","publisher":"South Arican Medical Association","title":"Nutritional status, glycaemic control and barriers to treatment compliance among patients with type 2 diabetes attending public primary health clinics in Maseru, Lesotho","type":"article-journal","volume":"24"},"uris":["http://www.mendeley.com/documents/?uuid=bd821d06-b4ab-4628-a820-92ca18ad310f"]}],"mendeley":{"formattedCitation":"(175)","manualFormatting":"[114","plainTextFormattedCitation":"(175)","previouslyFormattedCitation":"(179)"},"properties":{"noteIndex":0},"schema":"https://github.com/citation-style-language/schema/raw/master/csl-citation.json"}</w:instrText>
            </w:r>
            <w:r>
              <w:rPr>
                <w:rFonts w:ascii="Times New Roman" w:hAnsi="Times New Roman" w:cs="Times New Roman"/>
                <w:sz w:val="20"/>
                <w:szCs w:val="20"/>
                <w:lang w:val="en-US"/>
              </w:rPr>
              <w:fldChar w:fldCharType="separate"/>
            </w:r>
            <w:r>
              <w:rPr>
                <w:rFonts w:ascii="Times New Roman" w:hAnsi="Times New Roman" w:cs="Times New Roman"/>
                <w:noProof/>
                <w:sz w:val="20"/>
                <w:szCs w:val="20"/>
                <w:lang w:val="en-US"/>
              </w:rPr>
              <w:t>[</w:t>
            </w:r>
            <w:r w:rsidRPr="00777C45">
              <w:rPr>
                <w:rFonts w:ascii="Times New Roman" w:hAnsi="Times New Roman" w:cs="Times New Roman"/>
                <w:noProof/>
                <w:sz w:val="20"/>
                <w:szCs w:val="20"/>
                <w:lang w:val="en-US"/>
              </w:rPr>
              <w:t>1</w:t>
            </w:r>
            <w:r w:rsidR="001329F5">
              <w:rPr>
                <w:rFonts w:ascii="Times New Roman" w:hAnsi="Times New Roman" w:cs="Times New Roman"/>
                <w:noProof/>
                <w:sz w:val="20"/>
                <w:szCs w:val="20"/>
                <w:lang w:val="en-US"/>
              </w:rPr>
              <w:t>03</w:t>
            </w:r>
            <w:r>
              <w:rPr>
                <w:rFonts w:ascii="Times New Roman" w:hAnsi="Times New Roman" w:cs="Times New Roman"/>
                <w:sz w:val="20"/>
                <w:szCs w:val="20"/>
                <w:lang w:val="en-US"/>
              </w:rPr>
              <w:fldChar w:fldCharType="end"/>
            </w:r>
            <w:r>
              <w:rPr>
                <w:rFonts w:ascii="Times New Roman" w:hAnsi="Times New Roman" w:cs="Times New Roman"/>
                <w:sz w:val="20"/>
                <w:szCs w:val="20"/>
                <w:lang w:val="en-US"/>
              </w:rPr>
              <w:t>]</w:t>
            </w:r>
          </w:p>
        </w:tc>
        <w:tc>
          <w:tcPr>
            <w:tcW w:w="1440" w:type="dxa"/>
            <w:shd w:val="clear" w:color="auto" w:fill="auto"/>
            <w:hideMark/>
          </w:tcPr>
          <w:p w14:paraId="7A2582AF"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Cross-sectional</w:t>
            </w:r>
            <w:r w:rsidRPr="000C26B9">
              <w:rPr>
                <w:rFonts w:ascii="Times New Roman" w:hAnsi="Times New Roman" w:cs="Times New Roman"/>
                <w:sz w:val="20"/>
                <w:szCs w:val="20"/>
                <w:lang w:val="en-US"/>
              </w:rPr>
              <w:br/>
              <w:t xml:space="preserve"> </w:t>
            </w:r>
          </w:p>
        </w:tc>
        <w:tc>
          <w:tcPr>
            <w:tcW w:w="1194" w:type="dxa"/>
            <w:shd w:val="clear" w:color="auto" w:fill="auto"/>
            <w:noWrap/>
            <w:hideMark/>
          </w:tcPr>
          <w:p w14:paraId="0C136BFD"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2019</w:t>
            </w:r>
          </w:p>
        </w:tc>
        <w:tc>
          <w:tcPr>
            <w:tcW w:w="1238" w:type="dxa"/>
            <w:shd w:val="clear" w:color="auto" w:fill="auto"/>
            <w:noWrap/>
            <w:hideMark/>
          </w:tcPr>
          <w:p w14:paraId="6022787D"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Lesotho</w:t>
            </w:r>
          </w:p>
        </w:tc>
        <w:tc>
          <w:tcPr>
            <w:tcW w:w="1761" w:type="dxa"/>
            <w:shd w:val="clear" w:color="auto" w:fill="auto"/>
            <w:hideMark/>
          </w:tcPr>
          <w:p w14:paraId="25753A5D" w14:textId="77777777" w:rsidR="000F54D9" w:rsidRPr="000C26B9" w:rsidRDefault="000F54D9" w:rsidP="00D05366">
            <w:pPr>
              <w:rPr>
                <w:rFonts w:ascii="Times New Roman" w:hAnsi="Times New Roman" w:cs="Times New Roman"/>
                <w:sz w:val="20"/>
                <w:szCs w:val="20"/>
                <w:lang w:val="en-US"/>
              </w:rPr>
            </w:pPr>
            <w:r w:rsidRPr="000C26B9">
              <w:rPr>
                <w:rFonts w:ascii="Times New Roman" w:hAnsi="Times New Roman" w:cs="Times New Roman"/>
                <w:sz w:val="20"/>
                <w:szCs w:val="20"/>
                <w:lang w:val="en-US"/>
              </w:rPr>
              <w:t>Type 2 diabetes</w:t>
            </w:r>
          </w:p>
        </w:tc>
        <w:tc>
          <w:tcPr>
            <w:tcW w:w="850" w:type="dxa"/>
            <w:shd w:val="clear" w:color="auto" w:fill="auto"/>
            <w:noWrap/>
            <w:hideMark/>
          </w:tcPr>
          <w:p w14:paraId="1D4CCB4B" w14:textId="77777777" w:rsidR="000F54D9" w:rsidRPr="000C26B9" w:rsidRDefault="000F54D9" w:rsidP="00D05366">
            <w:pPr>
              <w:jc w:val="right"/>
              <w:rPr>
                <w:rFonts w:ascii="Times New Roman" w:hAnsi="Times New Roman" w:cs="Times New Roman"/>
                <w:sz w:val="20"/>
                <w:szCs w:val="20"/>
                <w:lang w:val="en-US"/>
              </w:rPr>
            </w:pPr>
            <w:r w:rsidRPr="000C26B9">
              <w:rPr>
                <w:rFonts w:ascii="Times New Roman" w:hAnsi="Times New Roman" w:cs="Times New Roman"/>
                <w:sz w:val="20"/>
                <w:szCs w:val="20"/>
                <w:lang w:val="en-US"/>
              </w:rPr>
              <w:t>122</w:t>
            </w:r>
          </w:p>
        </w:tc>
        <w:tc>
          <w:tcPr>
            <w:tcW w:w="1472" w:type="dxa"/>
            <w:shd w:val="clear" w:color="auto" w:fill="auto"/>
            <w:hideMark/>
          </w:tcPr>
          <w:p w14:paraId="261FB6FE" w14:textId="77777777" w:rsidR="000F54D9" w:rsidRPr="000C26B9" w:rsidRDefault="000F54D9" w:rsidP="00D05366">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Another outcome</w:t>
            </w:r>
            <w:r w:rsidRPr="000C26B9">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t xml:space="preserve">a </w:t>
            </w:r>
            <w:r w:rsidRPr="000C26B9">
              <w:rPr>
                <w:rFonts w:ascii="Times New Roman" w:hAnsi="Times New Roman" w:cs="Times New Roman"/>
                <w:color w:val="000000"/>
                <w:sz w:val="20"/>
                <w:szCs w:val="20"/>
                <w:lang w:val="en-US"/>
              </w:rPr>
              <w:t>descriptive study, factors of glycaemic control not assessed</w:t>
            </w:r>
          </w:p>
        </w:tc>
      </w:tr>
      <w:tr w:rsidR="000F54D9" w:rsidRPr="000C26B9" w14:paraId="3AEB53FE" w14:textId="77777777" w:rsidTr="00D05366">
        <w:trPr>
          <w:trHeight w:val="630"/>
        </w:trPr>
        <w:tc>
          <w:tcPr>
            <w:tcW w:w="1327" w:type="dxa"/>
            <w:shd w:val="clear" w:color="auto" w:fill="auto"/>
            <w:noWrap/>
            <w:hideMark/>
          </w:tcPr>
          <w:p w14:paraId="2A263986" w14:textId="5A656198"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Woyesa</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{"citationItems":[{"id":"ITEM-1","itemData":{"DOI":"10.1186/s12902-017-0226-y","ISSN":"1472-6823 (Electronic)","PMID":"29233152","abstract":"BACKGROUND: Metabolic syndrome is a cluster of the most dangerous heart attack risk  factors such as diabetes and prediabetes, abdominal obesity, high cholesterol and high blood pressure. Hyperuricemia is a condition in which the serum uric acid concentration is greater than 5.5 mg per deciliter for child and greater than 7.2 and 6.0 mg per deciliters for male and female adults respectively. METHODS: A cross-sectional study was conducted to determine the magnitude of hyperuricemia and associated factors among type 2 diabetes mellitus patients at Hawassa Comprehensive Specialized Hospital (HCSH) from February 28 to May 30 /2017. A random sampling technique was used to include 319 study subjects and a signed consent had been provided by each study subject before running any data collection. An interviewer administered structured questionnaire was used to collect socio-demographic and some clinically useful data. In addition to this, we reviewed the records of the study subjects to obtain other useful clinical data. Five milliliter blood specimen was collected from each study subjects after overnight fasting. A25TM Bio-System Random Access chemistry analyzer was used for blood sample analysis. All data were checked visually, coded and entered into epi-data version 3.4 and statistical analysis was performed using SPSS version 20.0 software. Bi-variate and multivariate logistic regressions were used to determine the association between explanatory and the outcome variables. RESULTS: The prevalence of hyperuricemia and metabolic syndrome among type 2 diabetic patients in the study area were 33.8%(n = 106) and 70.1% (n = 220) respectively. Having age greater or equal to 45 years (AOR: 1.9, CI: 1.-3.2, P value =0.015) and having metabolic syndrome (AOR: 2.6, CI: 1.5-4.7, P value = 0.001) were the determinant variables for hyperuricemia among type 2 diabetic patients. CONCLUSION: There was high prevalence of hyperuricemia among type 2 diabetic patients with high prevalence of metabolic syndrome. Therefore, regular health information about life style modification, early diagnosis and treatment for hyperuricemia and metabolic syndrome are essential to reduce hyperuricemia and metabolic syndrome in type 2 diabetic patients.","author":[{"dropping-particle":"","family":"Woyesa","given":"Shiferaw Bekele","non-dropping-particle":"","parse-names":false,"suffix":""},{"dropping-particle":"","family":"Hirigo","given":"Agete Tadewose","non-dropping-particle":"","parse-names":false,"suffix":""},{"dropping-particle":"","family":"Wube","given":"Temesgen Bizuayehu","non-dropping-particle":"","parse-names":false,"suffix":""}],"container-title":"BMC endocrine disorders","id":"ITEM-1","issue":"1","issued":{"date-parts":[["2017","12"]]},"language":"eng","page":"76","title":"Hyperuricemia and metabolic syndrome in type 2 diabetes mellitus patients at Hawassa  university comprehensive specialized hospital, South West Ethiopia.","type":"article-journal","volume":"17"},"uris":["http://www.mendeley.com/documents/?uuid=353378ba-3977-4801-83bf-6eb132465ea2"]}],"mendeley":{"formattedCitation":"(176)","manualFormatting":"[115","plainTextFormattedCitation":"(176)","previouslyFormattedCitation":"(180)"},"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777C45">
              <w:rPr>
                <w:rFonts w:ascii="Times New Roman" w:hAnsi="Times New Roman" w:cs="Times New Roman"/>
                <w:noProof/>
                <w:color w:val="000000"/>
                <w:sz w:val="20"/>
                <w:szCs w:val="20"/>
                <w:lang w:val="en-US"/>
              </w:rPr>
              <w:t>1</w:t>
            </w:r>
            <w:r w:rsidR="001329F5">
              <w:rPr>
                <w:rFonts w:ascii="Times New Roman" w:hAnsi="Times New Roman" w:cs="Times New Roman"/>
                <w:noProof/>
                <w:color w:val="000000"/>
                <w:sz w:val="20"/>
                <w:szCs w:val="20"/>
                <w:lang w:val="en-US"/>
              </w:rPr>
              <w:t>04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shd w:val="clear" w:color="auto" w:fill="auto"/>
            <w:hideMark/>
          </w:tcPr>
          <w:p w14:paraId="177995E2"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Cross-sectional</w:t>
            </w:r>
          </w:p>
        </w:tc>
        <w:tc>
          <w:tcPr>
            <w:tcW w:w="1194" w:type="dxa"/>
            <w:shd w:val="clear" w:color="auto" w:fill="auto"/>
            <w:noWrap/>
            <w:hideMark/>
          </w:tcPr>
          <w:p w14:paraId="2E77CE87"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2017</w:t>
            </w:r>
          </w:p>
        </w:tc>
        <w:tc>
          <w:tcPr>
            <w:tcW w:w="1238" w:type="dxa"/>
            <w:shd w:val="clear" w:color="auto" w:fill="auto"/>
            <w:noWrap/>
            <w:hideMark/>
          </w:tcPr>
          <w:p w14:paraId="453AD93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Ethiopia</w:t>
            </w:r>
          </w:p>
        </w:tc>
        <w:tc>
          <w:tcPr>
            <w:tcW w:w="1761" w:type="dxa"/>
            <w:shd w:val="clear" w:color="auto" w:fill="auto"/>
            <w:hideMark/>
          </w:tcPr>
          <w:p w14:paraId="7DAB504A"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mellitus; ≥30-80 years</w:t>
            </w:r>
          </w:p>
        </w:tc>
        <w:tc>
          <w:tcPr>
            <w:tcW w:w="850" w:type="dxa"/>
            <w:shd w:val="clear" w:color="auto" w:fill="auto"/>
            <w:noWrap/>
            <w:hideMark/>
          </w:tcPr>
          <w:p w14:paraId="30343420"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319</w:t>
            </w:r>
          </w:p>
        </w:tc>
        <w:tc>
          <w:tcPr>
            <w:tcW w:w="1472" w:type="dxa"/>
            <w:shd w:val="clear" w:color="auto" w:fill="auto"/>
            <w:noWrap/>
            <w:hideMark/>
          </w:tcPr>
          <w:p w14:paraId="5DC0723C"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r w:rsidR="000F54D9" w:rsidRPr="000C26B9" w14:paraId="7260DD95" w14:textId="77777777" w:rsidTr="00D05366">
        <w:trPr>
          <w:trHeight w:val="630"/>
        </w:trPr>
        <w:tc>
          <w:tcPr>
            <w:tcW w:w="1327" w:type="dxa"/>
            <w:tcBorders>
              <w:bottom w:val="single" w:sz="4" w:space="0" w:color="auto"/>
            </w:tcBorders>
            <w:shd w:val="clear" w:color="auto" w:fill="auto"/>
            <w:noWrap/>
            <w:hideMark/>
          </w:tcPr>
          <w:p w14:paraId="71021C33" w14:textId="2A313D9F"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Yameogo </w:t>
            </w:r>
            <w:r>
              <w:rPr>
                <w:rFonts w:ascii="Times New Roman" w:hAnsi="Times New Roman" w:cs="Times New Roman"/>
                <w:color w:val="000000"/>
                <w:sz w:val="20"/>
                <w:szCs w:val="20"/>
                <w:lang w:val="en-US"/>
              </w:rPr>
              <w:fldChar w:fldCharType="begin" w:fldLock="1"/>
            </w:r>
            <w:r>
              <w:rPr>
                <w:rFonts w:ascii="Times New Roman" w:hAnsi="Times New Roman" w:cs="Times New Roman"/>
                <w:color w:val="000000"/>
                <w:sz w:val="20"/>
                <w:szCs w:val="20"/>
                <w:lang w:val="en-US"/>
              </w:rPr>
              <w:instrText>ADDIN CSL_CITATION {"citationItems":[{"id":"ITEM-1","itemData":{"ISSN":"0465-4668","author":[{"dropping-particle":"","family":"YAMEOGO","given":"N.","non-dropping-particle":"","parse-names":false,"suffix":""},{"dropping-particle":"","family":"MBAYE","given":"A","non-dropping-particle":"","parse-names":false,"suffix":""},{"dropping-particle":"","family":"KANE","given":"A","non-dropping-particle":"","parse-names":false,"suffix":""},{"dropping-particle":"","family":"NDOUR","given":"M","non-dropping-particle":"","parse-names":false,"suffix":""},{"dropping-particle":"","family":"KAGAMBEGA","given":"L.","non-dropping-particle":"","parse-names":false,"suffix":""},{"dropping-particle":"","family":"NDIAYE","given":"M.","non-dropping-particle":"","parse-names":false,"suffix":""},{"dropping-particle":"","family":"KANE","given":"M","non-dropping-particle":"","parse-names":false,"suffix":""},{"dropping-particle":"","family":"DIAGNE SOW","given":"D","non-dropping-particle":"","parse-names":false,"suffix":""},{"dropping-particle":"","family":"DIACK","given":"B","non-dropping-particle":"","parse-names":false,"suffix":""},{"dropping-particle":"","family":"DIOP","given":"S.","non-dropping-particle":"","parse-names":false,"suffix":""},{"dropping-particle":"","family":"DIALLO","given":"A","non-dropping-particle":"","parse-names":false,"suffix":""}],"container-title":"Médecine d'Afrique noire","id":"ITEM-1","issue":"6","issued":{"date-parts":[["2012"]]},"page":"303-308","title":"Etude de la micro-albuminurie et des autres facteurs de risque cardio-vasculaire dans la population des diabétiques de type 2 sénégalais","type":"article-journal","volume":"59"},"uris":["http://www.mendeley.com/documents/?uuid=8eb9a3f5-dc8a-47f7-a410-c7052ecb9cd7"]}],"mendeley":{"formattedCitation":"(177)","manualFormatting":"[116","plainTextFormattedCitation":"(177)","previouslyFormattedCitation":"(181)"},"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777C45">
              <w:rPr>
                <w:rFonts w:ascii="Times New Roman" w:hAnsi="Times New Roman" w:cs="Times New Roman"/>
                <w:noProof/>
                <w:color w:val="000000"/>
                <w:sz w:val="20"/>
                <w:szCs w:val="20"/>
                <w:lang w:val="en-US"/>
              </w:rPr>
              <w:t>1</w:t>
            </w:r>
            <w:r w:rsidR="001329F5">
              <w:rPr>
                <w:rFonts w:ascii="Times New Roman" w:hAnsi="Times New Roman" w:cs="Times New Roman"/>
                <w:noProof/>
                <w:color w:val="000000"/>
                <w:sz w:val="20"/>
                <w:szCs w:val="20"/>
                <w:lang w:val="en-US"/>
              </w:rPr>
              <w:t>05</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440" w:type="dxa"/>
            <w:tcBorders>
              <w:bottom w:val="single" w:sz="4" w:space="0" w:color="auto"/>
            </w:tcBorders>
            <w:shd w:val="clear" w:color="auto" w:fill="auto"/>
            <w:hideMark/>
          </w:tcPr>
          <w:p w14:paraId="7900C410"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Cross-sectional </w:t>
            </w:r>
          </w:p>
        </w:tc>
        <w:tc>
          <w:tcPr>
            <w:tcW w:w="1194" w:type="dxa"/>
            <w:tcBorders>
              <w:bottom w:val="single" w:sz="4" w:space="0" w:color="auto"/>
            </w:tcBorders>
            <w:shd w:val="clear" w:color="auto" w:fill="auto"/>
            <w:noWrap/>
            <w:hideMark/>
          </w:tcPr>
          <w:p w14:paraId="2D6E9D9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2012</w:t>
            </w:r>
          </w:p>
        </w:tc>
        <w:tc>
          <w:tcPr>
            <w:tcW w:w="1238" w:type="dxa"/>
            <w:tcBorders>
              <w:bottom w:val="single" w:sz="4" w:space="0" w:color="auto"/>
            </w:tcBorders>
            <w:shd w:val="clear" w:color="auto" w:fill="auto"/>
            <w:noWrap/>
            <w:hideMark/>
          </w:tcPr>
          <w:p w14:paraId="07A156FF"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Senegal </w:t>
            </w:r>
          </w:p>
        </w:tc>
        <w:tc>
          <w:tcPr>
            <w:tcW w:w="1761" w:type="dxa"/>
            <w:tcBorders>
              <w:bottom w:val="single" w:sz="4" w:space="0" w:color="auto"/>
            </w:tcBorders>
            <w:shd w:val="clear" w:color="auto" w:fill="auto"/>
            <w:hideMark/>
          </w:tcPr>
          <w:p w14:paraId="539328A3"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Type 2 diabetes; 40-85 years</w:t>
            </w:r>
          </w:p>
        </w:tc>
        <w:tc>
          <w:tcPr>
            <w:tcW w:w="850" w:type="dxa"/>
            <w:tcBorders>
              <w:bottom w:val="single" w:sz="4" w:space="0" w:color="auto"/>
            </w:tcBorders>
            <w:shd w:val="clear" w:color="auto" w:fill="auto"/>
            <w:noWrap/>
            <w:hideMark/>
          </w:tcPr>
          <w:p w14:paraId="4F8AD14D" w14:textId="77777777" w:rsidR="000F54D9" w:rsidRPr="000C26B9" w:rsidRDefault="000F54D9" w:rsidP="00D05366">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318</w:t>
            </w:r>
          </w:p>
        </w:tc>
        <w:tc>
          <w:tcPr>
            <w:tcW w:w="1472" w:type="dxa"/>
            <w:tcBorders>
              <w:bottom w:val="single" w:sz="4" w:space="0" w:color="auto"/>
            </w:tcBorders>
            <w:shd w:val="clear" w:color="auto" w:fill="auto"/>
            <w:noWrap/>
            <w:hideMark/>
          </w:tcPr>
          <w:p w14:paraId="1B8C59E1" w14:textId="77777777" w:rsidR="000F54D9" w:rsidRPr="000C26B9" w:rsidRDefault="000F54D9" w:rsidP="00D05366">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Ineligible data analysis</w:t>
            </w:r>
          </w:p>
        </w:tc>
      </w:tr>
    </w:tbl>
    <w:p w14:paraId="38650EFD" w14:textId="77777777" w:rsidR="000F54D9" w:rsidRDefault="000F54D9"/>
    <w:sectPr w:rsidR="000F54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eta Bold LF">
    <w:altName w:val="Microsoft YaHei"/>
    <w:charset w:val="86"/>
    <w:family w:val="roman"/>
    <w:pitch w:val="default"/>
    <w:sig w:usb0="00000000" w:usb1="00000000" w:usb2="00000010" w:usb3="00000000" w:csb0="00040001" w:csb1="00000000"/>
  </w:font>
  <w:font w:name="Relay">
    <w:altName w:val="Microsoft YaHei"/>
    <w:panose1 w:val="00000000000000000000"/>
    <w:charset w:val="86"/>
    <w:family w:val="swiss"/>
    <w:notTrueType/>
    <w:pitch w:val="default"/>
    <w:sig w:usb0="00000003" w:usb1="080E0000" w:usb2="00000010" w:usb3="00000000" w:csb0="0004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ohit Devanagari">
    <w:charset w:val="01"/>
    <w:family w:val="auto"/>
    <w:pitch w:val="default"/>
  </w:font>
  <w:font w:name="Arial Narrow">
    <w:panose1 w:val="020B0606020202030204"/>
    <w:charset w:val="00"/>
    <w:family w:val="swiss"/>
    <w:pitch w:val="variable"/>
    <w:sig w:usb0="00000287" w:usb1="00000800" w:usb2="00000000" w:usb3="00000000" w:csb0="0000009F" w:csb1="00000000"/>
  </w:font>
  <w:font w:name="Meta Normal LF">
    <w:altName w:val="Malgun Gothic Semilight"/>
    <w:panose1 w:val="00000000000000000000"/>
    <w:charset w:val="86"/>
    <w:family w:val="roman"/>
    <w:notTrueType/>
    <w:pitch w:val="default"/>
    <w:sig w:usb0="00000000" w:usb1="080E0000" w:usb2="00000010" w:usb3="00000000" w:csb0="00040000" w:csb1="00000000"/>
  </w:font>
  <w:font w:name="DejaVu Sans">
    <w:altName w:val="Times New Roman"/>
    <w:charset w:val="00"/>
    <w:family w:val="swiss"/>
    <w:pitch w:val="variable"/>
  </w:font>
  <w:font w:name="PMingLiU">
    <w:altName w:val="新細明體"/>
    <w:panose1 w:val="02010601000101010101"/>
    <w:charset w:val="88"/>
    <w:family w:val="roman"/>
    <w:pitch w:val="variable"/>
    <w:sig w:usb0="A00002FF" w:usb1="28CFFCFA" w:usb2="00000016" w:usb3="00000000" w:csb0="00100001" w:csb1="00000000"/>
  </w:font>
  <w:font w:name="Helv">
    <w:panose1 w:val="020B0604020202030204"/>
    <w:charset w:val="4D"/>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2B62A56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pStyle w:val="Heading1"/>
      <w:suff w:val="nothing"/>
      <w:lvlText w:val=""/>
      <w:lvlJc w:val="left"/>
      <w:pPr>
        <w:tabs>
          <w:tab w:val="num" w:pos="-1080"/>
        </w:tabs>
        <w:ind w:left="-1080" w:firstLine="0"/>
      </w:pPr>
    </w:lvl>
    <w:lvl w:ilvl="1">
      <w:start w:val="1"/>
      <w:numFmt w:val="none"/>
      <w:pStyle w:val="Heading2"/>
      <w:suff w:val="nothing"/>
      <w:lvlText w:val=""/>
      <w:lvlJc w:val="left"/>
      <w:pPr>
        <w:tabs>
          <w:tab w:val="num" w:pos="-1080"/>
        </w:tabs>
        <w:ind w:left="-1080" w:firstLine="0"/>
      </w:pPr>
    </w:lvl>
    <w:lvl w:ilvl="2">
      <w:start w:val="1"/>
      <w:numFmt w:val="none"/>
      <w:pStyle w:val="Heading3"/>
      <w:suff w:val="nothing"/>
      <w:lvlText w:val=""/>
      <w:lvlJc w:val="left"/>
      <w:pPr>
        <w:tabs>
          <w:tab w:val="num" w:pos="-1080"/>
        </w:tabs>
        <w:ind w:left="-1080" w:firstLine="0"/>
      </w:pPr>
    </w:lvl>
    <w:lvl w:ilvl="3">
      <w:start w:val="1"/>
      <w:numFmt w:val="none"/>
      <w:pStyle w:val="Heading4"/>
      <w:suff w:val="nothing"/>
      <w:lvlText w:val=""/>
      <w:lvlJc w:val="left"/>
      <w:pPr>
        <w:tabs>
          <w:tab w:val="num" w:pos="-1080"/>
        </w:tabs>
        <w:ind w:left="-1080" w:firstLine="0"/>
      </w:pPr>
    </w:lvl>
    <w:lvl w:ilvl="4">
      <w:start w:val="1"/>
      <w:numFmt w:val="none"/>
      <w:pStyle w:val="Heading5"/>
      <w:suff w:val="nothing"/>
      <w:lvlText w:val=""/>
      <w:lvlJc w:val="left"/>
      <w:pPr>
        <w:tabs>
          <w:tab w:val="num" w:pos="-1080"/>
        </w:tabs>
        <w:ind w:left="-1080" w:firstLine="0"/>
      </w:pPr>
    </w:lvl>
    <w:lvl w:ilvl="5">
      <w:start w:val="1"/>
      <w:numFmt w:val="none"/>
      <w:pStyle w:val="Heading6"/>
      <w:suff w:val="nothing"/>
      <w:lvlText w:val=""/>
      <w:lvlJc w:val="left"/>
      <w:pPr>
        <w:tabs>
          <w:tab w:val="num" w:pos="-1080"/>
        </w:tabs>
        <w:ind w:left="-1080" w:firstLine="0"/>
      </w:pPr>
    </w:lvl>
    <w:lvl w:ilvl="6">
      <w:start w:val="1"/>
      <w:numFmt w:val="none"/>
      <w:suff w:val="nothing"/>
      <w:lvlText w:val=""/>
      <w:lvlJc w:val="left"/>
      <w:pPr>
        <w:tabs>
          <w:tab w:val="num" w:pos="-1080"/>
        </w:tabs>
        <w:ind w:left="-1080" w:firstLine="0"/>
      </w:pPr>
    </w:lvl>
    <w:lvl w:ilvl="7">
      <w:start w:val="1"/>
      <w:numFmt w:val="none"/>
      <w:suff w:val="nothing"/>
      <w:lvlText w:val=""/>
      <w:lvlJc w:val="left"/>
      <w:pPr>
        <w:tabs>
          <w:tab w:val="num" w:pos="-1080"/>
        </w:tabs>
        <w:ind w:left="-1080" w:firstLine="0"/>
      </w:pPr>
    </w:lvl>
    <w:lvl w:ilvl="8">
      <w:start w:val="1"/>
      <w:numFmt w:val="none"/>
      <w:suff w:val="nothing"/>
      <w:lvlText w:val=""/>
      <w:lvlJc w:val="left"/>
      <w:pPr>
        <w:tabs>
          <w:tab w:val="num" w:pos="-1080"/>
        </w:tabs>
        <w:ind w:left="-1080" w:firstLine="0"/>
      </w:pPr>
    </w:lvl>
  </w:abstractNum>
  <w:abstractNum w:abstractNumId="2" w15:restartNumberingAfterBreak="0">
    <w:nsid w:val="00000002"/>
    <w:multiLevelType w:val="singleLevel"/>
    <w:tmpl w:val="00000002"/>
    <w:name w:val="WW8Num1"/>
    <w:lvl w:ilvl="0">
      <w:start w:val="1"/>
      <w:numFmt w:val="bullet"/>
      <w:pStyle w:val="ListBullet"/>
      <w:lvlText w:val=""/>
      <w:lvlJc w:val="left"/>
      <w:pPr>
        <w:tabs>
          <w:tab w:val="num" w:pos="360"/>
        </w:tabs>
        <w:ind w:left="360" w:hanging="360"/>
      </w:pPr>
      <w:rPr>
        <w:rFonts w:ascii="Symbol" w:hAnsi="Symbol" w:cs="Batang" w:hint="default"/>
      </w:rPr>
    </w:lvl>
  </w:abstractNum>
  <w:abstractNum w:abstractNumId="3" w15:restartNumberingAfterBreak="0">
    <w:nsid w:val="00000003"/>
    <w:multiLevelType w:val="multilevel"/>
    <w:tmpl w:val="00000003"/>
    <w:name w:val="WW8Num2"/>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4" w15:restartNumberingAfterBreak="0">
    <w:nsid w:val="00000004"/>
    <w:multiLevelType w:val="multilevel"/>
    <w:tmpl w:val="00000004"/>
    <w:name w:val="WW8Num3"/>
    <w:lvl w:ilvl="0">
      <w:start w:val="1"/>
      <w:numFmt w:val="bullet"/>
      <w:lvlText w:val=""/>
      <w:lvlJc w:val="left"/>
      <w:pPr>
        <w:tabs>
          <w:tab w:val="num" w:pos="720"/>
        </w:tabs>
        <w:ind w:left="720" w:hanging="360"/>
      </w:pPr>
      <w:rPr>
        <w:rFonts w:ascii="Symbol" w:hAnsi="Symbol" w:cs="Batang" w:hint="default"/>
        <w:sz w:val="20"/>
        <w:szCs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5" w15:restartNumberingAfterBreak="0">
    <w:nsid w:val="00000005"/>
    <w:multiLevelType w:val="multilevel"/>
    <w:tmpl w:val="00000005"/>
    <w:name w:val="WW8Num4"/>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6" w15:restartNumberingAfterBreak="0">
    <w:nsid w:val="00000006"/>
    <w:multiLevelType w:val="singleLevel"/>
    <w:tmpl w:val="B572488C"/>
    <w:name w:val="WW8Num5"/>
    <w:lvl w:ilvl="0">
      <w:start w:val="1"/>
      <w:numFmt w:val="lowerLetter"/>
      <w:lvlText w:val="%1)"/>
      <w:lvlJc w:val="left"/>
      <w:pPr>
        <w:tabs>
          <w:tab w:val="num" w:pos="0"/>
        </w:tabs>
        <w:ind w:left="1440" w:hanging="360"/>
      </w:pPr>
      <w:rPr>
        <w:b/>
        <w:color w:val="000000"/>
      </w:rPr>
    </w:lvl>
  </w:abstractNum>
  <w:abstractNum w:abstractNumId="7" w15:restartNumberingAfterBreak="0">
    <w:nsid w:val="00000007"/>
    <w:multiLevelType w:val="multilevel"/>
    <w:tmpl w:val="00000007"/>
    <w:name w:val="WW8Num6"/>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8" w15:restartNumberingAfterBreak="0">
    <w:nsid w:val="00000008"/>
    <w:multiLevelType w:val="multilevel"/>
    <w:tmpl w:val="00000008"/>
    <w:name w:val="WW8Num7"/>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9" w15:restartNumberingAfterBreak="0">
    <w:nsid w:val="00000009"/>
    <w:multiLevelType w:val="multilevel"/>
    <w:tmpl w:val="00000009"/>
    <w:name w:val="WW8Num8"/>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0" w15:restartNumberingAfterBreak="0">
    <w:nsid w:val="0000000A"/>
    <w:multiLevelType w:val="singleLevel"/>
    <w:tmpl w:val="0000000A"/>
    <w:name w:val="WW8Num9"/>
    <w:lvl w:ilvl="0">
      <w:start w:val="1"/>
      <w:numFmt w:val="decimal"/>
      <w:pStyle w:val="ColorfulList-Accent11"/>
      <w:lvlText w:val="%1."/>
      <w:lvlJc w:val="left"/>
      <w:pPr>
        <w:tabs>
          <w:tab w:val="num" w:pos="0"/>
        </w:tabs>
        <w:ind w:left="720" w:hanging="360"/>
      </w:pPr>
    </w:lvl>
  </w:abstractNum>
  <w:abstractNum w:abstractNumId="11" w15:restartNumberingAfterBreak="0">
    <w:nsid w:val="0000000B"/>
    <w:multiLevelType w:val="multilevel"/>
    <w:tmpl w:val="0000000B"/>
    <w:name w:val="WW8Num10"/>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2" w15:restartNumberingAfterBreak="0">
    <w:nsid w:val="0000000C"/>
    <w:multiLevelType w:val="multilevel"/>
    <w:tmpl w:val="0000000C"/>
    <w:name w:val="WW8Num11"/>
    <w:lvl w:ilvl="0">
      <w:start w:val="1"/>
      <w:numFmt w:val="bullet"/>
      <w:lvlText w:val=""/>
      <w:lvlJc w:val="left"/>
      <w:pPr>
        <w:tabs>
          <w:tab w:val="num" w:pos="720"/>
        </w:tabs>
        <w:ind w:left="720" w:hanging="360"/>
      </w:pPr>
      <w:rPr>
        <w:rFonts w:ascii="Symbol" w:hAnsi="Symbol" w:cs="Batang" w:hint="default"/>
        <w:sz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3" w15:restartNumberingAfterBreak="0">
    <w:nsid w:val="0000000D"/>
    <w:multiLevelType w:val="multilevel"/>
    <w:tmpl w:val="0000000D"/>
    <w:name w:val="WW8Num12"/>
    <w:lvl w:ilvl="0">
      <w:start w:val="1"/>
      <w:numFmt w:val="bullet"/>
      <w:lvlText w:val=""/>
      <w:lvlJc w:val="left"/>
      <w:pPr>
        <w:tabs>
          <w:tab w:val="num" w:pos="720"/>
        </w:tabs>
        <w:ind w:left="720" w:hanging="360"/>
      </w:pPr>
      <w:rPr>
        <w:rFonts w:ascii="Symbol" w:hAnsi="Symbol" w:cs="Batang" w:hint="default"/>
        <w:sz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4" w15:restartNumberingAfterBreak="0">
    <w:nsid w:val="0000000E"/>
    <w:multiLevelType w:val="multilevel"/>
    <w:tmpl w:val="0000000E"/>
    <w:name w:val="WW8Num13"/>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5" w15:restartNumberingAfterBreak="0">
    <w:nsid w:val="0000000F"/>
    <w:multiLevelType w:val="multilevel"/>
    <w:tmpl w:val="0000000F"/>
    <w:name w:val="WW8Num14"/>
    <w:lvl w:ilvl="0">
      <w:start w:val="1"/>
      <w:numFmt w:val="bullet"/>
      <w:lvlText w:val=""/>
      <w:lvlJc w:val="left"/>
      <w:pPr>
        <w:tabs>
          <w:tab w:val="num" w:pos="720"/>
        </w:tabs>
        <w:ind w:left="720" w:hanging="360"/>
      </w:pPr>
      <w:rPr>
        <w:rFonts w:ascii="Symbol" w:hAnsi="Symbol" w:cs="Batang" w:hint="default"/>
        <w:color w:val="000000"/>
        <w:sz w:val="20"/>
        <w:szCs w:val="20"/>
      </w:rPr>
    </w:lvl>
    <w:lvl w:ilvl="1">
      <w:start w:val="1"/>
      <w:numFmt w:val="bullet"/>
      <w:lvlText w:val="o"/>
      <w:lvlJc w:val="left"/>
      <w:pPr>
        <w:tabs>
          <w:tab w:val="num" w:pos="1440"/>
        </w:tabs>
        <w:ind w:left="1440" w:hanging="360"/>
      </w:pPr>
      <w:rPr>
        <w:rFonts w:ascii="Courier New" w:hAnsi="Courier New" w:cs="Arial" w:hint="default"/>
        <w:sz w:val="20"/>
      </w:rPr>
    </w:lvl>
    <w:lvl w:ilvl="2">
      <w:start w:val="1"/>
      <w:numFmt w:val="bullet"/>
      <w:lvlText w:val=""/>
      <w:lvlJc w:val="left"/>
      <w:pPr>
        <w:tabs>
          <w:tab w:val="num" w:pos="2160"/>
        </w:tabs>
        <w:ind w:left="2160" w:hanging="360"/>
      </w:pPr>
      <w:rPr>
        <w:rFonts w:ascii="Wingdings" w:hAnsi="Wingdings" w:cs="MS Gothic" w:hint="default"/>
        <w:sz w:val="20"/>
      </w:rPr>
    </w:lvl>
    <w:lvl w:ilvl="3">
      <w:start w:val="1"/>
      <w:numFmt w:val="bullet"/>
      <w:lvlText w:val=""/>
      <w:lvlJc w:val="left"/>
      <w:pPr>
        <w:tabs>
          <w:tab w:val="num" w:pos="2880"/>
        </w:tabs>
        <w:ind w:left="2880" w:hanging="360"/>
      </w:pPr>
      <w:rPr>
        <w:rFonts w:ascii="Wingdings" w:hAnsi="Wingdings" w:cs="MS Gothic" w:hint="default"/>
        <w:sz w:val="20"/>
      </w:rPr>
    </w:lvl>
    <w:lvl w:ilvl="4">
      <w:start w:val="1"/>
      <w:numFmt w:val="bullet"/>
      <w:lvlText w:val=""/>
      <w:lvlJc w:val="left"/>
      <w:pPr>
        <w:tabs>
          <w:tab w:val="num" w:pos="3600"/>
        </w:tabs>
        <w:ind w:left="3600" w:hanging="360"/>
      </w:pPr>
      <w:rPr>
        <w:rFonts w:ascii="Wingdings" w:hAnsi="Wingdings" w:cs="MS Gothic" w:hint="default"/>
        <w:sz w:val="20"/>
      </w:rPr>
    </w:lvl>
    <w:lvl w:ilvl="5">
      <w:start w:val="1"/>
      <w:numFmt w:val="bullet"/>
      <w:lvlText w:val=""/>
      <w:lvlJc w:val="left"/>
      <w:pPr>
        <w:tabs>
          <w:tab w:val="num" w:pos="4320"/>
        </w:tabs>
        <w:ind w:left="4320" w:hanging="360"/>
      </w:pPr>
      <w:rPr>
        <w:rFonts w:ascii="Wingdings" w:hAnsi="Wingdings" w:cs="MS Gothic" w:hint="default"/>
        <w:sz w:val="20"/>
      </w:rPr>
    </w:lvl>
    <w:lvl w:ilvl="6">
      <w:start w:val="1"/>
      <w:numFmt w:val="bullet"/>
      <w:lvlText w:val=""/>
      <w:lvlJc w:val="left"/>
      <w:pPr>
        <w:tabs>
          <w:tab w:val="num" w:pos="5040"/>
        </w:tabs>
        <w:ind w:left="5040" w:hanging="360"/>
      </w:pPr>
      <w:rPr>
        <w:rFonts w:ascii="Wingdings" w:hAnsi="Wingdings" w:cs="MS Gothic" w:hint="default"/>
        <w:sz w:val="20"/>
      </w:rPr>
    </w:lvl>
    <w:lvl w:ilvl="7">
      <w:start w:val="1"/>
      <w:numFmt w:val="bullet"/>
      <w:lvlText w:val=""/>
      <w:lvlJc w:val="left"/>
      <w:pPr>
        <w:tabs>
          <w:tab w:val="num" w:pos="5760"/>
        </w:tabs>
        <w:ind w:left="5760" w:hanging="360"/>
      </w:pPr>
      <w:rPr>
        <w:rFonts w:ascii="Wingdings" w:hAnsi="Wingdings" w:cs="MS Gothic" w:hint="default"/>
        <w:sz w:val="20"/>
      </w:rPr>
    </w:lvl>
    <w:lvl w:ilvl="8">
      <w:start w:val="1"/>
      <w:numFmt w:val="bullet"/>
      <w:lvlText w:val=""/>
      <w:lvlJc w:val="left"/>
      <w:pPr>
        <w:tabs>
          <w:tab w:val="num" w:pos="6480"/>
        </w:tabs>
        <w:ind w:left="6480" w:hanging="360"/>
      </w:pPr>
      <w:rPr>
        <w:rFonts w:ascii="Wingdings" w:hAnsi="Wingdings" w:cs="MS Gothic" w:hint="default"/>
        <w:sz w:val="20"/>
      </w:rPr>
    </w:lvl>
  </w:abstractNum>
  <w:abstractNum w:abstractNumId="16" w15:restartNumberingAfterBreak="0">
    <w:nsid w:val="00000010"/>
    <w:multiLevelType w:val="singleLevel"/>
    <w:tmpl w:val="00000010"/>
    <w:name w:val="WW8Num15"/>
    <w:lvl w:ilvl="0">
      <w:start w:val="1"/>
      <w:numFmt w:val="bullet"/>
      <w:lvlText w:val=""/>
      <w:lvlJc w:val="left"/>
      <w:pPr>
        <w:tabs>
          <w:tab w:val="num" w:pos="720"/>
        </w:tabs>
        <w:ind w:left="720" w:hanging="360"/>
      </w:pPr>
      <w:rPr>
        <w:rFonts w:ascii="Symbol" w:hAnsi="Symbol" w:cs="Batang" w:hint="default"/>
      </w:rPr>
    </w:lvl>
  </w:abstractNum>
  <w:abstractNum w:abstractNumId="17" w15:restartNumberingAfterBreak="0">
    <w:nsid w:val="084F5E0C"/>
    <w:multiLevelType w:val="multilevel"/>
    <w:tmpl w:val="91B44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C611A7D"/>
    <w:multiLevelType w:val="multilevel"/>
    <w:tmpl w:val="CC0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B826E52"/>
    <w:multiLevelType w:val="multilevel"/>
    <w:tmpl w:val="416C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8105B7"/>
    <w:multiLevelType w:val="multilevel"/>
    <w:tmpl w:val="E82C7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896021"/>
    <w:multiLevelType w:val="multilevel"/>
    <w:tmpl w:val="52D63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363A87"/>
    <w:multiLevelType w:val="hybridMultilevel"/>
    <w:tmpl w:val="BE06A07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CE7534"/>
    <w:multiLevelType w:val="multilevel"/>
    <w:tmpl w:val="146A7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1C41B7"/>
    <w:multiLevelType w:val="multilevel"/>
    <w:tmpl w:val="ACEEA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CF2752"/>
    <w:multiLevelType w:val="multilevel"/>
    <w:tmpl w:val="5D0A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8054786">
    <w:abstractNumId w:val="1"/>
  </w:num>
  <w:num w:numId="2" w16cid:durableId="401997867">
    <w:abstractNumId w:val="2"/>
  </w:num>
  <w:num w:numId="3" w16cid:durableId="1501307443">
    <w:abstractNumId w:val="3"/>
  </w:num>
  <w:num w:numId="4" w16cid:durableId="1625499699">
    <w:abstractNumId w:val="4"/>
  </w:num>
  <w:num w:numId="5" w16cid:durableId="600183237">
    <w:abstractNumId w:val="5"/>
  </w:num>
  <w:num w:numId="6" w16cid:durableId="1868906803">
    <w:abstractNumId w:val="6"/>
  </w:num>
  <w:num w:numId="7" w16cid:durableId="594283592">
    <w:abstractNumId w:val="7"/>
  </w:num>
  <w:num w:numId="8" w16cid:durableId="878321419">
    <w:abstractNumId w:val="8"/>
  </w:num>
  <w:num w:numId="9" w16cid:durableId="1278681372">
    <w:abstractNumId w:val="9"/>
  </w:num>
  <w:num w:numId="10" w16cid:durableId="1615097057">
    <w:abstractNumId w:val="10"/>
  </w:num>
  <w:num w:numId="11" w16cid:durableId="2030980509">
    <w:abstractNumId w:val="11"/>
  </w:num>
  <w:num w:numId="12" w16cid:durableId="1098283987">
    <w:abstractNumId w:val="12"/>
  </w:num>
  <w:num w:numId="13" w16cid:durableId="1309096462">
    <w:abstractNumId w:val="13"/>
  </w:num>
  <w:num w:numId="14" w16cid:durableId="128286049">
    <w:abstractNumId w:val="14"/>
  </w:num>
  <w:num w:numId="15" w16cid:durableId="109783704">
    <w:abstractNumId w:val="15"/>
  </w:num>
  <w:num w:numId="16" w16cid:durableId="1420053547">
    <w:abstractNumId w:val="16"/>
  </w:num>
  <w:num w:numId="17" w16cid:durableId="1374573967">
    <w:abstractNumId w:val="23"/>
  </w:num>
  <w:num w:numId="18" w16cid:durableId="1938445821">
    <w:abstractNumId w:val="25"/>
  </w:num>
  <w:num w:numId="19" w16cid:durableId="1213690864">
    <w:abstractNumId w:val="18"/>
  </w:num>
  <w:num w:numId="20" w16cid:durableId="2110999525">
    <w:abstractNumId w:val="21"/>
  </w:num>
  <w:num w:numId="21" w16cid:durableId="199518576">
    <w:abstractNumId w:val="24"/>
  </w:num>
  <w:num w:numId="22" w16cid:durableId="877206261">
    <w:abstractNumId w:val="17"/>
  </w:num>
  <w:num w:numId="23" w16cid:durableId="297226311">
    <w:abstractNumId w:val="19"/>
  </w:num>
  <w:num w:numId="24" w16cid:durableId="792793867">
    <w:abstractNumId w:val="20"/>
  </w:num>
  <w:num w:numId="25" w16cid:durableId="389111737">
    <w:abstractNumId w:val="22"/>
  </w:num>
  <w:num w:numId="26" w16cid:durableId="5374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4D9"/>
    <w:rsid w:val="00087C12"/>
    <w:rsid w:val="000F54D9"/>
    <w:rsid w:val="001329F5"/>
    <w:rsid w:val="00136680"/>
    <w:rsid w:val="00145812"/>
    <w:rsid w:val="001B0D34"/>
    <w:rsid w:val="003C1956"/>
    <w:rsid w:val="003C4FB0"/>
    <w:rsid w:val="004C7C23"/>
    <w:rsid w:val="00613383"/>
    <w:rsid w:val="0062098E"/>
    <w:rsid w:val="007B7B63"/>
    <w:rsid w:val="008978F6"/>
    <w:rsid w:val="008C7F1B"/>
    <w:rsid w:val="009907FD"/>
    <w:rsid w:val="00A21B8E"/>
    <w:rsid w:val="00AA468E"/>
    <w:rsid w:val="00AD5DAF"/>
    <w:rsid w:val="00BE7690"/>
    <w:rsid w:val="00C279B7"/>
    <w:rsid w:val="00C51EB5"/>
    <w:rsid w:val="00CD3E07"/>
    <w:rsid w:val="00D140B1"/>
    <w:rsid w:val="00D538E0"/>
    <w:rsid w:val="00DA3DE6"/>
    <w:rsid w:val="00DB47EB"/>
    <w:rsid w:val="00DF23C0"/>
    <w:rsid w:val="00EC2E49"/>
    <w:rsid w:val="00F35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30D09"/>
  <w15:chartTrackingRefBased/>
  <w15:docId w15:val="{775442CE-BE76-401E-8993-4E31C6AEE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4D9"/>
    <w:rPr>
      <w:lang w:val="en-GB"/>
    </w:rPr>
  </w:style>
  <w:style w:type="paragraph" w:styleId="Heading1">
    <w:name w:val="heading 1"/>
    <w:basedOn w:val="Normal"/>
    <w:next w:val="BodyText"/>
    <w:link w:val="Heading1Char"/>
    <w:qFormat/>
    <w:rsid w:val="000F54D9"/>
    <w:pPr>
      <w:numPr>
        <w:numId w:val="1"/>
      </w:numPr>
      <w:suppressAutoHyphens/>
      <w:spacing w:before="280" w:after="280" w:line="240" w:lineRule="auto"/>
      <w:outlineLvl w:val="0"/>
    </w:pPr>
    <w:rPr>
      <w:rFonts w:ascii="Times New Roman" w:eastAsia="Batang" w:hAnsi="Times New Roman" w:cs="Times New Roman"/>
      <w:b/>
      <w:bCs/>
      <w:kern w:val="2"/>
      <w:sz w:val="48"/>
      <w:szCs w:val="48"/>
      <w:lang w:eastAsia="zh-CN"/>
    </w:rPr>
  </w:style>
  <w:style w:type="paragraph" w:styleId="Heading2">
    <w:name w:val="heading 2"/>
    <w:basedOn w:val="Normal"/>
    <w:next w:val="Normal"/>
    <w:link w:val="Heading2Char"/>
    <w:qFormat/>
    <w:rsid w:val="000F54D9"/>
    <w:pPr>
      <w:keepNext/>
      <w:numPr>
        <w:ilvl w:val="1"/>
        <w:numId w:val="1"/>
      </w:numPr>
      <w:suppressAutoHyphens/>
      <w:spacing w:before="240" w:after="60" w:line="240" w:lineRule="auto"/>
      <w:outlineLvl w:val="1"/>
    </w:pPr>
    <w:rPr>
      <w:rFonts w:ascii="Cambria" w:eastAsia="Times New Roman" w:hAnsi="Cambria" w:cs="Cambria"/>
      <w:b/>
      <w:bCs/>
      <w:i/>
      <w:iCs/>
      <w:sz w:val="28"/>
      <w:szCs w:val="28"/>
      <w:lang w:eastAsia="zh-CN"/>
    </w:rPr>
  </w:style>
  <w:style w:type="paragraph" w:styleId="Heading3">
    <w:name w:val="heading 3"/>
    <w:basedOn w:val="Normal"/>
    <w:next w:val="BodyText"/>
    <w:link w:val="Heading3Char"/>
    <w:qFormat/>
    <w:rsid w:val="000F54D9"/>
    <w:pPr>
      <w:numPr>
        <w:ilvl w:val="2"/>
        <w:numId w:val="1"/>
      </w:numPr>
      <w:suppressAutoHyphens/>
      <w:spacing w:before="280" w:after="280" w:line="240" w:lineRule="auto"/>
      <w:outlineLvl w:val="2"/>
    </w:pPr>
    <w:rPr>
      <w:rFonts w:ascii="Times New Roman" w:eastAsia="Batang" w:hAnsi="Times New Roman" w:cs="Times New Roman"/>
      <w:b/>
      <w:bCs/>
      <w:sz w:val="27"/>
      <w:szCs w:val="27"/>
      <w:lang w:eastAsia="zh-CN"/>
    </w:rPr>
  </w:style>
  <w:style w:type="paragraph" w:styleId="Heading4">
    <w:name w:val="heading 4"/>
    <w:basedOn w:val="Normal"/>
    <w:next w:val="Normal"/>
    <w:link w:val="Heading4Char"/>
    <w:qFormat/>
    <w:rsid w:val="000F54D9"/>
    <w:pPr>
      <w:keepNext/>
      <w:widowControl w:val="0"/>
      <w:numPr>
        <w:ilvl w:val="3"/>
        <w:numId w:val="1"/>
      </w:numPr>
      <w:suppressAutoHyphens/>
      <w:autoSpaceDE w:val="0"/>
      <w:spacing w:before="240" w:after="60" w:line="240" w:lineRule="auto"/>
      <w:outlineLvl w:val="3"/>
    </w:pPr>
    <w:rPr>
      <w:rFonts w:ascii="Times" w:eastAsia="Batang" w:hAnsi="Times" w:cs="Times"/>
      <w:b/>
      <w:bCs/>
      <w:sz w:val="24"/>
      <w:szCs w:val="24"/>
    </w:rPr>
  </w:style>
  <w:style w:type="paragraph" w:styleId="Heading5">
    <w:name w:val="heading 5"/>
    <w:basedOn w:val="Normal"/>
    <w:next w:val="Normal"/>
    <w:link w:val="Heading5Char"/>
    <w:qFormat/>
    <w:rsid w:val="000F54D9"/>
    <w:pPr>
      <w:keepNext/>
      <w:widowControl w:val="0"/>
      <w:numPr>
        <w:ilvl w:val="4"/>
        <w:numId w:val="1"/>
      </w:numPr>
      <w:suppressAutoHyphens/>
      <w:autoSpaceDE w:val="0"/>
      <w:spacing w:before="240" w:after="60" w:line="240" w:lineRule="auto"/>
      <w:outlineLvl w:val="4"/>
    </w:pPr>
    <w:rPr>
      <w:rFonts w:ascii="Times" w:eastAsia="Batang" w:hAnsi="Times" w:cs="Times"/>
      <w:b/>
      <w:bCs/>
      <w:sz w:val="24"/>
      <w:szCs w:val="24"/>
    </w:rPr>
  </w:style>
  <w:style w:type="paragraph" w:styleId="Heading6">
    <w:name w:val="heading 6"/>
    <w:basedOn w:val="Normal"/>
    <w:next w:val="Normal"/>
    <w:link w:val="Heading6Char"/>
    <w:qFormat/>
    <w:rsid w:val="000F54D9"/>
    <w:pPr>
      <w:keepNext/>
      <w:widowControl w:val="0"/>
      <w:numPr>
        <w:ilvl w:val="5"/>
        <w:numId w:val="1"/>
      </w:numPr>
      <w:suppressAutoHyphens/>
      <w:autoSpaceDE w:val="0"/>
      <w:spacing w:before="240" w:after="60" w:line="240" w:lineRule="auto"/>
      <w:outlineLvl w:val="5"/>
    </w:pPr>
    <w:rPr>
      <w:rFonts w:ascii="Times" w:eastAsia="Batang" w:hAnsi="Times" w:cs="Times"/>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F54D9"/>
    <w:rPr>
      <w:rFonts w:ascii="Times New Roman" w:eastAsia="Batang" w:hAnsi="Times New Roman" w:cs="Times New Roman"/>
      <w:b/>
      <w:bCs/>
      <w:kern w:val="2"/>
      <w:sz w:val="48"/>
      <w:szCs w:val="48"/>
      <w:lang w:val="en-GB" w:eastAsia="zh-CN"/>
    </w:rPr>
  </w:style>
  <w:style w:type="character" w:customStyle="1" w:styleId="Heading2Char">
    <w:name w:val="Heading 2 Char"/>
    <w:basedOn w:val="DefaultParagraphFont"/>
    <w:link w:val="Heading2"/>
    <w:rsid w:val="000F54D9"/>
    <w:rPr>
      <w:rFonts w:ascii="Cambria" w:eastAsia="Times New Roman" w:hAnsi="Cambria" w:cs="Cambria"/>
      <w:b/>
      <w:bCs/>
      <w:i/>
      <w:iCs/>
      <w:sz w:val="28"/>
      <w:szCs w:val="28"/>
      <w:lang w:val="en-GB" w:eastAsia="zh-CN"/>
    </w:rPr>
  </w:style>
  <w:style w:type="character" w:customStyle="1" w:styleId="Heading3Char">
    <w:name w:val="Heading 3 Char"/>
    <w:basedOn w:val="DefaultParagraphFont"/>
    <w:link w:val="Heading3"/>
    <w:rsid w:val="000F54D9"/>
    <w:rPr>
      <w:rFonts w:ascii="Times New Roman" w:eastAsia="Batang" w:hAnsi="Times New Roman" w:cs="Times New Roman"/>
      <w:b/>
      <w:bCs/>
      <w:sz w:val="27"/>
      <w:szCs w:val="27"/>
      <w:lang w:val="en-GB" w:eastAsia="zh-CN"/>
    </w:rPr>
  </w:style>
  <w:style w:type="character" w:customStyle="1" w:styleId="Heading4Char">
    <w:name w:val="Heading 4 Char"/>
    <w:basedOn w:val="DefaultParagraphFont"/>
    <w:link w:val="Heading4"/>
    <w:rsid w:val="000F54D9"/>
    <w:rPr>
      <w:rFonts w:ascii="Times" w:eastAsia="Batang" w:hAnsi="Times" w:cs="Times"/>
      <w:b/>
      <w:bCs/>
      <w:sz w:val="24"/>
      <w:szCs w:val="24"/>
      <w:lang w:val="en-GB"/>
    </w:rPr>
  </w:style>
  <w:style w:type="character" w:customStyle="1" w:styleId="Heading5Char">
    <w:name w:val="Heading 5 Char"/>
    <w:basedOn w:val="DefaultParagraphFont"/>
    <w:link w:val="Heading5"/>
    <w:rsid w:val="000F54D9"/>
    <w:rPr>
      <w:rFonts w:ascii="Times" w:eastAsia="Batang" w:hAnsi="Times" w:cs="Times"/>
      <w:b/>
      <w:bCs/>
      <w:sz w:val="24"/>
      <w:szCs w:val="24"/>
      <w:lang w:val="en-GB"/>
    </w:rPr>
  </w:style>
  <w:style w:type="character" w:customStyle="1" w:styleId="Heading6Char">
    <w:name w:val="Heading 6 Char"/>
    <w:basedOn w:val="DefaultParagraphFont"/>
    <w:link w:val="Heading6"/>
    <w:rsid w:val="000F54D9"/>
    <w:rPr>
      <w:rFonts w:ascii="Times" w:eastAsia="Batang" w:hAnsi="Times" w:cs="Times"/>
      <w:b/>
      <w:bCs/>
      <w:sz w:val="24"/>
      <w:szCs w:val="24"/>
      <w:lang w:val="en-GB"/>
    </w:rPr>
  </w:style>
  <w:style w:type="paragraph" w:styleId="BodyText">
    <w:name w:val="Body Text"/>
    <w:basedOn w:val="Normal"/>
    <w:link w:val="BodyTextChar"/>
    <w:rsid w:val="000F54D9"/>
    <w:pPr>
      <w:suppressAutoHyphens/>
      <w:spacing w:after="0" w:line="240" w:lineRule="auto"/>
      <w:jc w:val="both"/>
    </w:pPr>
    <w:rPr>
      <w:rFonts w:ascii="Times New Roman" w:eastAsia="Times New Roman" w:hAnsi="Times New Roman" w:cs="Times New Roman"/>
      <w:sz w:val="24"/>
      <w:szCs w:val="20"/>
      <w:lang w:eastAsia="zh-CN"/>
    </w:rPr>
  </w:style>
  <w:style w:type="character" w:customStyle="1" w:styleId="BodyTextChar">
    <w:name w:val="Body Text Char"/>
    <w:basedOn w:val="DefaultParagraphFont"/>
    <w:link w:val="BodyText"/>
    <w:rsid w:val="000F54D9"/>
    <w:rPr>
      <w:rFonts w:ascii="Times New Roman" w:eastAsia="Times New Roman" w:hAnsi="Times New Roman" w:cs="Times New Roman"/>
      <w:sz w:val="24"/>
      <w:szCs w:val="20"/>
      <w:lang w:val="en-GB" w:eastAsia="zh-CN"/>
    </w:rPr>
  </w:style>
  <w:style w:type="paragraph" w:styleId="NormalWeb">
    <w:name w:val="Normal (Web)"/>
    <w:basedOn w:val="Normal"/>
    <w:uiPriority w:val="99"/>
    <w:rsid w:val="000F54D9"/>
    <w:pPr>
      <w:suppressAutoHyphens/>
      <w:spacing w:before="280" w:after="280" w:line="240" w:lineRule="auto"/>
    </w:pPr>
    <w:rPr>
      <w:rFonts w:ascii="Times New Roman" w:eastAsia="Times New Roman" w:hAnsi="Times New Roman" w:cs="Times New Roman"/>
      <w:sz w:val="24"/>
      <w:szCs w:val="24"/>
      <w:lang w:val="es-ES_tradnl" w:eastAsia="zh-CN"/>
    </w:rPr>
  </w:style>
  <w:style w:type="character" w:styleId="CommentReference">
    <w:name w:val="annotation reference"/>
    <w:rsid w:val="000F54D9"/>
    <w:rPr>
      <w:sz w:val="16"/>
      <w:szCs w:val="16"/>
    </w:rPr>
  </w:style>
  <w:style w:type="character" w:styleId="Hyperlink">
    <w:name w:val="Hyperlink"/>
    <w:basedOn w:val="DefaultParagraphFont"/>
    <w:unhideWhenUsed/>
    <w:rsid w:val="000F54D9"/>
    <w:rPr>
      <w:color w:val="0563C1" w:themeColor="hyperlink"/>
      <w:u w:val="single"/>
    </w:rPr>
  </w:style>
  <w:style w:type="character" w:customStyle="1" w:styleId="databold1">
    <w:name w:val="data_bold1"/>
    <w:rsid w:val="000F54D9"/>
    <w:rPr>
      <w:b/>
      <w:bCs/>
    </w:rPr>
  </w:style>
  <w:style w:type="paragraph" w:customStyle="1" w:styleId="11-Table-T">
    <w:name w:val="11-Table-T"/>
    <w:basedOn w:val="Normal"/>
    <w:rsid w:val="000F54D9"/>
    <w:pPr>
      <w:suppressAutoHyphens/>
      <w:spacing w:before="60" w:after="60" w:line="220" w:lineRule="exact"/>
      <w:jc w:val="center"/>
    </w:pPr>
    <w:rPr>
      <w:rFonts w:ascii="Times New Roman" w:eastAsia="Times" w:hAnsi="Times New Roman" w:cs="Times New Roman"/>
      <w:sz w:val="16"/>
      <w:szCs w:val="20"/>
      <w:lang w:eastAsia="zh-CN"/>
    </w:rPr>
  </w:style>
  <w:style w:type="character" w:customStyle="1" w:styleId="sub-query">
    <w:name w:val="sub-query"/>
    <w:basedOn w:val="DefaultParagraphFont"/>
    <w:rsid w:val="000F54D9"/>
  </w:style>
  <w:style w:type="character" w:customStyle="1" w:styleId="row-boolean">
    <w:name w:val="row-boolean"/>
    <w:basedOn w:val="DefaultParagraphFont"/>
    <w:rsid w:val="000F54D9"/>
  </w:style>
  <w:style w:type="character" w:customStyle="1" w:styleId="WW8Num1z0">
    <w:name w:val="WW8Num1z0"/>
    <w:rsid w:val="000F54D9"/>
    <w:rPr>
      <w:rFonts w:ascii="Symbol" w:hAnsi="Symbol" w:cs="Symbol" w:hint="default"/>
    </w:rPr>
  </w:style>
  <w:style w:type="character" w:customStyle="1" w:styleId="WW8Num2z0">
    <w:name w:val="WW8Num2z0"/>
    <w:rsid w:val="000F54D9"/>
    <w:rPr>
      <w:rFonts w:ascii="Symbol" w:hAnsi="Symbol" w:cs="Symbol" w:hint="default"/>
      <w:color w:val="000000"/>
      <w:sz w:val="20"/>
      <w:szCs w:val="20"/>
    </w:rPr>
  </w:style>
  <w:style w:type="character" w:customStyle="1" w:styleId="WW8Num2z1">
    <w:name w:val="WW8Num2z1"/>
    <w:rsid w:val="000F54D9"/>
    <w:rPr>
      <w:rFonts w:ascii="Courier New" w:hAnsi="Courier New" w:cs="Courier New" w:hint="default"/>
      <w:sz w:val="20"/>
    </w:rPr>
  </w:style>
  <w:style w:type="character" w:customStyle="1" w:styleId="WW8Num2z2">
    <w:name w:val="WW8Num2z2"/>
    <w:rsid w:val="000F54D9"/>
    <w:rPr>
      <w:rFonts w:ascii="Wingdings" w:hAnsi="Wingdings" w:cs="Wingdings" w:hint="default"/>
      <w:sz w:val="20"/>
    </w:rPr>
  </w:style>
  <w:style w:type="character" w:customStyle="1" w:styleId="WW8Num3z0">
    <w:name w:val="WW8Num3z0"/>
    <w:rsid w:val="000F54D9"/>
    <w:rPr>
      <w:rFonts w:ascii="Symbol" w:eastAsia="SimSun" w:hAnsi="Symbol" w:cs="Symbol" w:hint="default"/>
      <w:sz w:val="20"/>
      <w:szCs w:val="20"/>
    </w:rPr>
  </w:style>
  <w:style w:type="character" w:customStyle="1" w:styleId="WW8Num3z1">
    <w:name w:val="WW8Num3z1"/>
    <w:rsid w:val="000F54D9"/>
    <w:rPr>
      <w:rFonts w:ascii="Courier New" w:hAnsi="Courier New" w:cs="Times New Roman" w:hint="default"/>
      <w:sz w:val="20"/>
    </w:rPr>
  </w:style>
  <w:style w:type="character" w:customStyle="1" w:styleId="WW8Num3z2">
    <w:name w:val="WW8Num3z2"/>
    <w:rsid w:val="000F54D9"/>
    <w:rPr>
      <w:rFonts w:ascii="Wingdings" w:hAnsi="Wingdings" w:cs="Wingdings" w:hint="default"/>
      <w:sz w:val="20"/>
    </w:rPr>
  </w:style>
  <w:style w:type="character" w:customStyle="1" w:styleId="WW8Num4z0">
    <w:name w:val="WW8Num4z0"/>
    <w:rsid w:val="000F54D9"/>
    <w:rPr>
      <w:rFonts w:ascii="Symbol" w:hAnsi="Symbol" w:cs="Symbol" w:hint="default"/>
      <w:color w:val="000000"/>
      <w:sz w:val="20"/>
      <w:szCs w:val="20"/>
    </w:rPr>
  </w:style>
  <w:style w:type="character" w:customStyle="1" w:styleId="WW8Num4z1">
    <w:name w:val="WW8Num4z1"/>
    <w:rsid w:val="000F54D9"/>
    <w:rPr>
      <w:rFonts w:ascii="Courier New" w:hAnsi="Courier New" w:cs="Courier New" w:hint="default"/>
      <w:sz w:val="20"/>
    </w:rPr>
  </w:style>
  <w:style w:type="character" w:customStyle="1" w:styleId="WW8Num4z2">
    <w:name w:val="WW8Num4z2"/>
    <w:rsid w:val="000F54D9"/>
    <w:rPr>
      <w:rFonts w:ascii="Wingdings" w:hAnsi="Wingdings" w:cs="Wingdings" w:hint="default"/>
      <w:sz w:val="20"/>
    </w:rPr>
  </w:style>
  <w:style w:type="character" w:customStyle="1" w:styleId="WW8Num5z0">
    <w:name w:val="WW8Num5z0"/>
    <w:rsid w:val="000F54D9"/>
    <w:rPr>
      <w:b/>
      <w:color w:val="0000CC"/>
    </w:rPr>
  </w:style>
  <w:style w:type="character" w:customStyle="1" w:styleId="WW8Num5z1">
    <w:name w:val="WW8Num5z1"/>
    <w:rsid w:val="000F54D9"/>
  </w:style>
  <w:style w:type="character" w:customStyle="1" w:styleId="WW8Num5z2">
    <w:name w:val="WW8Num5z2"/>
    <w:rsid w:val="000F54D9"/>
  </w:style>
  <w:style w:type="character" w:customStyle="1" w:styleId="WW8Num5z3">
    <w:name w:val="WW8Num5z3"/>
    <w:rsid w:val="000F54D9"/>
  </w:style>
  <w:style w:type="character" w:customStyle="1" w:styleId="WW8Num5z4">
    <w:name w:val="WW8Num5z4"/>
    <w:rsid w:val="000F54D9"/>
  </w:style>
  <w:style w:type="character" w:customStyle="1" w:styleId="WW8Num5z5">
    <w:name w:val="WW8Num5z5"/>
    <w:rsid w:val="000F54D9"/>
  </w:style>
  <w:style w:type="character" w:customStyle="1" w:styleId="WW8Num5z6">
    <w:name w:val="WW8Num5z6"/>
    <w:rsid w:val="000F54D9"/>
  </w:style>
  <w:style w:type="character" w:customStyle="1" w:styleId="WW8Num5z7">
    <w:name w:val="WW8Num5z7"/>
    <w:rsid w:val="000F54D9"/>
  </w:style>
  <w:style w:type="character" w:customStyle="1" w:styleId="WW8Num5z8">
    <w:name w:val="WW8Num5z8"/>
    <w:rsid w:val="000F54D9"/>
  </w:style>
  <w:style w:type="character" w:customStyle="1" w:styleId="WW8Num6z0">
    <w:name w:val="WW8Num6z0"/>
    <w:rsid w:val="000F54D9"/>
    <w:rPr>
      <w:rFonts w:ascii="Symbol" w:hAnsi="Symbol" w:cs="Symbol" w:hint="default"/>
      <w:color w:val="000000"/>
      <w:sz w:val="20"/>
      <w:szCs w:val="20"/>
    </w:rPr>
  </w:style>
  <w:style w:type="character" w:customStyle="1" w:styleId="WW8Num6z1">
    <w:name w:val="WW8Num6z1"/>
    <w:rsid w:val="000F54D9"/>
    <w:rPr>
      <w:rFonts w:ascii="Courier New" w:hAnsi="Courier New" w:cs="Courier New" w:hint="default"/>
      <w:sz w:val="20"/>
    </w:rPr>
  </w:style>
  <w:style w:type="character" w:customStyle="1" w:styleId="WW8Num6z2">
    <w:name w:val="WW8Num6z2"/>
    <w:rsid w:val="000F54D9"/>
    <w:rPr>
      <w:rFonts w:ascii="Wingdings" w:hAnsi="Wingdings" w:cs="Wingdings" w:hint="default"/>
      <w:sz w:val="20"/>
    </w:rPr>
  </w:style>
  <w:style w:type="character" w:customStyle="1" w:styleId="WW8Num7z0">
    <w:name w:val="WW8Num7z0"/>
    <w:rsid w:val="000F54D9"/>
    <w:rPr>
      <w:rFonts w:ascii="Symbol" w:hAnsi="Symbol" w:cs="Symbol" w:hint="default"/>
      <w:color w:val="000000"/>
      <w:sz w:val="20"/>
      <w:szCs w:val="20"/>
    </w:rPr>
  </w:style>
  <w:style w:type="character" w:customStyle="1" w:styleId="WW8Num7z1">
    <w:name w:val="WW8Num7z1"/>
    <w:rsid w:val="000F54D9"/>
    <w:rPr>
      <w:rFonts w:ascii="Courier New" w:hAnsi="Courier New" w:cs="Courier New" w:hint="default"/>
      <w:sz w:val="20"/>
    </w:rPr>
  </w:style>
  <w:style w:type="character" w:customStyle="1" w:styleId="WW8Num7z2">
    <w:name w:val="WW8Num7z2"/>
    <w:rsid w:val="000F54D9"/>
    <w:rPr>
      <w:rFonts w:ascii="Wingdings" w:hAnsi="Wingdings" w:cs="Wingdings" w:hint="default"/>
      <w:sz w:val="20"/>
    </w:rPr>
  </w:style>
  <w:style w:type="character" w:customStyle="1" w:styleId="WW8Num8z0">
    <w:name w:val="WW8Num8z0"/>
    <w:rsid w:val="000F54D9"/>
    <w:rPr>
      <w:rFonts w:ascii="Symbol" w:hAnsi="Symbol" w:cs="Symbol" w:hint="default"/>
      <w:color w:val="000000"/>
      <w:sz w:val="20"/>
      <w:szCs w:val="20"/>
    </w:rPr>
  </w:style>
  <w:style w:type="character" w:customStyle="1" w:styleId="WW8Num8z1">
    <w:name w:val="WW8Num8z1"/>
    <w:rsid w:val="000F54D9"/>
    <w:rPr>
      <w:rFonts w:ascii="Courier New" w:hAnsi="Courier New" w:cs="Courier New" w:hint="default"/>
      <w:sz w:val="20"/>
    </w:rPr>
  </w:style>
  <w:style w:type="character" w:customStyle="1" w:styleId="WW8Num8z2">
    <w:name w:val="WW8Num8z2"/>
    <w:rsid w:val="000F54D9"/>
    <w:rPr>
      <w:rFonts w:ascii="Wingdings" w:hAnsi="Wingdings" w:cs="Wingdings" w:hint="default"/>
      <w:sz w:val="20"/>
    </w:rPr>
  </w:style>
  <w:style w:type="character" w:customStyle="1" w:styleId="WW8Num9z0">
    <w:name w:val="WW8Num9z0"/>
    <w:rsid w:val="000F54D9"/>
  </w:style>
  <w:style w:type="character" w:customStyle="1" w:styleId="WW8Num9z1">
    <w:name w:val="WW8Num9z1"/>
    <w:rsid w:val="000F54D9"/>
  </w:style>
  <w:style w:type="character" w:customStyle="1" w:styleId="WW8Num9z2">
    <w:name w:val="WW8Num9z2"/>
    <w:rsid w:val="000F54D9"/>
  </w:style>
  <w:style w:type="character" w:customStyle="1" w:styleId="WW8Num9z3">
    <w:name w:val="WW8Num9z3"/>
    <w:rsid w:val="000F54D9"/>
  </w:style>
  <w:style w:type="character" w:customStyle="1" w:styleId="WW8Num9z4">
    <w:name w:val="WW8Num9z4"/>
    <w:rsid w:val="000F54D9"/>
  </w:style>
  <w:style w:type="character" w:customStyle="1" w:styleId="WW8Num9z5">
    <w:name w:val="WW8Num9z5"/>
    <w:rsid w:val="000F54D9"/>
  </w:style>
  <w:style w:type="character" w:customStyle="1" w:styleId="WW8Num9z6">
    <w:name w:val="WW8Num9z6"/>
    <w:rsid w:val="000F54D9"/>
  </w:style>
  <w:style w:type="character" w:customStyle="1" w:styleId="WW8Num9z7">
    <w:name w:val="WW8Num9z7"/>
    <w:rsid w:val="000F54D9"/>
  </w:style>
  <w:style w:type="character" w:customStyle="1" w:styleId="WW8Num9z8">
    <w:name w:val="WW8Num9z8"/>
    <w:rsid w:val="000F54D9"/>
  </w:style>
  <w:style w:type="character" w:customStyle="1" w:styleId="WW8Num10z0">
    <w:name w:val="WW8Num10z0"/>
    <w:rsid w:val="000F54D9"/>
    <w:rPr>
      <w:rFonts w:ascii="Symbol" w:hAnsi="Symbol" w:cs="Symbol" w:hint="default"/>
      <w:color w:val="000000"/>
      <w:sz w:val="20"/>
      <w:szCs w:val="20"/>
    </w:rPr>
  </w:style>
  <w:style w:type="character" w:customStyle="1" w:styleId="WW8Num10z1">
    <w:name w:val="WW8Num10z1"/>
    <w:rsid w:val="000F54D9"/>
    <w:rPr>
      <w:rFonts w:ascii="Courier New" w:hAnsi="Courier New" w:cs="Courier New" w:hint="default"/>
      <w:sz w:val="20"/>
    </w:rPr>
  </w:style>
  <w:style w:type="character" w:customStyle="1" w:styleId="WW8Num10z2">
    <w:name w:val="WW8Num10z2"/>
    <w:rsid w:val="000F54D9"/>
    <w:rPr>
      <w:rFonts w:ascii="Wingdings" w:hAnsi="Wingdings" w:cs="Wingdings" w:hint="default"/>
      <w:sz w:val="20"/>
    </w:rPr>
  </w:style>
  <w:style w:type="character" w:customStyle="1" w:styleId="WW8Num11z0">
    <w:name w:val="WW8Num11z0"/>
    <w:rsid w:val="000F54D9"/>
    <w:rPr>
      <w:rFonts w:ascii="Symbol" w:hAnsi="Symbol" w:cs="Symbol" w:hint="default"/>
      <w:sz w:val="20"/>
    </w:rPr>
  </w:style>
  <w:style w:type="character" w:customStyle="1" w:styleId="WW8Num11z1">
    <w:name w:val="WW8Num11z1"/>
    <w:rsid w:val="000F54D9"/>
    <w:rPr>
      <w:rFonts w:ascii="Courier New" w:hAnsi="Courier New" w:cs="Courier New" w:hint="default"/>
      <w:sz w:val="20"/>
    </w:rPr>
  </w:style>
  <w:style w:type="character" w:customStyle="1" w:styleId="WW8Num11z2">
    <w:name w:val="WW8Num11z2"/>
    <w:rsid w:val="000F54D9"/>
    <w:rPr>
      <w:rFonts w:ascii="Wingdings" w:hAnsi="Wingdings" w:cs="Wingdings" w:hint="default"/>
      <w:sz w:val="20"/>
    </w:rPr>
  </w:style>
  <w:style w:type="character" w:customStyle="1" w:styleId="WW8Num12z0">
    <w:name w:val="WW8Num12z0"/>
    <w:rsid w:val="000F54D9"/>
    <w:rPr>
      <w:rFonts w:ascii="Symbol" w:hAnsi="Symbol" w:cs="Symbol" w:hint="default"/>
      <w:sz w:val="20"/>
    </w:rPr>
  </w:style>
  <w:style w:type="character" w:customStyle="1" w:styleId="WW8Num12z1">
    <w:name w:val="WW8Num12z1"/>
    <w:rsid w:val="000F54D9"/>
    <w:rPr>
      <w:rFonts w:ascii="Courier New" w:hAnsi="Courier New" w:cs="Courier New" w:hint="default"/>
      <w:sz w:val="20"/>
    </w:rPr>
  </w:style>
  <w:style w:type="character" w:customStyle="1" w:styleId="WW8Num12z2">
    <w:name w:val="WW8Num12z2"/>
    <w:rsid w:val="000F54D9"/>
    <w:rPr>
      <w:rFonts w:ascii="Wingdings" w:hAnsi="Wingdings" w:cs="Wingdings" w:hint="default"/>
      <w:sz w:val="20"/>
    </w:rPr>
  </w:style>
  <w:style w:type="character" w:customStyle="1" w:styleId="WW8Num13z0">
    <w:name w:val="WW8Num13z0"/>
    <w:rsid w:val="000F54D9"/>
    <w:rPr>
      <w:rFonts w:ascii="Symbol" w:hAnsi="Symbol" w:cs="Symbol" w:hint="default"/>
      <w:color w:val="000000"/>
      <w:sz w:val="20"/>
      <w:szCs w:val="20"/>
    </w:rPr>
  </w:style>
  <w:style w:type="character" w:customStyle="1" w:styleId="WW8Num13z1">
    <w:name w:val="WW8Num13z1"/>
    <w:rsid w:val="000F54D9"/>
    <w:rPr>
      <w:rFonts w:ascii="Courier New" w:hAnsi="Courier New" w:cs="Courier New" w:hint="default"/>
      <w:sz w:val="20"/>
    </w:rPr>
  </w:style>
  <w:style w:type="character" w:customStyle="1" w:styleId="WW8Num13z2">
    <w:name w:val="WW8Num13z2"/>
    <w:rsid w:val="000F54D9"/>
    <w:rPr>
      <w:rFonts w:ascii="Wingdings" w:hAnsi="Wingdings" w:cs="Wingdings" w:hint="default"/>
      <w:sz w:val="20"/>
    </w:rPr>
  </w:style>
  <w:style w:type="character" w:customStyle="1" w:styleId="WW8Num14z0">
    <w:name w:val="WW8Num14z0"/>
    <w:rsid w:val="000F54D9"/>
    <w:rPr>
      <w:rFonts w:ascii="Symbol" w:hAnsi="Symbol" w:cs="Symbol" w:hint="default"/>
      <w:color w:val="000000"/>
      <w:sz w:val="20"/>
      <w:szCs w:val="20"/>
    </w:rPr>
  </w:style>
  <w:style w:type="character" w:customStyle="1" w:styleId="WW8Num14z1">
    <w:name w:val="WW8Num14z1"/>
    <w:rsid w:val="000F54D9"/>
    <w:rPr>
      <w:rFonts w:ascii="Courier New" w:hAnsi="Courier New" w:cs="Courier New" w:hint="default"/>
      <w:sz w:val="20"/>
    </w:rPr>
  </w:style>
  <w:style w:type="character" w:customStyle="1" w:styleId="WW8Num14z2">
    <w:name w:val="WW8Num14z2"/>
    <w:rsid w:val="000F54D9"/>
    <w:rPr>
      <w:rFonts w:ascii="Wingdings" w:hAnsi="Wingdings" w:cs="Wingdings" w:hint="default"/>
      <w:sz w:val="20"/>
    </w:rPr>
  </w:style>
  <w:style w:type="character" w:customStyle="1" w:styleId="WW8Num15z0">
    <w:name w:val="WW8Num15z0"/>
    <w:rsid w:val="000F54D9"/>
    <w:rPr>
      <w:rFonts w:ascii="Symbol" w:hAnsi="Symbol" w:cs="Symbol" w:hint="default"/>
    </w:rPr>
  </w:style>
  <w:style w:type="character" w:customStyle="1" w:styleId="WW8Num15z1">
    <w:name w:val="WW8Num15z1"/>
    <w:rsid w:val="000F54D9"/>
    <w:rPr>
      <w:rFonts w:ascii="Courier New" w:hAnsi="Courier New" w:cs="Courier New" w:hint="default"/>
    </w:rPr>
  </w:style>
  <w:style w:type="character" w:customStyle="1" w:styleId="WW8Num15z2">
    <w:name w:val="WW8Num15z2"/>
    <w:rsid w:val="000F54D9"/>
    <w:rPr>
      <w:rFonts w:ascii="Wingdings" w:hAnsi="Wingdings" w:cs="Wingdings" w:hint="default"/>
    </w:rPr>
  </w:style>
  <w:style w:type="character" w:customStyle="1" w:styleId="WW8Num16z0">
    <w:name w:val="WW8Num16z0"/>
    <w:rsid w:val="000F54D9"/>
    <w:rPr>
      <w:rFonts w:ascii="Symbol" w:hAnsi="Symbol" w:cs="Symbol" w:hint="default"/>
      <w:sz w:val="20"/>
    </w:rPr>
  </w:style>
  <w:style w:type="character" w:customStyle="1" w:styleId="WW8Num16z1">
    <w:name w:val="WW8Num16z1"/>
    <w:rsid w:val="000F54D9"/>
    <w:rPr>
      <w:rFonts w:ascii="Courier New" w:hAnsi="Courier New" w:cs="Courier New" w:hint="default"/>
      <w:sz w:val="20"/>
    </w:rPr>
  </w:style>
  <w:style w:type="character" w:customStyle="1" w:styleId="WW8Num16z2">
    <w:name w:val="WW8Num16z2"/>
    <w:rsid w:val="000F54D9"/>
    <w:rPr>
      <w:rFonts w:ascii="Wingdings" w:hAnsi="Wingdings" w:cs="Wingdings" w:hint="default"/>
      <w:sz w:val="20"/>
    </w:rPr>
  </w:style>
  <w:style w:type="character" w:styleId="Emphasis">
    <w:name w:val="Emphasis"/>
    <w:qFormat/>
    <w:rsid w:val="000F54D9"/>
    <w:rPr>
      <w:i/>
      <w:iCs/>
    </w:rPr>
  </w:style>
  <w:style w:type="character" w:customStyle="1" w:styleId="colorkey12">
    <w:name w:val="color_key_12"/>
    <w:rsid w:val="000F54D9"/>
    <w:rPr>
      <w:shd w:val="clear" w:color="auto" w:fill="FFD700"/>
    </w:rPr>
  </w:style>
  <w:style w:type="character" w:customStyle="1" w:styleId="colorkey21">
    <w:name w:val="color_key_21"/>
    <w:rsid w:val="000F54D9"/>
    <w:rPr>
      <w:shd w:val="clear" w:color="auto" w:fill="00FF00"/>
    </w:rPr>
  </w:style>
  <w:style w:type="character" w:customStyle="1" w:styleId="PiedepginaCar">
    <w:name w:val="Pie de página Car"/>
    <w:rsid w:val="000F54D9"/>
    <w:rPr>
      <w:sz w:val="22"/>
      <w:szCs w:val="22"/>
    </w:rPr>
  </w:style>
  <w:style w:type="character" w:customStyle="1" w:styleId="hithilite1">
    <w:name w:val="hithilite1"/>
    <w:rsid w:val="000F54D9"/>
    <w:rPr>
      <w:shd w:val="clear" w:color="auto" w:fill="FFF3C6"/>
    </w:rPr>
  </w:style>
  <w:style w:type="character" w:styleId="Strong">
    <w:name w:val="Strong"/>
    <w:qFormat/>
    <w:rsid w:val="000F54D9"/>
    <w:rPr>
      <w:b/>
      <w:bCs/>
    </w:rPr>
  </w:style>
  <w:style w:type="character" w:customStyle="1" w:styleId="f1">
    <w:name w:val="f1"/>
    <w:rsid w:val="000F54D9"/>
    <w:rPr>
      <w:color w:val="676767"/>
    </w:rPr>
  </w:style>
  <w:style w:type="character" w:customStyle="1" w:styleId="hit">
    <w:name w:val="hit"/>
    <w:basedOn w:val="DefaultParagraphFont"/>
    <w:rsid w:val="000F54D9"/>
  </w:style>
  <w:style w:type="character" w:customStyle="1" w:styleId="smallv651">
    <w:name w:val="smallv651"/>
    <w:rsid w:val="000F54D9"/>
    <w:rPr>
      <w:sz w:val="16"/>
      <w:szCs w:val="16"/>
    </w:rPr>
  </w:style>
  <w:style w:type="character" w:customStyle="1" w:styleId="frlabel1">
    <w:name w:val="fr_label1"/>
    <w:rsid w:val="000F54D9"/>
    <w:rPr>
      <w:b/>
      <w:bCs/>
    </w:rPr>
  </w:style>
  <w:style w:type="character" w:customStyle="1" w:styleId="frsourcelabel1">
    <w:name w:val="fr_source_label1"/>
    <w:rsid w:val="000F54D9"/>
    <w:rPr>
      <w:b/>
      <w:bCs/>
    </w:rPr>
  </w:style>
  <w:style w:type="character" w:styleId="PageNumber">
    <w:name w:val="page number"/>
    <w:basedOn w:val="DefaultParagraphFont"/>
    <w:rsid w:val="000F54D9"/>
  </w:style>
  <w:style w:type="character" w:styleId="FollowedHyperlink">
    <w:name w:val="FollowedHyperlink"/>
    <w:rsid w:val="000F54D9"/>
    <w:rPr>
      <w:color w:val="800080"/>
      <w:u w:val="single"/>
    </w:rPr>
  </w:style>
  <w:style w:type="character" w:styleId="LineNumber">
    <w:name w:val="line number"/>
    <w:basedOn w:val="DefaultParagraphFont"/>
    <w:rsid w:val="000F54D9"/>
  </w:style>
  <w:style w:type="character" w:customStyle="1" w:styleId="journalname">
    <w:name w:val="journalname"/>
    <w:basedOn w:val="DefaultParagraphFont"/>
    <w:rsid w:val="000F54D9"/>
  </w:style>
  <w:style w:type="character" w:customStyle="1" w:styleId="yshortcuts">
    <w:name w:val="yshortcuts"/>
    <w:basedOn w:val="DefaultParagraphFont"/>
    <w:rsid w:val="000F54D9"/>
  </w:style>
  <w:style w:type="character" w:styleId="HTMLCite">
    <w:name w:val="HTML Cite"/>
    <w:rsid w:val="000F54D9"/>
    <w:rPr>
      <w:i/>
      <w:iCs/>
    </w:rPr>
  </w:style>
  <w:style w:type="character" w:customStyle="1" w:styleId="HeaderChar">
    <w:name w:val="Header Char"/>
    <w:uiPriority w:val="99"/>
    <w:rsid w:val="000F54D9"/>
    <w:rPr>
      <w:sz w:val="24"/>
      <w:szCs w:val="24"/>
    </w:rPr>
  </w:style>
  <w:style w:type="character" w:customStyle="1" w:styleId="A2">
    <w:name w:val="A2"/>
    <w:rsid w:val="000F54D9"/>
    <w:rPr>
      <w:rFonts w:cs="Meta Bold LF"/>
      <w:b/>
      <w:bCs/>
      <w:color w:val="211D1E"/>
      <w:sz w:val="15"/>
      <w:szCs w:val="15"/>
    </w:rPr>
  </w:style>
  <w:style w:type="character" w:customStyle="1" w:styleId="A7">
    <w:name w:val="A7"/>
    <w:rsid w:val="000F54D9"/>
    <w:rPr>
      <w:rFonts w:cs="Relay"/>
      <w:b/>
      <w:bCs/>
      <w:color w:val="211D1E"/>
      <w:sz w:val="14"/>
      <w:szCs w:val="14"/>
    </w:rPr>
  </w:style>
  <w:style w:type="character" w:customStyle="1" w:styleId="BIEmailAddressChar">
    <w:name w:val="BI_Email_Address Char"/>
    <w:rsid w:val="000F54D9"/>
    <w:rPr>
      <w:rFonts w:ascii="Times" w:eastAsia="SimSun" w:hAnsi="Times" w:cs="Times"/>
      <w:sz w:val="24"/>
      <w:lang w:val="en-US" w:bidi="ar-SA"/>
    </w:rPr>
  </w:style>
  <w:style w:type="character" w:customStyle="1" w:styleId="CharChar">
    <w:name w:val="Char Char"/>
    <w:rsid w:val="000F54D9"/>
    <w:rPr>
      <w:rFonts w:ascii="Cambria" w:eastAsia="Times New Roman" w:hAnsi="Cambria" w:cs="Times New Roman"/>
      <w:b/>
      <w:bCs/>
      <w:i/>
      <w:iCs/>
      <w:sz w:val="28"/>
      <w:szCs w:val="28"/>
    </w:rPr>
  </w:style>
  <w:style w:type="character" w:customStyle="1" w:styleId="CharChar2">
    <w:name w:val="Char Char2"/>
    <w:rsid w:val="000F54D9"/>
    <w:rPr>
      <w:rFonts w:ascii="Cambria" w:hAnsi="Cambria" w:cs="Cambria"/>
      <w:b/>
      <w:bCs/>
      <w:kern w:val="2"/>
      <w:sz w:val="32"/>
      <w:szCs w:val="32"/>
      <w:lang w:val="en-US" w:bidi="ar-SA"/>
    </w:rPr>
  </w:style>
  <w:style w:type="character" w:customStyle="1" w:styleId="CharChar1">
    <w:name w:val="Char Char1"/>
    <w:rsid w:val="000F54D9"/>
    <w:rPr>
      <w:rFonts w:ascii="Cambria" w:eastAsia="Times New Roman" w:hAnsi="Cambria" w:cs="Times New Roman"/>
      <w:b/>
      <w:bCs/>
      <w:i/>
      <w:iCs/>
      <w:sz w:val="28"/>
      <w:szCs w:val="28"/>
    </w:rPr>
  </w:style>
  <w:style w:type="character" w:customStyle="1" w:styleId="xcitationtitle1">
    <w:name w:val="xcitationtitle1"/>
    <w:rsid w:val="000F54D9"/>
    <w:rPr>
      <w:rFonts w:ascii="Verdana" w:hAnsi="Verdana" w:cs="Verdana" w:hint="default"/>
      <w:b/>
      <w:bCs/>
      <w:sz w:val="21"/>
      <w:szCs w:val="21"/>
    </w:rPr>
  </w:style>
  <w:style w:type="character" w:customStyle="1" w:styleId="cit-sep2">
    <w:name w:val="cit-sep2"/>
    <w:basedOn w:val="DefaultParagraphFont"/>
    <w:rsid w:val="000F54D9"/>
  </w:style>
  <w:style w:type="character" w:customStyle="1" w:styleId="cit-subtitle">
    <w:name w:val="cit-subtitle"/>
    <w:basedOn w:val="DefaultParagraphFont"/>
    <w:rsid w:val="000F54D9"/>
  </w:style>
  <w:style w:type="character" w:customStyle="1" w:styleId="citation">
    <w:name w:val="citation"/>
    <w:basedOn w:val="DefaultParagraphFont"/>
    <w:rsid w:val="000F54D9"/>
  </w:style>
  <w:style w:type="character" w:customStyle="1" w:styleId="article">
    <w:name w:val="article"/>
    <w:basedOn w:val="DefaultParagraphFont"/>
    <w:rsid w:val="000F54D9"/>
  </w:style>
  <w:style w:type="character" w:customStyle="1" w:styleId="FootnoteCharacters">
    <w:name w:val="Footnote Characters"/>
    <w:rsid w:val="000F54D9"/>
    <w:rPr>
      <w:vertAlign w:val="superscript"/>
    </w:rPr>
  </w:style>
  <w:style w:type="character" w:customStyle="1" w:styleId="volume">
    <w:name w:val="volume"/>
    <w:basedOn w:val="DefaultParagraphFont"/>
    <w:rsid w:val="000F54D9"/>
  </w:style>
  <w:style w:type="character" w:customStyle="1" w:styleId="issue">
    <w:name w:val="issue"/>
    <w:basedOn w:val="DefaultParagraphFont"/>
    <w:rsid w:val="000F54D9"/>
  </w:style>
  <w:style w:type="character" w:customStyle="1" w:styleId="pages">
    <w:name w:val="pages"/>
    <w:basedOn w:val="DefaultParagraphFont"/>
    <w:rsid w:val="000F54D9"/>
  </w:style>
  <w:style w:type="character" w:customStyle="1" w:styleId="ti">
    <w:name w:val="ti"/>
    <w:basedOn w:val="DefaultParagraphFont"/>
    <w:rsid w:val="000F54D9"/>
  </w:style>
  <w:style w:type="character" w:customStyle="1" w:styleId="linkbar">
    <w:name w:val="linkbar"/>
    <w:basedOn w:val="DefaultParagraphFont"/>
    <w:rsid w:val="000F54D9"/>
  </w:style>
  <w:style w:type="character" w:customStyle="1" w:styleId="featuredlinkouts">
    <w:name w:val="featured_linkouts"/>
    <w:basedOn w:val="DefaultParagraphFont"/>
    <w:rsid w:val="000F54D9"/>
  </w:style>
  <w:style w:type="character" w:customStyle="1" w:styleId="ti2">
    <w:name w:val="ti2"/>
    <w:rsid w:val="000F54D9"/>
    <w:rPr>
      <w:sz w:val="22"/>
      <w:szCs w:val="22"/>
    </w:rPr>
  </w:style>
  <w:style w:type="character" w:customStyle="1" w:styleId="AlexionBodyTextChar">
    <w:name w:val="Alexion Body Text Char"/>
    <w:rsid w:val="000F54D9"/>
    <w:rPr>
      <w:sz w:val="24"/>
      <w:lang w:val="en-US" w:bidi="ar-SA"/>
    </w:rPr>
  </w:style>
  <w:style w:type="character" w:customStyle="1" w:styleId="src1">
    <w:name w:val="src1"/>
    <w:rsid w:val="000F54D9"/>
    <w:rPr>
      <w:vanish w:val="0"/>
    </w:rPr>
  </w:style>
  <w:style w:type="character" w:customStyle="1" w:styleId="jrnl">
    <w:name w:val="jrnl"/>
    <w:basedOn w:val="DefaultParagraphFont"/>
    <w:rsid w:val="000F54D9"/>
  </w:style>
  <w:style w:type="character" w:customStyle="1" w:styleId="TitleChar">
    <w:name w:val="Title Char"/>
    <w:rsid w:val="000F54D9"/>
    <w:rPr>
      <w:rFonts w:ascii="Cambria" w:eastAsia="Times New Roman" w:hAnsi="Cambria" w:cs="Times New Roman"/>
      <w:b/>
      <w:bCs/>
      <w:kern w:val="2"/>
      <w:sz w:val="32"/>
      <w:szCs w:val="32"/>
    </w:rPr>
  </w:style>
  <w:style w:type="character" w:customStyle="1" w:styleId="IntensivesAnfhrungszeichenZchn">
    <w:name w:val="Intensives Anführungszeichen Zchn"/>
    <w:rsid w:val="000F54D9"/>
    <w:rPr>
      <w:b/>
      <w:bCs/>
      <w:i/>
      <w:iCs/>
      <w:color w:val="4F81BD"/>
      <w:sz w:val="24"/>
      <w:szCs w:val="24"/>
    </w:rPr>
  </w:style>
  <w:style w:type="character" w:customStyle="1" w:styleId="FooterChar">
    <w:name w:val="Footer Char"/>
    <w:uiPriority w:val="99"/>
    <w:rsid w:val="000F54D9"/>
    <w:rPr>
      <w:sz w:val="24"/>
      <w:szCs w:val="24"/>
    </w:rPr>
  </w:style>
  <w:style w:type="character" w:customStyle="1" w:styleId="FootnoteTextChar">
    <w:name w:val="Footnote Text Char"/>
    <w:basedOn w:val="DefaultParagraphFont"/>
    <w:rsid w:val="000F54D9"/>
  </w:style>
  <w:style w:type="character" w:customStyle="1" w:styleId="EndnoteTextChar">
    <w:name w:val="Endnote Text Char"/>
    <w:basedOn w:val="DefaultParagraphFont"/>
    <w:rsid w:val="000F54D9"/>
  </w:style>
  <w:style w:type="character" w:customStyle="1" w:styleId="EndnoteCharacters">
    <w:name w:val="Endnote Characters"/>
    <w:rsid w:val="000F54D9"/>
    <w:rPr>
      <w:vertAlign w:val="superscript"/>
    </w:rPr>
  </w:style>
  <w:style w:type="character" w:customStyle="1" w:styleId="IntensiveHervorhebung1">
    <w:name w:val="Intensive Hervorhebung1"/>
    <w:rsid w:val="000F54D9"/>
    <w:rPr>
      <w:b/>
      <w:bCs/>
      <w:i/>
      <w:iCs/>
      <w:color w:val="4F81BD"/>
    </w:rPr>
  </w:style>
  <w:style w:type="character" w:customStyle="1" w:styleId="ListBulletChar">
    <w:name w:val="List Bullet Char"/>
    <w:rsid w:val="000F54D9"/>
    <w:rPr>
      <w:sz w:val="24"/>
      <w:szCs w:val="24"/>
      <w:lang w:val="de-DE" w:bidi="ar-SA"/>
    </w:rPr>
  </w:style>
  <w:style w:type="character" w:customStyle="1" w:styleId="CommentTextChar">
    <w:name w:val="Comment Text Char"/>
    <w:basedOn w:val="DefaultParagraphFont"/>
    <w:rsid w:val="000F54D9"/>
  </w:style>
  <w:style w:type="character" w:customStyle="1" w:styleId="CommentSubjectChar">
    <w:name w:val="Comment Subject Char"/>
    <w:rsid w:val="000F54D9"/>
    <w:rPr>
      <w:b/>
      <w:bCs/>
    </w:rPr>
  </w:style>
  <w:style w:type="character" w:customStyle="1" w:styleId="BalloonTextChar">
    <w:name w:val="Balloon Text Char"/>
    <w:rsid w:val="000F54D9"/>
    <w:rPr>
      <w:rFonts w:ascii="Tahoma" w:hAnsi="Tahoma" w:cs="Tahoma"/>
      <w:sz w:val="16"/>
      <w:szCs w:val="16"/>
    </w:rPr>
  </w:style>
  <w:style w:type="character" w:customStyle="1" w:styleId="CharChar6">
    <w:name w:val="Char Char6"/>
    <w:rsid w:val="000F54D9"/>
    <w:rPr>
      <w:b/>
      <w:bCs/>
      <w:kern w:val="2"/>
      <w:sz w:val="48"/>
      <w:szCs w:val="48"/>
    </w:rPr>
  </w:style>
  <w:style w:type="character" w:customStyle="1" w:styleId="CharChar5">
    <w:name w:val="Char Char5"/>
    <w:rsid w:val="000F54D9"/>
    <w:rPr>
      <w:rFonts w:ascii="Cambria" w:eastAsia="Times New Roman" w:hAnsi="Cambria" w:cs="Times New Roman"/>
      <w:b/>
      <w:bCs/>
      <w:i/>
      <w:iCs/>
      <w:sz w:val="28"/>
      <w:szCs w:val="28"/>
    </w:rPr>
  </w:style>
  <w:style w:type="character" w:customStyle="1" w:styleId="CharChar3">
    <w:name w:val="Char Char3"/>
    <w:rsid w:val="000F54D9"/>
    <w:rPr>
      <w:b/>
      <w:bCs/>
      <w:sz w:val="28"/>
      <w:szCs w:val="28"/>
    </w:rPr>
  </w:style>
  <w:style w:type="character" w:customStyle="1" w:styleId="apple-style-span">
    <w:name w:val="apple-style-span"/>
    <w:basedOn w:val="DefaultParagraphFont"/>
    <w:rsid w:val="000F54D9"/>
  </w:style>
  <w:style w:type="character" w:customStyle="1" w:styleId="apple-converted-space">
    <w:name w:val="apple-converted-space"/>
    <w:basedOn w:val="DefaultParagraphFont"/>
    <w:rsid w:val="000F54D9"/>
  </w:style>
  <w:style w:type="character" w:customStyle="1" w:styleId="black-text-b">
    <w:name w:val="black-text-b"/>
    <w:basedOn w:val="DefaultParagraphFont"/>
    <w:rsid w:val="000F54D9"/>
  </w:style>
  <w:style w:type="character" w:customStyle="1" w:styleId="pagetext">
    <w:name w:val="page_text"/>
    <w:basedOn w:val="DefaultParagraphFont"/>
    <w:rsid w:val="000F54D9"/>
  </w:style>
  <w:style w:type="character" w:customStyle="1" w:styleId="nbapihighlight">
    <w:name w:val="nbapihighlight"/>
    <w:basedOn w:val="DefaultParagraphFont"/>
    <w:rsid w:val="000F54D9"/>
  </w:style>
  <w:style w:type="character" w:customStyle="1" w:styleId="citation-abbreviation">
    <w:name w:val="citation-abbreviation"/>
    <w:basedOn w:val="DefaultParagraphFont"/>
    <w:rsid w:val="000F54D9"/>
  </w:style>
  <w:style w:type="character" w:customStyle="1" w:styleId="citation-publication-date">
    <w:name w:val="citation-publication-date"/>
    <w:basedOn w:val="DefaultParagraphFont"/>
    <w:rsid w:val="000F54D9"/>
  </w:style>
  <w:style w:type="character" w:customStyle="1" w:styleId="citation-volume">
    <w:name w:val="citation-volume"/>
    <w:basedOn w:val="DefaultParagraphFont"/>
    <w:rsid w:val="000F54D9"/>
  </w:style>
  <w:style w:type="character" w:customStyle="1" w:styleId="citation-issue">
    <w:name w:val="citation-issue"/>
    <w:basedOn w:val="DefaultParagraphFont"/>
    <w:rsid w:val="000F54D9"/>
  </w:style>
  <w:style w:type="character" w:customStyle="1" w:styleId="citation-flpages">
    <w:name w:val="citation-flpages"/>
    <w:basedOn w:val="DefaultParagraphFont"/>
    <w:rsid w:val="000F54D9"/>
  </w:style>
  <w:style w:type="character" w:customStyle="1" w:styleId="cit-auth2">
    <w:name w:val="cit-auth2"/>
    <w:basedOn w:val="DefaultParagraphFont"/>
    <w:rsid w:val="000F54D9"/>
  </w:style>
  <w:style w:type="character" w:customStyle="1" w:styleId="cit-name-surname">
    <w:name w:val="cit-name-surname"/>
    <w:basedOn w:val="DefaultParagraphFont"/>
    <w:rsid w:val="000F54D9"/>
  </w:style>
  <w:style w:type="character" w:customStyle="1" w:styleId="cit-name-given-names">
    <w:name w:val="cit-name-given-names"/>
    <w:basedOn w:val="DefaultParagraphFont"/>
    <w:rsid w:val="000F54D9"/>
  </w:style>
  <w:style w:type="character" w:customStyle="1" w:styleId="cit-etal">
    <w:name w:val="cit-etal"/>
    <w:basedOn w:val="DefaultParagraphFont"/>
    <w:rsid w:val="000F54D9"/>
  </w:style>
  <w:style w:type="character" w:customStyle="1" w:styleId="cit-pub-date">
    <w:name w:val="cit-pub-date"/>
    <w:basedOn w:val="DefaultParagraphFont"/>
    <w:rsid w:val="000F54D9"/>
  </w:style>
  <w:style w:type="character" w:customStyle="1" w:styleId="cit-article-title">
    <w:name w:val="cit-article-title"/>
    <w:basedOn w:val="DefaultParagraphFont"/>
    <w:rsid w:val="000F54D9"/>
  </w:style>
  <w:style w:type="character" w:customStyle="1" w:styleId="cit-vol3">
    <w:name w:val="cit-vol3"/>
    <w:basedOn w:val="DefaultParagraphFont"/>
    <w:rsid w:val="000F54D9"/>
  </w:style>
  <w:style w:type="character" w:customStyle="1" w:styleId="cit-supplement">
    <w:name w:val="cit-supplement"/>
    <w:basedOn w:val="DefaultParagraphFont"/>
    <w:rsid w:val="000F54D9"/>
  </w:style>
  <w:style w:type="character" w:customStyle="1" w:styleId="cit-fpage">
    <w:name w:val="cit-fpage"/>
    <w:basedOn w:val="DefaultParagraphFont"/>
    <w:rsid w:val="000F54D9"/>
  </w:style>
  <w:style w:type="character" w:customStyle="1" w:styleId="cit-comment">
    <w:name w:val="cit-comment"/>
    <w:basedOn w:val="DefaultParagraphFont"/>
    <w:rsid w:val="000F54D9"/>
  </w:style>
  <w:style w:type="character" w:customStyle="1" w:styleId="refpreview1">
    <w:name w:val="refpreview1"/>
    <w:rsid w:val="000F54D9"/>
    <w:rPr>
      <w:vanish/>
      <w:shd w:val="clear" w:color="auto" w:fill="EEEEEE"/>
    </w:rPr>
  </w:style>
  <w:style w:type="character" w:customStyle="1" w:styleId="nbapihighlight2">
    <w:name w:val="nbapihighlight2"/>
    <w:basedOn w:val="DefaultParagraphFont"/>
    <w:rsid w:val="000F54D9"/>
  </w:style>
  <w:style w:type="character" w:customStyle="1" w:styleId="referencetext1">
    <w:name w:val="referencetext1"/>
    <w:rsid w:val="000F54D9"/>
    <w:rPr>
      <w:vanish w:val="0"/>
    </w:rPr>
  </w:style>
  <w:style w:type="character" w:customStyle="1" w:styleId="highlight">
    <w:name w:val="highlight"/>
    <w:basedOn w:val="DefaultParagraphFont"/>
    <w:rsid w:val="000F54D9"/>
  </w:style>
  <w:style w:type="character" w:customStyle="1" w:styleId="citationbook">
    <w:name w:val="citation book"/>
    <w:basedOn w:val="DefaultParagraphFont"/>
    <w:rsid w:val="000F54D9"/>
  </w:style>
  <w:style w:type="character" w:customStyle="1" w:styleId="citationjournal">
    <w:name w:val="citation journal"/>
    <w:basedOn w:val="DefaultParagraphFont"/>
    <w:rsid w:val="000F54D9"/>
  </w:style>
  <w:style w:type="character" w:customStyle="1" w:styleId="spipsurligne">
    <w:name w:val="spip_surligne"/>
    <w:basedOn w:val="DefaultParagraphFont"/>
    <w:rsid w:val="000F54D9"/>
  </w:style>
  <w:style w:type="character" w:customStyle="1" w:styleId="name">
    <w:name w:val="name"/>
    <w:basedOn w:val="DefaultParagraphFont"/>
    <w:rsid w:val="000F54D9"/>
  </w:style>
  <w:style w:type="character" w:customStyle="1" w:styleId="slug-pub-date">
    <w:name w:val="slug-pub-date"/>
    <w:basedOn w:val="DefaultParagraphFont"/>
    <w:rsid w:val="000F54D9"/>
  </w:style>
  <w:style w:type="character" w:customStyle="1" w:styleId="slug-vol">
    <w:name w:val="slug-vol"/>
    <w:basedOn w:val="DefaultParagraphFont"/>
    <w:rsid w:val="000F54D9"/>
  </w:style>
  <w:style w:type="character" w:customStyle="1" w:styleId="slug-pages">
    <w:name w:val="slug-pages"/>
    <w:basedOn w:val="DefaultParagraphFont"/>
    <w:rsid w:val="000F54D9"/>
  </w:style>
  <w:style w:type="character" w:customStyle="1" w:styleId="hidden1">
    <w:name w:val="hidden1"/>
    <w:basedOn w:val="DefaultParagraphFont"/>
    <w:rsid w:val="000F54D9"/>
  </w:style>
  <w:style w:type="character" w:customStyle="1" w:styleId="hps">
    <w:name w:val="hps"/>
    <w:basedOn w:val="DefaultParagraphFont"/>
    <w:rsid w:val="000F54D9"/>
  </w:style>
  <w:style w:type="character" w:customStyle="1" w:styleId="hpsatn">
    <w:name w:val="hps atn"/>
    <w:basedOn w:val="DefaultParagraphFont"/>
    <w:rsid w:val="000F54D9"/>
  </w:style>
  <w:style w:type="character" w:customStyle="1" w:styleId="atn">
    <w:name w:val="atn"/>
    <w:basedOn w:val="DefaultParagraphFont"/>
    <w:rsid w:val="000F54D9"/>
  </w:style>
  <w:style w:type="character" w:customStyle="1" w:styleId="printhide">
    <w:name w:val="printhide"/>
    <w:basedOn w:val="DefaultParagraphFont"/>
    <w:rsid w:val="000F54D9"/>
  </w:style>
  <w:style w:type="character" w:customStyle="1" w:styleId="spelle">
    <w:name w:val="spelle"/>
    <w:basedOn w:val="DefaultParagraphFont"/>
    <w:rsid w:val="000F54D9"/>
  </w:style>
  <w:style w:type="character" w:customStyle="1" w:styleId="Subtitle1">
    <w:name w:val="Subtitle1"/>
    <w:basedOn w:val="DefaultParagraphFont"/>
    <w:rsid w:val="000F54D9"/>
  </w:style>
  <w:style w:type="character" w:customStyle="1" w:styleId="st">
    <w:name w:val="st"/>
    <w:basedOn w:val="DefaultParagraphFont"/>
    <w:rsid w:val="000F54D9"/>
  </w:style>
  <w:style w:type="character" w:customStyle="1" w:styleId="Ttulo1Char">
    <w:name w:val="Título 1 Char"/>
    <w:rsid w:val="000F54D9"/>
    <w:rPr>
      <w:rFonts w:cs="Arial"/>
      <w:b/>
      <w:bCs/>
      <w:kern w:val="2"/>
      <w:sz w:val="24"/>
      <w:szCs w:val="32"/>
      <w:lang w:val="en-US" w:bidi="ar-SA"/>
    </w:rPr>
  </w:style>
  <w:style w:type="character" w:customStyle="1" w:styleId="RodapChar">
    <w:name w:val="Rodapé Char"/>
    <w:rsid w:val="000F54D9"/>
    <w:rPr>
      <w:sz w:val="24"/>
      <w:szCs w:val="24"/>
      <w:lang w:val="en-US" w:bidi="ar-SA"/>
    </w:rPr>
  </w:style>
  <w:style w:type="character" w:customStyle="1" w:styleId="BCAuthorAddressCarattere">
    <w:name w:val="BC_Author_Address Carattere"/>
    <w:rsid w:val="000F54D9"/>
    <w:rPr>
      <w:sz w:val="24"/>
      <w:lang w:val="it-IT"/>
    </w:rPr>
  </w:style>
  <w:style w:type="character" w:customStyle="1" w:styleId="rwrro">
    <w:name w:val="rwrro"/>
    <w:basedOn w:val="DefaultParagraphFont"/>
    <w:rsid w:val="000F54D9"/>
  </w:style>
  <w:style w:type="character" w:customStyle="1" w:styleId="ldacoc">
    <w:name w:val="ldacoc"/>
    <w:basedOn w:val="DefaultParagraphFont"/>
    <w:rsid w:val="000F54D9"/>
  </w:style>
  <w:style w:type="character" w:customStyle="1" w:styleId="TextodenotaderodapChar">
    <w:name w:val="Texto de nota de rodapé Char"/>
    <w:rsid w:val="000F54D9"/>
    <w:rPr>
      <w:rFonts w:ascii="Times" w:hAnsi="Times" w:cs="Times"/>
      <w:sz w:val="24"/>
      <w:lang w:val="en-US" w:bidi="ar-SA"/>
    </w:rPr>
  </w:style>
  <w:style w:type="character" w:customStyle="1" w:styleId="book-details-italic1">
    <w:name w:val="book-details-italic1"/>
    <w:rsid w:val="000F54D9"/>
    <w:rPr>
      <w:rFonts w:ascii="Georgia" w:hAnsi="Georgia" w:cs="Georgia" w:hint="default"/>
      <w:color w:val="999999"/>
      <w:sz w:val="12"/>
      <w:szCs w:val="12"/>
    </w:rPr>
  </w:style>
  <w:style w:type="character" w:customStyle="1" w:styleId="mediumtext1">
    <w:name w:val="medium_text1"/>
    <w:rsid w:val="000F54D9"/>
    <w:rPr>
      <w:sz w:val="24"/>
      <w:szCs w:val="24"/>
    </w:rPr>
  </w:style>
  <w:style w:type="character" w:customStyle="1" w:styleId="shorttext1">
    <w:name w:val="short_text1"/>
    <w:rsid w:val="000F54D9"/>
    <w:rPr>
      <w:sz w:val="20"/>
      <w:szCs w:val="20"/>
    </w:rPr>
  </w:style>
  <w:style w:type="character" w:customStyle="1" w:styleId="Recuodecorpodetexto3Char">
    <w:name w:val="Recuo de corpo de texto 3 Char"/>
    <w:rsid w:val="000F54D9"/>
    <w:rPr>
      <w:sz w:val="16"/>
      <w:szCs w:val="16"/>
      <w:lang w:val="es-ES" w:bidi="he-IL"/>
    </w:rPr>
  </w:style>
  <w:style w:type="character" w:customStyle="1" w:styleId="googqs-tidbit1">
    <w:name w:val="goog_qs-tidbit1"/>
    <w:rsid w:val="000F54D9"/>
    <w:rPr>
      <w:vanish w:val="0"/>
    </w:rPr>
  </w:style>
  <w:style w:type="character" w:customStyle="1" w:styleId="SubtitleChar">
    <w:name w:val="Subtitle Char"/>
    <w:rsid w:val="000F54D9"/>
    <w:rPr>
      <w:rFonts w:ascii="Cambria" w:eastAsia="MS Gothic" w:hAnsi="Cambria" w:cs="Times New Roman"/>
      <w:i/>
      <w:iCs/>
      <w:color w:val="4F81BD"/>
      <w:spacing w:val="15"/>
      <w:sz w:val="24"/>
      <w:szCs w:val="24"/>
    </w:rPr>
  </w:style>
  <w:style w:type="character" w:customStyle="1" w:styleId="NoSpacingChar">
    <w:name w:val="No Spacing Char"/>
    <w:rsid w:val="000F54D9"/>
    <w:rPr>
      <w:rFonts w:eastAsia="MS Mincho"/>
    </w:rPr>
  </w:style>
  <w:style w:type="character" w:customStyle="1" w:styleId="slug-pub-date3">
    <w:name w:val="slug-pub-date3"/>
    <w:rsid w:val="000F54D9"/>
    <w:rPr>
      <w:b/>
      <w:bCs/>
    </w:rPr>
  </w:style>
  <w:style w:type="character" w:customStyle="1" w:styleId="slug-elocation">
    <w:name w:val="slug-elocation"/>
    <w:basedOn w:val="DefaultParagraphFont"/>
    <w:rsid w:val="000F54D9"/>
  </w:style>
  <w:style w:type="character" w:customStyle="1" w:styleId="st1">
    <w:name w:val="st1"/>
    <w:basedOn w:val="DefaultParagraphFont"/>
    <w:rsid w:val="000F54D9"/>
  </w:style>
  <w:style w:type="character" w:customStyle="1" w:styleId="author1">
    <w:name w:val="author1"/>
    <w:rsid w:val="000F54D9"/>
    <w:rPr>
      <w:rFonts w:ascii="Verdana" w:hAnsi="Verdana" w:cs="Verdana" w:hint="default"/>
      <w:strike w:val="0"/>
      <w:dstrike w:val="0"/>
      <w:color w:val="000000"/>
      <w:sz w:val="20"/>
      <w:szCs w:val="20"/>
      <w:u w:val="none"/>
    </w:rPr>
  </w:style>
  <w:style w:type="character" w:customStyle="1" w:styleId="blacksml1">
    <w:name w:val="blacksml1"/>
    <w:rsid w:val="000F54D9"/>
    <w:rPr>
      <w:rFonts w:ascii="Verdana" w:hAnsi="Verdana" w:cs="Verdana" w:hint="default"/>
      <w:strike w:val="0"/>
      <w:dstrike w:val="0"/>
      <w:color w:val="000000"/>
      <w:sz w:val="15"/>
      <w:szCs w:val="15"/>
      <w:u w:val="none"/>
    </w:rPr>
  </w:style>
  <w:style w:type="character" w:customStyle="1" w:styleId="maintitle">
    <w:name w:val="maintitle"/>
    <w:basedOn w:val="DefaultParagraphFont"/>
    <w:rsid w:val="000F54D9"/>
  </w:style>
  <w:style w:type="character" w:customStyle="1" w:styleId="abscitationtitle">
    <w:name w:val="abs_citation_title"/>
    <w:basedOn w:val="DefaultParagraphFont"/>
    <w:rsid w:val="000F54D9"/>
  </w:style>
  <w:style w:type="character" w:customStyle="1" w:styleId="slug-issue">
    <w:name w:val="slug-issue"/>
    <w:basedOn w:val="DefaultParagraphFont"/>
    <w:rsid w:val="000F54D9"/>
  </w:style>
  <w:style w:type="character" w:customStyle="1" w:styleId="slug-pages3">
    <w:name w:val="slug-pages3"/>
    <w:rsid w:val="000F54D9"/>
    <w:rPr>
      <w:b/>
      <w:bCs/>
    </w:rPr>
  </w:style>
  <w:style w:type="character" w:styleId="HTMLTypewriter">
    <w:name w:val="HTML Typewriter"/>
    <w:rsid w:val="000F54D9"/>
    <w:rPr>
      <w:rFonts w:ascii="Courier New" w:eastAsia="Times New Roman" w:hAnsi="Courier New" w:cs="Courier New"/>
      <w:sz w:val="20"/>
      <w:szCs w:val="20"/>
    </w:rPr>
  </w:style>
  <w:style w:type="character" w:customStyle="1" w:styleId="highlight1">
    <w:name w:val="highlight1"/>
    <w:rsid w:val="000F54D9"/>
    <w:rPr>
      <w:shd w:val="clear" w:color="auto" w:fill="FEDB6D"/>
    </w:rPr>
  </w:style>
  <w:style w:type="character" w:customStyle="1" w:styleId="citation-abbreviation2">
    <w:name w:val="citation-abbreviation2"/>
    <w:basedOn w:val="DefaultParagraphFont"/>
    <w:rsid w:val="000F54D9"/>
  </w:style>
  <w:style w:type="character" w:customStyle="1" w:styleId="author">
    <w:name w:val="author"/>
    <w:rsid w:val="000F54D9"/>
  </w:style>
  <w:style w:type="character" w:customStyle="1" w:styleId="citationyear1">
    <w:name w:val="citation_year1"/>
    <w:rsid w:val="000F54D9"/>
    <w:rPr>
      <w:b/>
      <w:bCs/>
    </w:rPr>
  </w:style>
  <w:style w:type="character" w:customStyle="1" w:styleId="citationvolume1">
    <w:name w:val="citation_volume1"/>
    <w:rsid w:val="000F54D9"/>
    <w:rPr>
      <w:i/>
      <w:iCs/>
    </w:rPr>
  </w:style>
  <w:style w:type="character" w:customStyle="1" w:styleId="resnumber">
    <w:name w:val="resnumber"/>
    <w:basedOn w:val="DefaultParagraphFont"/>
    <w:rsid w:val="000F54D9"/>
  </w:style>
  <w:style w:type="character" w:customStyle="1" w:styleId="ref-journal">
    <w:name w:val="ref-journal"/>
    <w:basedOn w:val="DefaultParagraphFont"/>
    <w:rsid w:val="000F54D9"/>
  </w:style>
  <w:style w:type="character" w:customStyle="1" w:styleId="ref-vol">
    <w:name w:val="ref-vol"/>
    <w:basedOn w:val="DefaultParagraphFont"/>
    <w:rsid w:val="000F54D9"/>
  </w:style>
  <w:style w:type="character" w:customStyle="1" w:styleId="label">
    <w:name w:val="label"/>
    <w:rsid w:val="000F54D9"/>
  </w:style>
  <w:style w:type="character" w:customStyle="1" w:styleId="tl-lowest-section">
    <w:name w:val="tl-lowest-section"/>
    <w:rsid w:val="000F54D9"/>
  </w:style>
  <w:style w:type="paragraph" w:customStyle="1" w:styleId="Heading">
    <w:name w:val="Heading"/>
    <w:basedOn w:val="Normal"/>
    <w:next w:val="Normal"/>
    <w:rsid w:val="000F54D9"/>
    <w:pPr>
      <w:suppressAutoHyphens/>
      <w:spacing w:after="460" w:line="230" w:lineRule="exact"/>
    </w:pPr>
    <w:rPr>
      <w:rFonts w:ascii="Times New Roman" w:eastAsia="MS Mincho" w:hAnsi="Times New Roman" w:cs="Times New Roman"/>
      <w:b/>
      <w:szCs w:val="24"/>
      <w:lang w:val="de-DE" w:eastAsia="ja-JP"/>
    </w:rPr>
  </w:style>
  <w:style w:type="paragraph" w:styleId="List">
    <w:name w:val="List"/>
    <w:basedOn w:val="BodyText"/>
    <w:rsid w:val="000F54D9"/>
    <w:rPr>
      <w:rFonts w:cs="Lohit Devanagari"/>
    </w:rPr>
  </w:style>
  <w:style w:type="paragraph" w:styleId="Caption">
    <w:name w:val="caption"/>
    <w:basedOn w:val="Normal"/>
    <w:next w:val="Normal"/>
    <w:qFormat/>
    <w:rsid w:val="000F54D9"/>
    <w:pPr>
      <w:suppressAutoHyphens/>
      <w:spacing w:after="0" w:line="240" w:lineRule="auto"/>
    </w:pPr>
    <w:rPr>
      <w:rFonts w:ascii="Times New Roman" w:eastAsia="Times New Roman" w:hAnsi="Times New Roman" w:cs="Times New Roman"/>
      <w:b/>
      <w:bCs/>
      <w:sz w:val="20"/>
      <w:szCs w:val="20"/>
      <w:lang w:eastAsia="zh-CN"/>
    </w:rPr>
  </w:style>
  <w:style w:type="paragraph" w:customStyle="1" w:styleId="Index">
    <w:name w:val="Index"/>
    <w:basedOn w:val="Normal"/>
    <w:rsid w:val="000F54D9"/>
    <w:pPr>
      <w:suppressLineNumbers/>
      <w:suppressAutoHyphens/>
      <w:spacing w:after="0" w:line="240" w:lineRule="auto"/>
    </w:pPr>
    <w:rPr>
      <w:rFonts w:ascii="Times New Roman" w:eastAsia="Times New Roman" w:hAnsi="Times New Roman" w:cs="Lohit Devanagari"/>
      <w:sz w:val="24"/>
      <w:szCs w:val="24"/>
      <w:lang w:eastAsia="zh-CN"/>
    </w:rPr>
  </w:style>
  <w:style w:type="paragraph" w:customStyle="1" w:styleId="HeaderandFooter">
    <w:name w:val="Header and Footer"/>
    <w:basedOn w:val="Normal"/>
    <w:rsid w:val="000F54D9"/>
    <w:pPr>
      <w:suppressLineNumbers/>
      <w:tabs>
        <w:tab w:val="center" w:pos="4819"/>
        <w:tab w:val="right" w:pos="9638"/>
      </w:tabs>
      <w:suppressAutoHyphens/>
      <w:spacing w:after="0" w:line="240" w:lineRule="auto"/>
    </w:pPr>
    <w:rPr>
      <w:rFonts w:ascii="Times New Roman" w:eastAsia="Times New Roman" w:hAnsi="Times New Roman" w:cs="Times New Roman"/>
      <w:sz w:val="24"/>
      <w:szCs w:val="24"/>
      <w:lang w:eastAsia="zh-CN"/>
    </w:rPr>
  </w:style>
  <w:style w:type="paragraph" w:styleId="Footer">
    <w:name w:val="footer"/>
    <w:basedOn w:val="Normal"/>
    <w:link w:val="FooterChar1"/>
    <w:uiPriority w:val="99"/>
    <w:rsid w:val="000F54D9"/>
    <w:pPr>
      <w:tabs>
        <w:tab w:val="center" w:pos="4252"/>
        <w:tab w:val="right" w:pos="8504"/>
      </w:tabs>
      <w:suppressAutoHyphens/>
      <w:spacing w:after="0" w:line="240" w:lineRule="auto"/>
      <w:jc w:val="both"/>
    </w:pPr>
    <w:rPr>
      <w:rFonts w:ascii="Calibri" w:eastAsia="Calibri" w:hAnsi="Calibri" w:cs="Calibri"/>
      <w:lang w:val="es-ES_tradnl" w:eastAsia="zh-CN"/>
    </w:rPr>
  </w:style>
  <w:style w:type="character" w:customStyle="1" w:styleId="FooterChar1">
    <w:name w:val="Footer Char1"/>
    <w:basedOn w:val="DefaultParagraphFont"/>
    <w:link w:val="Footer"/>
    <w:uiPriority w:val="99"/>
    <w:rsid w:val="000F54D9"/>
    <w:rPr>
      <w:rFonts w:ascii="Calibri" w:eastAsia="Calibri" w:hAnsi="Calibri" w:cs="Calibri"/>
      <w:lang w:val="es-ES_tradnl" w:eastAsia="zh-CN"/>
    </w:rPr>
  </w:style>
  <w:style w:type="paragraph" w:customStyle="1" w:styleId="TableHead">
    <w:name w:val="TableHead"/>
    <w:basedOn w:val="Normal"/>
    <w:rsid w:val="000F54D9"/>
    <w:pPr>
      <w:suppressAutoHyphens/>
      <w:spacing w:before="120" w:after="120" w:line="200" w:lineRule="exact"/>
    </w:pPr>
    <w:rPr>
      <w:rFonts w:ascii="Arial" w:eastAsia="MS Mincho" w:hAnsi="Arial" w:cs="Arial"/>
      <w:sz w:val="16"/>
      <w:szCs w:val="24"/>
      <w:lang w:eastAsia="ja-JP"/>
    </w:rPr>
  </w:style>
  <w:style w:type="paragraph" w:customStyle="1" w:styleId="TableBody">
    <w:name w:val="TableBody"/>
    <w:basedOn w:val="Normal"/>
    <w:rsid w:val="000F54D9"/>
    <w:pPr>
      <w:suppressAutoHyphens/>
      <w:spacing w:before="120" w:after="120" w:line="230" w:lineRule="exact"/>
    </w:pPr>
    <w:rPr>
      <w:rFonts w:ascii="Arial" w:eastAsia="MS Mincho" w:hAnsi="Arial" w:cs="Arial"/>
      <w:sz w:val="16"/>
      <w:szCs w:val="24"/>
      <w:lang w:val="de-DE" w:eastAsia="ja-JP"/>
    </w:rPr>
  </w:style>
  <w:style w:type="paragraph" w:customStyle="1" w:styleId="01-MainHeading">
    <w:name w:val="01-Main Heading"/>
    <w:basedOn w:val="Normal"/>
    <w:rsid w:val="000F54D9"/>
    <w:pPr>
      <w:suppressAutoHyphens/>
      <w:spacing w:after="200" w:line="216" w:lineRule="auto"/>
      <w:jc w:val="both"/>
    </w:pPr>
    <w:rPr>
      <w:rFonts w:ascii="Times New Roman" w:eastAsia="Times" w:hAnsi="Times New Roman" w:cs="Times New Roman"/>
      <w:b/>
      <w:sz w:val="32"/>
      <w:szCs w:val="20"/>
      <w:lang w:eastAsia="zh-CN"/>
    </w:rPr>
  </w:style>
  <w:style w:type="paragraph" w:customStyle="1" w:styleId="02-Author">
    <w:name w:val="02-Author"/>
    <w:basedOn w:val="Normal"/>
    <w:rsid w:val="000F54D9"/>
    <w:pPr>
      <w:suppressAutoHyphens/>
      <w:spacing w:before="240" w:after="480" w:line="220" w:lineRule="exact"/>
      <w:ind w:right="567"/>
    </w:pPr>
    <w:rPr>
      <w:rFonts w:ascii="Times New Roman" w:eastAsia="Times" w:hAnsi="Times New Roman" w:cs="Times New Roman"/>
      <w:sz w:val="24"/>
      <w:szCs w:val="20"/>
      <w:lang w:eastAsia="zh-CN"/>
    </w:rPr>
  </w:style>
  <w:style w:type="paragraph" w:customStyle="1" w:styleId="03-Address">
    <w:name w:val="03-Address"/>
    <w:basedOn w:val="Normal"/>
    <w:rsid w:val="000F54D9"/>
    <w:pPr>
      <w:suppressAutoHyphens/>
      <w:spacing w:after="240" w:line="240" w:lineRule="auto"/>
      <w:ind w:right="567"/>
      <w:jc w:val="both"/>
    </w:pPr>
    <w:rPr>
      <w:rFonts w:ascii="Times New Roman" w:eastAsia="Times" w:hAnsi="Times New Roman" w:cs="Times New Roman"/>
      <w:i/>
      <w:sz w:val="20"/>
      <w:szCs w:val="20"/>
      <w:lang w:eastAsia="zh-CN"/>
    </w:rPr>
  </w:style>
  <w:style w:type="paragraph" w:customStyle="1" w:styleId="04-abstract">
    <w:name w:val="04-abstract"/>
    <w:basedOn w:val="Normal"/>
    <w:rsid w:val="000F54D9"/>
    <w:pPr>
      <w:suppressAutoHyphens/>
      <w:spacing w:after="360" w:line="220" w:lineRule="exact"/>
      <w:ind w:left="851" w:right="567"/>
      <w:jc w:val="both"/>
    </w:pPr>
    <w:rPr>
      <w:rFonts w:ascii="Times New Roman" w:eastAsia="Times" w:hAnsi="Times New Roman" w:cs="Times New Roman"/>
      <w:sz w:val="18"/>
      <w:szCs w:val="20"/>
      <w:lang w:eastAsia="zh-CN"/>
    </w:rPr>
  </w:style>
  <w:style w:type="paragraph" w:customStyle="1" w:styleId="05-ArticleText">
    <w:name w:val="05-Article Text"/>
    <w:basedOn w:val="Normal"/>
    <w:rsid w:val="000F54D9"/>
    <w:pPr>
      <w:tabs>
        <w:tab w:val="left" w:pos="284"/>
      </w:tabs>
      <w:suppressAutoHyphens/>
      <w:spacing w:after="120" w:line="220" w:lineRule="exact"/>
      <w:jc w:val="both"/>
    </w:pPr>
    <w:rPr>
      <w:rFonts w:ascii="Times New Roman" w:eastAsia="Times" w:hAnsi="Times New Roman" w:cs="Times New Roman"/>
      <w:sz w:val="20"/>
      <w:szCs w:val="20"/>
      <w:lang w:eastAsia="zh-CN"/>
    </w:rPr>
  </w:style>
  <w:style w:type="paragraph" w:customStyle="1" w:styleId="06-Heading-1">
    <w:name w:val="06-Heading-1"/>
    <w:basedOn w:val="Normal"/>
    <w:rsid w:val="000F54D9"/>
    <w:pPr>
      <w:suppressAutoHyphens/>
      <w:spacing w:before="120" w:after="120" w:line="220" w:lineRule="exact"/>
      <w:jc w:val="both"/>
    </w:pPr>
    <w:rPr>
      <w:rFonts w:ascii="Times New Roman" w:eastAsia="Times" w:hAnsi="Times New Roman" w:cs="Times New Roman"/>
      <w:b/>
      <w:caps/>
      <w:sz w:val="20"/>
      <w:szCs w:val="20"/>
      <w:lang w:eastAsia="zh-CN"/>
    </w:rPr>
  </w:style>
  <w:style w:type="paragraph" w:customStyle="1" w:styleId="07-Heading-2">
    <w:name w:val="07-Heading-2"/>
    <w:basedOn w:val="Normal"/>
    <w:rsid w:val="000F54D9"/>
    <w:pPr>
      <w:suppressAutoHyphens/>
      <w:spacing w:before="120" w:after="120" w:line="220" w:lineRule="exact"/>
      <w:jc w:val="both"/>
    </w:pPr>
    <w:rPr>
      <w:rFonts w:ascii="Times New Roman" w:eastAsia="Times" w:hAnsi="Times New Roman" w:cs="Times New Roman"/>
      <w:b/>
      <w:sz w:val="20"/>
      <w:szCs w:val="20"/>
      <w:lang w:eastAsia="zh-CN"/>
    </w:rPr>
  </w:style>
  <w:style w:type="paragraph" w:customStyle="1" w:styleId="08-Heading-3">
    <w:name w:val="08-Heading-3"/>
    <w:basedOn w:val="07-Heading-2"/>
    <w:rsid w:val="000F54D9"/>
    <w:rPr>
      <w:i/>
    </w:rPr>
  </w:style>
  <w:style w:type="paragraph" w:customStyle="1" w:styleId="09-Heading-4">
    <w:name w:val="09-Heading-4"/>
    <w:basedOn w:val="Normal"/>
    <w:rsid w:val="000F54D9"/>
    <w:pPr>
      <w:suppressAutoHyphens/>
      <w:spacing w:before="120" w:after="120" w:line="220" w:lineRule="exact"/>
      <w:jc w:val="both"/>
    </w:pPr>
    <w:rPr>
      <w:rFonts w:ascii="Times New Roman" w:eastAsia="Times" w:hAnsi="Times New Roman" w:cs="Times New Roman"/>
      <w:b/>
      <w:i/>
      <w:sz w:val="20"/>
      <w:szCs w:val="20"/>
      <w:u w:val="single"/>
      <w:lang w:eastAsia="zh-CN"/>
    </w:rPr>
  </w:style>
  <w:style w:type="paragraph" w:customStyle="1" w:styleId="10-Table-H">
    <w:name w:val="10-Table-H"/>
    <w:basedOn w:val="Normal"/>
    <w:rsid w:val="000F54D9"/>
    <w:pPr>
      <w:tabs>
        <w:tab w:val="left" w:pos="851"/>
      </w:tabs>
      <w:suppressAutoHyphens/>
      <w:spacing w:before="60" w:after="240" w:line="240" w:lineRule="auto"/>
      <w:jc w:val="both"/>
    </w:pPr>
    <w:rPr>
      <w:rFonts w:ascii="Times New Roman" w:eastAsia="Times" w:hAnsi="Times New Roman" w:cs="Times New Roman"/>
      <w:b/>
      <w:sz w:val="18"/>
      <w:szCs w:val="20"/>
      <w:lang w:eastAsia="zh-CN"/>
    </w:rPr>
  </w:style>
  <w:style w:type="paragraph" w:customStyle="1" w:styleId="12-References">
    <w:name w:val="12-References"/>
    <w:basedOn w:val="Normal"/>
    <w:rsid w:val="000F54D9"/>
    <w:pPr>
      <w:tabs>
        <w:tab w:val="left" w:pos="567"/>
      </w:tabs>
      <w:suppressAutoHyphens/>
      <w:spacing w:after="0" w:line="180" w:lineRule="exact"/>
      <w:ind w:left="567" w:hanging="567"/>
      <w:jc w:val="both"/>
    </w:pPr>
    <w:rPr>
      <w:rFonts w:ascii="Times New Roman" w:eastAsia="Times" w:hAnsi="Times New Roman" w:cs="Times New Roman"/>
      <w:sz w:val="16"/>
      <w:szCs w:val="20"/>
      <w:lang w:eastAsia="zh-CN"/>
    </w:rPr>
  </w:style>
  <w:style w:type="paragraph" w:customStyle="1" w:styleId="13-Figure">
    <w:name w:val="13-Figure"/>
    <w:basedOn w:val="Normal"/>
    <w:rsid w:val="000F54D9"/>
    <w:pPr>
      <w:suppressAutoHyphens/>
      <w:spacing w:before="200" w:after="200" w:line="220" w:lineRule="exact"/>
      <w:jc w:val="both"/>
    </w:pPr>
    <w:rPr>
      <w:rFonts w:ascii="Times New Roman" w:eastAsia="Times" w:hAnsi="Times New Roman" w:cs="Times New Roman"/>
      <w:sz w:val="18"/>
      <w:szCs w:val="20"/>
      <w:lang w:eastAsia="zh-CN"/>
    </w:rPr>
  </w:style>
  <w:style w:type="paragraph" w:styleId="Header">
    <w:name w:val="header"/>
    <w:basedOn w:val="Normal"/>
    <w:link w:val="HeaderChar1"/>
    <w:uiPriority w:val="99"/>
    <w:rsid w:val="000F54D9"/>
    <w:pPr>
      <w:tabs>
        <w:tab w:val="center" w:pos="4320"/>
        <w:tab w:val="right" w:pos="8640"/>
      </w:tabs>
      <w:suppressAutoHyphens/>
      <w:spacing w:after="0" w:line="240" w:lineRule="auto"/>
    </w:pPr>
    <w:rPr>
      <w:rFonts w:ascii="Times New Roman" w:eastAsia="Times New Roman" w:hAnsi="Times New Roman" w:cs="Times New Roman"/>
      <w:sz w:val="24"/>
      <w:szCs w:val="24"/>
      <w:lang w:eastAsia="zh-CN"/>
    </w:rPr>
  </w:style>
  <w:style w:type="character" w:customStyle="1" w:styleId="HeaderChar1">
    <w:name w:val="Header Char1"/>
    <w:basedOn w:val="DefaultParagraphFont"/>
    <w:link w:val="Header"/>
    <w:uiPriority w:val="99"/>
    <w:rsid w:val="000F54D9"/>
    <w:rPr>
      <w:rFonts w:ascii="Times New Roman" w:eastAsia="Times New Roman" w:hAnsi="Times New Roman" w:cs="Times New Roman"/>
      <w:sz w:val="24"/>
      <w:szCs w:val="24"/>
      <w:lang w:val="en-GB" w:eastAsia="zh-CN"/>
    </w:rPr>
  </w:style>
  <w:style w:type="paragraph" w:customStyle="1" w:styleId="firstlast">
    <w:name w:val="first last"/>
    <w:basedOn w:val="Normal"/>
    <w:rsid w:val="000F54D9"/>
    <w:pPr>
      <w:suppressAutoHyphens/>
      <w:spacing w:before="280" w:after="280" w:line="240" w:lineRule="auto"/>
    </w:pPr>
    <w:rPr>
      <w:rFonts w:ascii="Arial" w:eastAsia="Batang" w:hAnsi="Arial" w:cs="Arial"/>
      <w:sz w:val="20"/>
      <w:szCs w:val="20"/>
      <w:lang w:eastAsia="zh-CN"/>
    </w:rPr>
  </w:style>
  <w:style w:type="paragraph" w:customStyle="1" w:styleId="Default">
    <w:name w:val="Default"/>
    <w:rsid w:val="000F54D9"/>
    <w:pPr>
      <w:suppressAutoHyphens/>
      <w:autoSpaceDE w:val="0"/>
      <w:spacing w:after="0" w:line="240" w:lineRule="auto"/>
    </w:pPr>
    <w:rPr>
      <w:rFonts w:ascii="Arial Narrow" w:eastAsia="Batang" w:hAnsi="Arial Narrow" w:cs="Arial Narrow"/>
      <w:color w:val="000000"/>
      <w:sz w:val="24"/>
      <w:szCs w:val="24"/>
      <w:lang w:eastAsia="zh-CN"/>
    </w:rPr>
  </w:style>
  <w:style w:type="paragraph" w:customStyle="1" w:styleId="Heading21">
    <w:name w:val="Heading 21"/>
    <w:basedOn w:val="Normal"/>
    <w:rsid w:val="000F54D9"/>
    <w:pPr>
      <w:suppressAutoHyphens/>
      <w:spacing w:after="0" w:line="240" w:lineRule="auto"/>
    </w:pPr>
    <w:rPr>
      <w:rFonts w:ascii="Times New Roman" w:eastAsia="Batang" w:hAnsi="Times New Roman" w:cs="Times New Roman"/>
      <w:color w:val="FFFFFF"/>
      <w:sz w:val="24"/>
      <w:szCs w:val="24"/>
      <w:lang w:eastAsia="zh-CN"/>
    </w:rPr>
  </w:style>
  <w:style w:type="paragraph" w:customStyle="1" w:styleId="Heading11">
    <w:name w:val="Heading 11"/>
    <w:basedOn w:val="Normal"/>
    <w:rsid w:val="000F54D9"/>
    <w:pPr>
      <w:suppressAutoHyphens/>
      <w:spacing w:after="0" w:line="240" w:lineRule="auto"/>
    </w:pPr>
    <w:rPr>
      <w:rFonts w:ascii="Times New Roman" w:eastAsia="Batang" w:hAnsi="Times New Roman" w:cs="Times New Roman"/>
      <w:b/>
      <w:bCs/>
      <w:color w:val="FFFFFF"/>
      <w:spacing w:val="-12"/>
      <w:kern w:val="2"/>
      <w:sz w:val="40"/>
      <w:szCs w:val="40"/>
      <w:lang w:eastAsia="zh-CN"/>
    </w:rPr>
  </w:style>
  <w:style w:type="paragraph" w:styleId="BalloonText">
    <w:name w:val="Balloon Text"/>
    <w:basedOn w:val="Normal"/>
    <w:link w:val="BalloonTextChar1"/>
    <w:rsid w:val="000F54D9"/>
    <w:pPr>
      <w:suppressAutoHyphens/>
      <w:spacing w:after="0" w:line="240" w:lineRule="auto"/>
    </w:pPr>
    <w:rPr>
      <w:rFonts w:ascii="Tahoma" w:eastAsia="Times New Roman" w:hAnsi="Tahoma" w:cs="Tahoma"/>
      <w:sz w:val="16"/>
      <w:szCs w:val="16"/>
      <w:lang w:eastAsia="zh-CN"/>
    </w:rPr>
  </w:style>
  <w:style w:type="character" w:customStyle="1" w:styleId="BalloonTextChar1">
    <w:name w:val="Balloon Text Char1"/>
    <w:basedOn w:val="DefaultParagraphFont"/>
    <w:link w:val="BalloonText"/>
    <w:rsid w:val="000F54D9"/>
    <w:rPr>
      <w:rFonts w:ascii="Tahoma" w:eastAsia="Times New Roman" w:hAnsi="Tahoma" w:cs="Tahoma"/>
      <w:sz w:val="16"/>
      <w:szCs w:val="16"/>
      <w:lang w:val="en-GB" w:eastAsia="zh-CN"/>
    </w:rPr>
  </w:style>
  <w:style w:type="paragraph" w:customStyle="1" w:styleId="Pa7">
    <w:name w:val="Pa7"/>
    <w:basedOn w:val="Default"/>
    <w:next w:val="Default"/>
    <w:rsid w:val="000F54D9"/>
    <w:pPr>
      <w:widowControl w:val="0"/>
      <w:spacing w:line="241" w:lineRule="atLeast"/>
    </w:pPr>
    <w:rPr>
      <w:rFonts w:ascii="Relay" w:eastAsia="Relay" w:hAnsi="Relay" w:cs="Times New Roman"/>
    </w:rPr>
  </w:style>
  <w:style w:type="paragraph" w:customStyle="1" w:styleId="Pa25">
    <w:name w:val="Pa25"/>
    <w:basedOn w:val="Default"/>
    <w:next w:val="Default"/>
    <w:rsid w:val="000F54D9"/>
    <w:pPr>
      <w:widowControl w:val="0"/>
      <w:spacing w:line="141" w:lineRule="atLeast"/>
    </w:pPr>
    <w:rPr>
      <w:rFonts w:ascii="Meta Normal LF" w:eastAsia="Meta Normal LF" w:hAnsi="Meta Normal LF" w:cs="Times New Roman"/>
    </w:rPr>
  </w:style>
  <w:style w:type="paragraph" w:customStyle="1" w:styleId="Pa9">
    <w:name w:val="Pa9"/>
    <w:basedOn w:val="Default"/>
    <w:next w:val="Default"/>
    <w:rsid w:val="000F54D9"/>
    <w:pPr>
      <w:widowControl w:val="0"/>
      <w:spacing w:line="181" w:lineRule="atLeast"/>
    </w:pPr>
    <w:rPr>
      <w:rFonts w:ascii="Meta Normal LF" w:eastAsia="Meta Normal LF" w:hAnsi="Meta Normal LF" w:cs="Times New Roman"/>
    </w:rPr>
  </w:style>
  <w:style w:type="paragraph" w:customStyle="1" w:styleId="BIEmailAddress">
    <w:name w:val="BI_Email_Address"/>
    <w:basedOn w:val="Normal"/>
    <w:next w:val="Normal"/>
    <w:rsid w:val="000F54D9"/>
    <w:pPr>
      <w:suppressAutoHyphens/>
      <w:spacing w:after="200" w:line="480" w:lineRule="auto"/>
      <w:jc w:val="both"/>
    </w:pPr>
    <w:rPr>
      <w:rFonts w:ascii="Times" w:eastAsia="SimSun" w:hAnsi="Times" w:cs="Times"/>
      <w:sz w:val="24"/>
      <w:szCs w:val="20"/>
      <w:lang w:eastAsia="zh-CN"/>
    </w:rPr>
  </w:style>
  <w:style w:type="paragraph" w:customStyle="1" w:styleId="FACorrespondingAuthorFootnote">
    <w:name w:val="FA_Corresponding_Author_Footnote"/>
    <w:basedOn w:val="Normal"/>
    <w:next w:val="Normal"/>
    <w:rsid w:val="000F54D9"/>
    <w:pPr>
      <w:suppressAutoHyphens/>
      <w:spacing w:after="200" w:line="480" w:lineRule="auto"/>
      <w:jc w:val="both"/>
    </w:pPr>
    <w:rPr>
      <w:rFonts w:ascii="Times" w:eastAsia="SimSun" w:hAnsi="Times" w:cs="Times"/>
      <w:sz w:val="24"/>
      <w:szCs w:val="20"/>
      <w:lang w:eastAsia="zh-CN"/>
    </w:rPr>
  </w:style>
  <w:style w:type="paragraph" w:customStyle="1" w:styleId="mainheader">
    <w:name w:val="mainheader"/>
    <w:basedOn w:val="Normal"/>
    <w:rsid w:val="000F54D9"/>
    <w:pPr>
      <w:suppressAutoHyphens/>
      <w:spacing w:before="280" w:after="280" w:line="240" w:lineRule="auto"/>
    </w:pPr>
    <w:rPr>
      <w:rFonts w:ascii="Verdana" w:eastAsia="Times New Roman" w:hAnsi="Verdana" w:cs="Verdana"/>
      <w:b/>
      <w:bCs/>
      <w:sz w:val="27"/>
      <w:szCs w:val="27"/>
      <w:lang w:eastAsia="zh-CN"/>
    </w:rPr>
  </w:style>
  <w:style w:type="paragraph" w:customStyle="1" w:styleId="part">
    <w:name w:val="part"/>
    <w:basedOn w:val="Normal"/>
    <w:next w:val="Normal"/>
    <w:rsid w:val="000F54D9"/>
    <w:pPr>
      <w:keepNext/>
      <w:widowControl w:val="0"/>
      <w:suppressAutoHyphens/>
      <w:autoSpaceDE w:val="0"/>
      <w:spacing w:before="240" w:after="60" w:line="240" w:lineRule="auto"/>
      <w:jc w:val="center"/>
    </w:pPr>
    <w:rPr>
      <w:rFonts w:ascii="Times" w:eastAsia="Batang" w:hAnsi="Times" w:cs="Times"/>
      <w:b/>
      <w:bCs/>
      <w:sz w:val="40"/>
      <w:szCs w:val="40"/>
    </w:rPr>
  </w:style>
  <w:style w:type="paragraph" w:styleId="HTMLPreformatted">
    <w:name w:val="HTML Preformatted"/>
    <w:basedOn w:val="Normal"/>
    <w:link w:val="HTMLPreformattedChar"/>
    <w:rsid w:val="000F5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val="it-IT" w:eastAsia="zh-CN"/>
    </w:rPr>
  </w:style>
  <w:style w:type="character" w:customStyle="1" w:styleId="HTMLPreformattedChar">
    <w:name w:val="HTML Preformatted Char"/>
    <w:basedOn w:val="DefaultParagraphFont"/>
    <w:link w:val="HTMLPreformatted"/>
    <w:rsid w:val="000F54D9"/>
    <w:rPr>
      <w:rFonts w:ascii="Courier New" w:eastAsia="Times New Roman" w:hAnsi="Courier New" w:cs="Courier New"/>
      <w:sz w:val="20"/>
      <w:szCs w:val="20"/>
      <w:lang w:val="it-IT" w:eastAsia="zh-CN"/>
    </w:rPr>
  </w:style>
  <w:style w:type="paragraph" w:styleId="BodyTextIndent">
    <w:name w:val="Body Text Indent"/>
    <w:basedOn w:val="Normal"/>
    <w:link w:val="BodyTextIndentChar"/>
    <w:rsid w:val="000F54D9"/>
    <w:pPr>
      <w:suppressAutoHyphens/>
      <w:spacing w:after="0" w:line="360" w:lineRule="auto"/>
      <w:ind w:firstLine="708"/>
      <w:jc w:val="both"/>
    </w:pPr>
    <w:rPr>
      <w:rFonts w:ascii="Times New Roman" w:eastAsia="Times New Roman" w:hAnsi="Times New Roman" w:cs="Times New Roman"/>
      <w:sz w:val="24"/>
      <w:szCs w:val="24"/>
      <w:lang w:eastAsia="zh-CN"/>
    </w:rPr>
  </w:style>
  <w:style w:type="character" w:customStyle="1" w:styleId="BodyTextIndentChar">
    <w:name w:val="Body Text Indent Char"/>
    <w:basedOn w:val="DefaultParagraphFont"/>
    <w:link w:val="BodyTextIndent"/>
    <w:rsid w:val="000F54D9"/>
    <w:rPr>
      <w:rFonts w:ascii="Times New Roman" w:eastAsia="Times New Roman" w:hAnsi="Times New Roman" w:cs="Times New Roman"/>
      <w:sz w:val="24"/>
      <w:szCs w:val="24"/>
      <w:lang w:val="en-GB" w:eastAsia="zh-CN"/>
    </w:rPr>
  </w:style>
  <w:style w:type="paragraph" w:customStyle="1" w:styleId="title1">
    <w:name w:val="title1"/>
    <w:basedOn w:val="Normal"/>
    <w:rsid w:val="000F54D9"/>
    <w:pPr>
      <w:suppressAutoHyphens/>
      <w:spacing w:after="0" w:line="240" w:lineRule="auto"/>
    </w:pPr>
    <w:rPr>
      <w:rFonts w:ascii="Times New Roman" w:eastAsia="Times New Roman" w:hAnsi="Times New Roman" w:cs="Times New Roman"/>
      <w:sz w:val="29"/>
      <w:szCs w:val="29"/>
      <w:lang w:val="it-IT" w:eastAsia="zh-CN"/>
    </w:rPr>
  </w:style>
  <w:style w:type="paragraph" w:customStyle="1" w:styleId="rprtbody1">
    <w:name w:val="rprtbody1"/>
    <w:basedOn w:val="Normal"/>
    <w:rsid w:val="000F54D9"/>
    <w:pPr>
      <w:suppressAutoHyphens/>
      <w:spacing w:before="34" w:after="34" w:line="240" w:lineRule="auto"/>
    </w:pPr>
    <w:rPr>
      <w:rFonts w:ascii="Times New Roman" w:eastAsia="Times New Roman" w:hAnsi="Times New Roman" w:cs="Times New Roman"/>
      <w:sz w:val="28"/>
      <w:szCs w:val="28"/>
      <w:lang w:val="it-IT" w:eastAsia="zh-CN"/>
    </w:rPr>
  </w:style>
  <w:style w:type="paragraph" w:customStyle="1" w:styleId="aux1">
    <w:name w:val="aux1"/>
    <w:basedOn w:val="Normal"/>
    <w:rsid w:val="000F54D9"/>
    <w:pPr>
      <w:suppressAutoHyphens/>
      <w:spacing w:after="0" w:line="320" w:lineRule="atLeast"/>
    </w:pPr>
    <w:rPr>
      <w:rFonts w:ascii="Times New Roman" w:eastAsia="Times New Roman" w:hAnsi="Times New Roman" w:cs="Times New Roman"/>
      <w:sz w:val="24"/>
      <w:szCs w:val="24"/>
      <w:lang w:val="it-IT" w:eastAsia="zh-CN"/>
    </w:rPr>
  </w:style>
  <w:style w:type="paragraph" w:customStyle="1" w:styleId="IntensivesAnfhrungszeichen1">
    <w:name w:val="Intensives Anführungszeichen1"/>
    <w:basedOn w:val="Normal"/>
    <w:next w:val="Normal"/>
    <w:rsid w:val="000F54D9"/>
    <w:pPr>
      <w:pBdr>
        <w:top w:val="none" w:sz="0" w:space="0" w:color="000000"/>
        <w:left w:val="none" w:sz="0" w:space="0" w:color="000000"/>
        <w:bottom w:val="single" w:sz="4" w:space="4" w:color="4F81BD"/>
        <w:right w:val="none" w:sz="0" w:space="0" w:color="000000"/>
      </w:pBdr>
      <w:suppressAutoHyphens/>
      <w:spacing w:before="200" w:after="280" w:line="240" w:lineRule="auto"/>
      <w:ind w:left="936" w:right="936"/>
    </w:pPr>
    <w:rPr>
      <w:rFonts w:ascii="Times New Roman" w:eastAsia="Times New Roman" w:hAnsi="Times New Roman" w:cs="Times New Roman"/>
      <w:b/>
      <w:bCs/>
      <w:i/>
      <w:iCs/>
      <w:color w:val="4F81BD"/>
      <w:sz w:val="24"/>
      <w:szCs w:val="24"/>
      <w:lang w:val="de-DE" w:eastAsia="zh-CN"/>
    </w:rPr>
  </w:style>
  <w:style w:type="paragraph" w:styleId="FootnoteText">
    <w:name w:val="footnote text"/>
    <w:basedOn w:val="Normal"/>
    <w:link w:val="FootnoteTextChar1"/>
    <w:rsid w:val="000F54D9"/>
    <w:pPr>
      <w:suppressAutoHyphens/>
      <w:spacing w:after="0" w:line="240" w:lineRule="auto"/>
    </w:pPr>
    <w:rPr>
      <w:rFonts w:ascii="Times New Roman" w:eastAsia="Times New Roman" w:hAnsi="Times New Roman" w:cs="Times New Roman"/>
      <w:sz w:val="20"/>
      <w:szCs w:val="20"/>
      <w:lang w:val="de-DE" w:eastAsia="zh-CN"/>
    </w:rPr>
  </w:style>
  <w:style w:type="character" w:customStyle="1" w:styleId="FootnoteTextChar1">
    <w:name w:val="Footnote Text Char1"/>
    <w:basedOn w:val="DefaultParagraphFont"/>
    <w:link w:val="FootnoteText"/>
    <w:rsid w:val="000F54D9"/>
    <w:rPr>
      <w:rFonts w:ascii="Times New Roman" w:eastAsia="Times New Roman" w:hAnsi="Times New Roman" w:cs="Times New Roman"/>
      <w:sz w:val="20"/>
      <w:szCs w:val="20"/>
      <w:lang w:val="de-DE" w:eastAsia="zh-CN"/>
    </w:rPr>
  </w:style>
  <w:style w:type="paragraph" w:styleId="EndnoteText">
    <w:name w:val="endnote text"/>
    <w:basedOn w:val="Normal"/>
    <w:link w:val="EndnoteTextChar1"/>
    <w:rsid w:val="000F54D9"/>
    <w:pPr>
      <w:suppressAutoHyphens/>
      <w:spacing w:after="0" w:line="240" w:lineRule="auto"/>
    </w:pPr>
    <w:rPr>
      <w:rFonts w:ascii="Times New Roman" w:eastAsia="Times New Roman" w:hAnsi="Times New Roman" w:cs="Times New Roman"/>
      <w:sz w:val="20"/>
      <w:szCs w:val="20"/>
      <w:lang w:val="de-DE" w:eastAsia="zh-CN"/>
    </w:rPr>
  </w:style>
  <w:style w:type="character" w:customStyle="1" w:styleId="EndnoteTextChar1">
    <w:name w:val="Endnote Text Char1"/>
    <w:basedOn w:val="DefaultParagraphFont"/>
    <w:link w:val="EndnoteText"/>
    <w:rsid w:val="000F54D9"/>
    <w:rPr>
      <w:rFonts w:ascii="Times New Roman" w:eastAsia="Times New Roman" w:hAnsi="Times New Roman" w:cs="Times New Roman"/>
      <w:sz w:val="20"/>
      <w:szCs w:val="20"/>
      <w:lang w:val="de-DE" w:eastAsia="zh-CN"/>
    </w:rPr>
  </w:style>
  <w:style w:type="paragraph" w:styleId="ListBullet">
    <w:name w:val="List Bullet"/>
    <w:basedOn w:val="Normal"/>
    <w:rsid w:val="000F54D9"/>
    <w:pPr>
      <w:numPr>
        <w:numId w:val="2"/>
      </w:numPr>
      <w:suppressAutoHyphens/>
      <w:spacing w:after="0" w:line="240" w:lineRule="auto"/>
    </w:pPr>
    <w:rPr>
      <w:rFonts w:ascii="Times New Roman" w:eastAsia="Times New Roman" w:hAnsi="Times New Roman" w:cs="Times New Roman"/>
      <w:sz w:val="24"/>
      <w:szCs w:val="24"/>
      <w:lang w:val="de-DE" w:eastAsia="zh-CN"/>
    </w:rPr>
  </w:style>
  <w:style w:type="paragraph" w:styleId="CommentText">
    <w:name w:val="annotation text"/>
    <w:basedOn w:val="Normal"/>
    <w:link w:val="CommentTextChar1"/>
    <w:rsid w:val="000F54D9"/>
    <w:pPr>
      <w:suppressAutoHyphens/>
      <w:spacing w:after="0" w:line="240" w:lineRule="auto"/>
    </w:pPr>
    <w:rPr>
      <w:rFonts w:ascii="Times New Roman" w:eastAsia="Times New Roman" w:hAnsi="Times New Roman" w:cs="Times New Roman"/>
      <w:sz w:val="20"/>
      <w:szCs w:val="20"/>
      <w:lang w:val="de-DE" w:eastAsia="zh-CN"/>
    </w:rPr>
  </w:style>
  <w:style w:type="character" w:customStyle="1" w:styleId="CommentTextChar1">
    <w:name w:val="Comment Text Char1"/>
    <w:basedOn w:val="DefaultParagraphFont"/>
    <w:link w:val="CommentText"/>
    <w:rsid w:val="000F54D9"/>
    <w:rPr>
      <w:rFonts w:ascii="Times New Roman" w:eastAsia="Times New Roman" w:hAnsi="Times New Roman" w:cs="Times New Roman"/>
      <w:sz w:val="20"/>
      <w:szCs w:val="20"/>
      <w:lang w:val="de-DE" w:eastAsia="zh-CN"/>
    </w:rPr>
  </w:style>
  <w:style w:type="paragraph" w:styleId="CommentSubject">
    <w:name w:val="annotation subject"/>
    <w:basedOn w:val="CommentText"/>
    <w:next w:val="CommentText"/>
    <w:link w:val="CommentSubjectChar1"/>
    <w:rsid w:val="000F54D9"/>
    <w:rPr>
      <w:b/>
      <w:bCs/>
    </w:rPr>
  </w:style>
  <w:style w:type="character" w:customStyle="1" w:styleId="CommentSubjectChar1">
    <w:name w:val="Comment Subject Char1"/>
    <w:basedOn w:val="CommentTextChar1"/>
    <w:link w:val="CommentSubject"/>
    <w:rsid w:val="000F54D9"/>
    <w:rPr>
      <w:rFonts w:ascii="Times New Roman" w:eastAsia="Times New Roman" w:hAnsi="Times New Roman" w:cs="Times New Roman"/>
      <w:b/>
      <w:bCs/>
      <w:sz w:val="20"/>
      <w:szCs w:val="20"/>
      <w:lang w:val="de-DE" w:eastAsia="zh-CN"/>
    </w:rPr>
  </w:style>
  <w:style w:type="paragraph" w:customStyle="1" w:styleId="a">
    <w:name w:val="Παράγραφος λίστας"/>
    <w:basedOn w:val="Normal"/>
    <w:rsid w:val="000F54D9"/>
    <w:pPr>
      <w:suppressAutoHyphens/>
      <w:spacing w:after="0" w:line="240" w:lineRule="auto"/>
      <w:ind w:left="720"/>
      <w:contextualSpacing/>
    </w:pPr>
    <w:rPr>
      <w:rFonts w:ascii="Times New Roman" w:eastAsia="Times New Roman" w:hAnsi="Times New Roman" w:cs="Times New Roman"/>
      <w:sz w:val="24"/>
      <w:szCs w:val="24"/>
      <w:lang w:val="el-GR" w:eastAsia="zh-CN"/>
    </w:rPr>
  </w:style>
  <w:style w:type="paragraph" w:customStyle="1" w:styleId="authors1">
    <w:name w:val="authors1"/>
    <w:basedOn w:val="Normal"/>
    <w:rsid w:val="000F54D9"/>
    <w:pPr>
      <w:suppressAutoHyphens/>
      <w:spacing w:before="72" w:after="0" w:line="240" w:lineRule="atLeast"/>
      <w:ind w:left="825"/>
    </w:pPr>
    <w:rPr>
      <w:rFonts w:ascii="Times New Roman" w:eastAsia="Times New Roman" w:hAnsi="Times New Roman" w:cs="Times New Roman"/>
      <w:lang w:val="el-GR" w:eastAsia="zh-CN"/>
    </w:rPr>
  </w:style>
  <w:style w:type="paragraph" w:customStyle="1" w:styleId="Title10">
    <w:name w:val="Title1"/>
    <w:basedOn w:val="Normal"/>
    <w:rsid w:val="000F54D9"/>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orangebold2">
    <w:name w:val="orangebold2"/>
    <w:basedOn w:val="Normal"/>
    <w:rsid w:val="000F54D9"/>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desc1">
    <w:name w:val="desc1"/>
    <w:basedOn w:val="Normal"/>
    <w:rsid w:val="000F54D9"/>
    <w:pPr>
      <w:suppressAutoHyphens/>
      <w:spacing w:before="280" w:after="280" w:line="240" w:lineRule="auto"/>
    </w:pPr>
    <w:rPr>
      <w:rFonts w:ascii="Times New Roman" w:eastAsia="Times New Roman" w:hAnsi="Times New Roman" w:cs="Times New Roman"/>
      <w:sz w:val="28"/>
      <w:szCs w:val="28"/>
      <w:lang w:val="el-GR" w:eastAsia="zh-CN"/>
    </w:rPr>
  </w:style>
  <w:style w:type="paragraph" w:customStyle="1" w:styleId="details1">
    <w:name w:val="details1"/>
    <w:basedOn w:val="Normal"/>
    <w:rsid w:val="000F54D9"/>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desc">
    <w:name w:val="desc"/>
    <w:basedOn w:val="Normal"/>
    <w:rsid w:val="000F54D9"/>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details">
    <w:name w:val="details"/>
    <w:basedOn w:val="Normal"/>
    <w:rsid w:val="000F54D9"/>
    <w:pPr>
      <w:suppressAutoHyphens/>
      <w:spacing w:before="280" w:after="280" w:line="240" w:lineRule="auto"/>
    </w:pPr>
    <w:rPr>
      <w:rFonts w:ascii="Times New Roman" w:eastAsia="Times New Roman" w:hAnsi="Times New Roman" w:cs="Times New Roman"/>
      <w:sz w:val="24"/>
      <w:szCs w:val="24"/>
      <w:lang w:val="el-GR" w:eastAsia="zh-CN"/>
    </w:rPr>
  </w:style>
  <w:style w:type="paragraph" w:customStyle="1" w:styleId="yenexitesis">
    <w:name w:val="yenexi_tesis"/>
    <w:basedOn w:val="Normal"/>
    <w:rsid w:val="000F54D9"/>
    <w:pPr>
      <w:suppressAutoHyphens/>
      <w:spacing w:before="120" w:after="120" w:line="360" w:lineRule="auto"/>
      <w:jc w:val="both"/>
    </w:pPr>
    <w:rPr>
      <w:rFonts w:ascii="Arial" w:eastAsia="Times New Roman" w:hAnsi="Arial" w:cs="Arial"/>
      <w:sz w:val="24"/>
      <w:szCs w:val="24"/>
      <w:lang w:eastAsia="zh-CN"/>
    </w:rPr>
  </w:style>
  <w:style w:type="paragraph" w:customStyle="1" w:styleId="MRMC">
    <w:name w:val="MRMC"/>
    <w:basedOn w:val="Normal"/>
    <w:rsid w:val="000F54D9"/>
    <w:pPr>
      <w:widowControl w:val="0"/>
      <w:suppressAutoHyphens/>
      <w:spacing w:after="0" w:line="480" w:lineRule="auto"/>
      <w:jc w:val="both"/>
    </w:pPr>
    <w:rPr>
      <w:rFonts w:ascii="Times New Roman" w:eastAsia="DejaVu Sans" w:hAnsi="Times New Roman" w:cs="Times New Roman"/>
      <w:sz w:val="24"/>
      <w:szCs w:val="24"/>
      <w:lang w:eastAsia="zh-CN"/>
    </w:rPr>
  </w:style>
  <w:style w:type="paragraph" w:styleId="BodyText2">
    <w:name w:val="Body Text 2"/>
    <w:basedOn w:val="Normal"/>
    <w:link w:val="BodyText2Char"/>
    <w:rsid w:val="000F54D9"/>
    <w:pPr>
      <w:suppressAutoHyphens/>
      <w:spacing w:after="0" w:line="480" w:lineRule="auto"/>
      <w:jc w:val="both"/>
    </w:pPr>
    <w:rPr>
      <w:rFonts w:ascii="Times New Roman" w:eastAsia="Times New Roman" w:hAnsi="Times New Roman" w:cs="Times New Roman"/>
      <w:sz w:val="24"/>
      <w:szCs w:val="20"/>
      <w:lang w:eastAsia="zh-CN"/>
    </w:rPr>
  </w:style>
  <w:style w:type="character" w:customStyle="1" w:styleId="BodyText2Char">
    <w:name w:val="Body Text 2 Char"/>
    <w:basedOn w:val="DefaultParagraphFont"/>
    <w:link w:val="BodyText2"/>
    <w:rsid w:val="000F54D9"/>
    <w:rPr>
      <w:rFonts w:ascii="Times New Roman" w:eastAsia="Times New Roman" w:hAnsi="Times New Roman" w:cs="Times New Roman"/>
      <w:sz w:val="24"/>
      <w:szCs w:val="20"/>
      <w:lang w:val="en-GB" w:eastAsia="zh-CN"/>
    </w:rPr>
  </w:style>
  <w:style w:type="paragraph" w:customStyle="1" w:styleId="NormaleCorsivo">
    <w:name w:val="Normale + Corsivo"/>
    <w:basedOn w:val="Normal"/>
    <w:rsid w:val="000F54D9"/>
    <w:pPr>
      <w:suppressAutoHyphens/>
      <w:spacing w:after="0" w:line="240" w:lineRule="auto"/>
    </w:pPr>
    <w:rPr>
      <w:rFonts w:ascii="Times New Roman" w:eastAsia="Times New Roman" w:hAnsi="Times New Roman" w:cs="Times New Roman"/>
      <w:i/>
      <w:sz w:val="24"/>
      <w:szCs w:val="24"/>
      <w:vertAlign w:val="superscript"/>
      <w:lang w:val="it-IT" w:eastAsia="zh-CN"/>
    </w:rPr>
  </w:style>
  <w:style w:type="paragraph" w:customStyle="1" w:styleId="TAMainText">
    <w:name w:val="TA_Main_Text"/>
    <w:basedOn w:val="Normal"/>
    <w:rsid w:val="000F54D9"/>
    <w:pPr>
      <w:suppressAutoHyphens/>
      <w:spacing w:after="0" w:line="480" w:lineRule="auto"/>
      <w:ind w:firstLine="202"/>
      <w:jc w:val="both"/>
    </w:pPr>
    <w:rPr>
      <w:rFonts w:ascii="Times" w:eastAsia="Times New Roman" w:hAnsi="Times" w:cs="Times"/>
      <w:sz w:val="24"/>
      <w:szCs w:val="20"/>
      <w:lang w:eastAsia="zh-CN"/>
    </w:rPr>
  </w:style>
  <w:style w:type="paragraph" w:customStyle="1" w:styleId="BATitle">
    <w:name w:val="BA_Title"/>
    <w:basedOn w:val="Normal"/>
    <w:next w:val="Normal"/>
    <w:rsid w:val="000F54D9"/>
    <w:pPr>
      <w:suppressAutoHyphens/>
      <w:spacing w:before="720" w:after="360" w:line="480" w:lineRule="auto"/>
      <w:jc w:val="center"/>
    </w:pPr>
    <w:rPr>
      <w:rFonts w:ascii="Times New Roman" w:eastAsia="Times New Roman" w:hAnsi="Times New Roman" w:cs="Times New Roman"/>
      <w:sz w:val="44"/>
      <w:szCs w:val="20"/>
      <w:lang w:eastAsia="zh-CN"/>
    </w:rPr>
  </w:style>
  <w:style w:type="paragraph" w:customStyle="1" w:styleId="BBAuthorName">
    <w:name w:val="BB_Author_Name"/>
    <w:basedOn w:val="Normal"/>
    <w:next w:val="Normal"/>
    <w:rsid w:val="000F54D9"/>
    <w:pPr>
      <w:suppressAutoHyphens/>
      <w:spacing w:after="240" w:line="480" w:lineRule="auto"/>
      <w:jc w:val="center"/>
    </w:pPr>
    <w:rPr>
      <w:rFonts w:ascii="Times" w:eastAsia="Times New Roman" w:hAnsi="Times" w:cs="Times"/>
      <w:i/>
      <w:sz w:val="24"/>
      <w:szCs w:val="20"/>
      <w:lang w:eastAsia="zh-CN"/>
    </w:rPr>
  </w:style>
  <w:style w:type="paragraph" w:customStyle="1" w:styleId="BDAbstract">
    <w:name w:val="BD_Abstract"/>
    <w:basedOn w:val="Normal"/>
    <w:next w:val="Normal"/>
    <w:rsid w:val="000F54D9"/>
    <w:pPr>
      <w:suppressAutoHyphens/>
      <w:spacing w:before="360" w:after="360" w:line="480" w:lineRule="auto"/>
      <w:jc w:val="both"/>
    </w:pPr>
    <w:rPr>
      <w:rFonts w:ascii="Times" w:eastAsia="Times New Roman" w:hAnsi="Times" w:cs="Times"/>
      <w:sz w:val="24"/>
      <w:szCs w:val="20"/>
      <w:lang w:eastAsia="zh-CN"/>
    </w:rPr>
  </w:style>
  <w:style w:type="paragraph" w:customStyle="1" w:styleId="TFReferencesSection">
    <w:name w:val="TF_References_Section"/>
    <w:basedOn w:val="Normal"/>
    <w:rsid w:val="000F54D9"/>
    <w:pPr>
      <w:suppressAutoHyphens/>
      <w:spacing w:after="200" w:line="480" w:lineRule="auto"/>
      <w:ind w:firstLine="187"/>
      <w:jc w:val="both"/>
    </w:pPr>
    <w:rPr>
      <w:rFonts w:ascii="Times" w:eastAsia="Times New Roman" w:hAnsi="Times" w:cs="Times"/>
      <w:sz w:val="24"/>
      <w:szCs w:val="20"/>
      <w:lang w:eastAsia="zh-CN"/>
    </w:rPr>
  </w:style>
  <w:style w:type="paragraph" w:customStyle="1" w:styleId="BCAuthorAddress">
    <w:name w:val="BC_Author_Address"/>
    <w:basedOn w:val="Normal"/>
    <w:next w:val="BIEmailAddress"/>
    <w:rsid w:val="000F54D9"/>
    <w:pPr>
      <w:suppressAutoHyphens/>
      <w:spacing w:after="240" w:line="480" w:lineRule="auto"/>
      <w:jc w:val="center"/>
    </w:pPr>
    <w:rPr>
      <w:rFonts w:ascii="Times" w:eastAsia="Times New Roman" w:hAnsi="Times" w:cs="Times"/>
      <w:sz w:val="24"/>
      <w:szCs w:val="20"/>
      <w:lang w:eastAsia="zh-CN"/>
    </w:rPr>
  </w:style>
  <w:style w:type="paragraph" w:customStyle="1" w:styleId="AIReceivedDate">
    <w:name w:val="AI_Received_Date"/>
    <w:basedOn w:val="Normal"/>
    <w:next w:val="BDAbstract"/>
    <w:rsid w:val="000F54D9"/>
    <w:pPr>
      <w:suppressAutoHyphens/>
      <w:spacing w:after="240" w:line="480" w:lineRule="auto"/>
      <w:jc w:val="both"/>
    </w:pPr>
    <w:rPr>
      <w:rFonts w:ascii="Times" w:eastAsia="Times New Roman" w:hAnsi="Times" w:cs="Times"/>
      <w:b/>
      <w:sz w:val="24"/>
      <w:szCs w:val="20"/>
      <w:lang w:eastAsia="zh-CN"/>
    </w:rPr>
  </w:style>
  <w:style w:type="paragraph" w:customStyle="1" w:styleId="TDAcknowledgments">
    <w:name w:val="TD_Acknowledgments"/>
    <w:basedOn w:val="Normal"/>
    <w:next w:val="Normal"/>
    <w:rsid w:val="000F54D9"/>
    <w:pPr>
      <w:suppressAutoHyphens/>
      <w:spacing w:before="200" w:after="200" w:line="480" w:lineRule="auto"/>
      <w:ind w:firstLine="202"/>
      <w:jc w:val="both"/>
    </w:pPr>
    <w:rPr>
      <w:rFonts w:ascii="Times" w:eastAsia="Times New Roman" w:hAnsi="Times" w:cs="Times"/>
      <w:sz w:val="24"/>
      <w:szCs w:val="20"/>
      <w:lang w:eastAsia="zh-CN"/>
    </w:rPr>
  </w:style>
  <w:style w:type="paragraph" w:customStyle="1" w:styleId="TESupportingInformation">
    <w:name w:val="TE_Supporting_Information"/>
    <w:basedOn w:val="Normal"/>
    <w:next w:val="Normal"/>
    <w:rsid w:val="000F54D9"/>
    <w:pPr>
      <w:suppressAutoHyphens/>
      <w:spacing w:after="200" w:line="480" w:lineRule="auto"/>
      <w:ind w:firstLine="187"/>
      <w:jc w:val="both"/>
    </w:pPr>
    <w:rPr>
      <w:rFonts w:ascii="Times" w:eastAsia="Times New Roman" w:hAnsi="Times" w:cs="Times"/>
      <w:sz w:val="24"/>
      <w:szCs w:val="20"/>
      <w:lang w:eastAsia="zh-CN"/>
    </w:rPr>
  </w:style>
  <w:style w:type="paragraph" w:customStyle="1" w:styleId="VCSchemeTitle">
    <w:name w:val="VC_Scheme_Title"/>
    <w:basedOn w:val="Normal"/>
    <w:next w:val="Normal"/>
    <w:rsid w:val="000F54D9"/>
    <w:pPr>
      <w:suppressAutoHyphens/>
      <w:spacing w:after="200" w:line="480" w:lineRule="auto"/>
      <w:jc w:val="both"/>
    </w:pPr>
    <w:rPr>
      <w:rFonts w:ascii="Times" w:eastAsia="Times New Roman" w:hAnsi="Times" w:cs="Times"/>
      <w:sz w:val="24"/>
      <w:szCs w:val="20"/>
      <w:lang w:eastAsia="zh-CN"/>
    </w:rPr>
  </w:style>
  <w:style w:type="paragraph" w:customStyle="1" w:styleId="VDTableTitle">
    <w:name w:val="VD_Table_Title"/>
    <w:basedOn w:val="Normal"/>
    <w:next w:val="Normal"/>
    <w:rsid w:val="000F54D9"/>
    <w:pPr>
      <w:suppressAutoHyphens/>
      <w:spacing w:after="200" w:line="480" w:lineRule="auto"/>
      <w:jc w:val="both"/>
    </w:pPr>
    <w:rPr>
      <w:rFonts w:ascii="Times" w:eastAsia="Times New Roman" w:hAnsi="Times" w:cs="Times"/>
      <w:sz w:val="24"/>
      <w:szCs w:val="20"/>
      <w:lang w:eastAsia="zh-CN"/>
    </w:rPr>
  </w:style>
  <w:style w:type="paragraph" w:customStyle="1" w:styleId="VAFigureCaption">
    <w:name w:val="VA_Figure_Caption"/>
    <w:basedOn w:val="Normal"/>
    <w:next w:val="Normal"/>
    <w:rsid w:val="000F54D9"/>
    <w:pPr>
      <w:suppressAutoHyphens/>
      <w:spacing w:after="200" w:line="480" w:lineRule="auto"/>
      <w:jc w:val="both"/>
    </w:pPr>
    <w:rPr>
      <w:rFonts w:ascii="Times" w:eastAsia="Times New Roman" w:hAnsi="Times" w:cs="Times"/>
      <w:sz w:val="24"/>
      <w:szCs w:val="20"/>
      <w:lang w:eastAsia="zh-CN"/>
    </w:rPr>
  </w:style>
  <w:style w:type="paragraph" w:customStyle="1" w:styleId="VBChartTitle">
    <w:name w:val="VB_Chart_Title"/>
    <w:basedOn w:val="Normal"/>
    <w:next w:val="Normal"/>
    <w:rsid w:val="000F54D9"/>
    <w:pPr>
      <w:suppressAutoHyphens/>
      <w:spacing w:after="200" w:line="480" w:lineRule="auto"/>
      <w:jc w:val="both"/>
    </w:pPr>
    <w:rPr>
      <w:rFonts w:ascii="Times" w:eastAsia="Times New Roman" w:hAnsi="Times" w:cs="Times"/>
      <w:sz w:val="24"/>
      <w:szCs w:val="20"/>
      <w:lang w:eastAsia="zh-CN"/>
    </w:rPr>
  </w:style>
  <w:style w:type="paragraph" w:customStyle="1" w:styleId="FETableFootnote">
    <w:name w:val="FE_Table_Footnote"/>
    <w:basedOn w:val="Normal"/>
    <w:next w:val="Normal"/>
    <w:rsid w:val="000F54D9"/>
    <w:pPr>
      <w:suppressAutoHyphens/>
      <w:spacing w:after="200" w:line="240" w:lineRule="auto"/>
      <w:ind w:firstLine="187"/>
      <w:jc w:val="both"/>
    </w:pPr>
    <w:rPr>
      <w:rFonts w:ascii="Times" w:eastAsia="Times New Roman" w:hAnsi="Times" w:cs="Times"/>
      <w:sz w:val="24"/>
      <w:szCs w:val="20"/>
      <w:lang w:eastAsia="zh-CN"/>
    </w:rPr>
  </w:style>
  <w:style w:type="paragraph" w:customStyle="1" w:styleId="FCChartFootnote">
    <w:name w:val="FC_Chart_Footnote"/>
    <w:basedOn w:val="Normal"/>
    <w:next w:val="Normal"/>
    <w:rsid w:val="000F54D9"/>
    <w:pPr>
      <w:suppressAutoHyphens/>
      <w:spacing w:after="200" w:line="240" w:lineRule="auto"/>
      <w:ind w:firstLine="187"/>
      <w:jc w:val="both"/>
    </w:pPr>
    <w:rPr>
      <w:rFonts w:ascii="Times" w:eastAsia="Times New Roman" w:hAnsi="Times" w:cs="Times"/>
      <w:sz w:val="24"/>
      <w:szCs w:val="20"/>
      <w:lang w:eastAsia="zh-CN"/>
    </w:rPr>
  </w:style>
  <w:style w:type="paragraph" w:customStyle="1" w:styleId="FDSchemeFootnote">
    <w:name w:val="FD_Scheme_Footnote"/>
    <w:basedOn w:val="Normal"/>
    <w:next w:val="Normal"/>
    <w:rsid w:val="000F54D9"/>
    <w:pPr>
      <w:suppressAutoHyphens/>
      <w:spacing w:after="200" w:line="240" w:lineRule="auto"/>
      <w:ind w:firstLine="187"/>
      <w:jc w:val="both"/>
    </w:pPr>
    <w:rPr>
      <w:rFonts w:ascii="Times" w:eastAsia="Times New Roman" w:hAnsi="Times" w:cs="Times"/>
      <w:sz w:val="24"/>
      <w:szCs w:val="20"/>
      <w:lang w:eastAsia="zh-CN"/>
    </w:rPr>
  </w:style>
  <w:style w:type="paragraph" w:customStyle="1" w:styleId="TCTableBody">
    <w:name w:val="TC_Table_Body"/>
    <w:basedOn w:val="Normal"/>
    <w:rsid w:val="000F54D9"/>
    <w:pPr>
      <w:suppressAutoHyphens/>
      <w:spacing w:after="200" w:line="240" w:lineRule="auto"/>
      <w:jc w:val="both"/>
    </w:pPr>
    <w:rPr>
      <w:rFonts w:ascii="Times" w:eastAsia="Times New Roman" w:hAnsi="Times" w:cs="Times"/>
      <w:sz w:val="24"/>
      <w:szCs w:val="20"/>
      <w:lang w:eastAsia="zh-CN"/>
    </w:rPr>
  </w:style>
  <w:style w:type="paragraph" w:customStyle="1" w:styleId="AFTitleRunningHead">
    <w:name w:val="AF_Title_Running_Head"/>
    <w:basedOn w:val="Normal"/>
    <w:next w:val="TAMainText"/>
    <w:rsid w:val="000F54D9"/>
    <w:pPr>
      <w:suppressAutoHyphens/>
      <w:spacing w:after="200" w:line="480" w:lineRule="auto"/>
      <w:jc w:val="both"/>
    </w:pPr>
    <w:rPr>
      <w:rFonts w:ascii="Times" w:eastAsia="Times New Roman" w:hAnsi="Times" w:cs="Times"/>
      <w:sz w:val="24"/>
      <w:szCs w:val="20"/>
      <w:lang w:eastAsia="zh-CN"/>
    </w:rPr>
  </w:style>
  <w:style w:type="paragraph" w:customStyle="1" w:styleId="BEAuthorBiography">
    <w:name w:val="BE_Author_Biography"/>
    <w:basedOn w:val="Normal"/>
    <w:rsid w:val="000F54D9"/>
    <w:pPr>
      <w:suppressAutoHyphens/>
      <w:spacing w:after="200" w:line="480" w:lineRule="auto"/>
      <w:jc w:val="both"/>
    </w:pPr>
    <w:rPr>
      <w:rFonts w:ascii="Times" w:eastAsia="Times New Roman" w:hAnsi="Times" w:cs="Times"/>
      <w:sz w:val="24"/>
      <w:szCs w:val="20"/>
      <w:lang w:eastAsia="zh-CN"/>
    </w:rPr>
  </w:style>
  <w:style w:type="paragraph" w:customStyle="1" w:styleId="SNSynopsisTOC">
    <w:name w:val="SN_Synopsis_TOC"/>
    <w:basedOn w:val="Normal"/>
    <w:rsid w:val="000F54D9"/>
    <w:pPr>
      <w:suppressAutoHyphens/>
      <w:spacing w:after="200" w:line="480" w:lineRule="auto"/>
      <w:jc w:val="both"/>
    </w:pPr>
    <w:rPr>
      <w:rFonts w:ascii="Times" w:eastAsia="Times New Roman" w:hAnsi="Times" w:cs="Times"/>
      <w:sz w:val="24"/>
      <w:szCs w:val="20"/>
      <w:lang w:eastAsia="zh-CN"/>
    </w:rPr>
  </w:style>
  <w:style w:type="paragraph" w:customStyle="1" w:styleId="BGKeywords">
    <w:name w:val="BG_Keywords"/>
    <w:basedOn w:val="Normal"/>
    <w:rsid w:val="000F54D9"/>
    <w:pPr>
      <w:suppressAutoHyphens/>
      <w:spacing w:after="200" w:line="480" w:lineRule="auto"/>
      <w:jc w:val="both"/>
    </w:pPr>
    <w:rPr>
      <w:rFonts w:ascii="Times" w:eastAsia="Times New Roman" w:hAnsi="Times" w:cs="Times"/>
      <w:sz w:val="24"/>
      <w:szCs w:val="20"/>
      <w:lang w:eastAsia="zh-CN"/>
    </w:rPr>
  </w:style>
  <w:style w:type="paragraph" w:customStyle="1" w:styleId="BHBriefs">
    <w:name w:val="BH_Briefs"/>
    <w:basedOn w:val="Normal"/>
    <w:rsid w:val="000F54D9"/>
    <w:pPr>
      <w:suppressAutoHyphens/>
      <w:spacing w:after="200" w:line="480" w:lineRule="auto"/>
      <w:jc w:val="both"/>
    </w:pPr>
    <w:rPr>
      <w:rFonts w:ascii="Times" w:eastAsia="Times New Roman" w:hAnsi="Times" w:cs="Times"/>
      <w:sz w:val="24"/>
      <w:szCs w:val="20"/>
      <w:lang w:eastAsia="zh-CN"/>
    </w:rPr>
  </w:style>
  <w:style w:type="paragraph" w:customStyle="1" w:styleId="BMCLNORMAL">
    <w:name w:val="BMCL NORMAL"/>
    <w:basedOn w:val="Normal"/>
    <w:next w:val="Normal"/>
    <w:rsid w:val="000F54D9"/>
    <w:pPr>
      <w:widowControl w:val="0"/>
      <w:suppressAutoHyphens/>
      <w:spacing w:after="0" w:line="230" w:lineRule="exact"/>
      <w:jc w:val="both"/>
    </w:pPr>
    <w:rPr>
      <w:rFonts w:ascii="Times New Roman" w:eastAsia="Times New Roman" w:hAnsi="Times New Roman" w:cs="Times New Roman"/>
      <w:sz w:val="21"/>
      <w:szCs w:val="20"/>
      <w:lang w:eastAsia="zh-CN"/>
    </w:rPr>
  </w:style>
  <w:style w:type="paragraph" w:customStyle="1" w:styleId="BMCLRECEIPT">
    <w:name w:val="BMCL RECEIPT"/>
    <w:basedOn w:val="BMCLNORMAL"/>
    <w:next w:val="Normal"/>
    <w:rsid w:val="000F54D9"/>
    <w:pPr>
      <w:spacing w:after="240" w:line="200" w:lineRule="exact"/>
      <w:jc w:val="center"/>
    </w:pPr>
    <w:rPr>
      <w:sz w:val="16"/>
    </w:rPr>
  </w:style>
  <w:style w:type="paragraph" w:customStyle="1" w:styleId="ColorfulList-Accent11">
    <w:name w:val="Colorful List - Accent 11"/>
    <w:basedOn w:val="Normal"/>
    <w:qFormat/>
    <w:rsid w:val="000F54D9"/>
    <w:pPr>
      <w:numPr>
        <w:numId w:val="10"/>
      </w:numPr>
      <w:suppressAutoHyphens/>
      <w:spacing w:after="200" w:line="276" w:lineRule="auto"/>
      <w:ind w:left="284" w:hanging="284"/>
      <w:contextualSpacing/>
      <w:jc w:val="both"/>
    </w:pPr>
    <w:rPr>
      <w:rFonts w:ascii="Times New Roman" w:eastAsia="PMingLiU" w:hAnsi="Times New Roman" w:cs="Times New Roman"/>
      <w:color w:val="131413"/>
      <w:sz w:val="20"/>
      <w:szCs w:val="20"/>
      <w:lang w:eastAsia="zh-TW"/>
    </w:rPr>
  </w:style>
  <w:style w:type="paragraph" w:customStyle="1" w:styleId="BMCLREFERENCE">
    <w:name w:val="BMCL REFERENCE"/>
    <w:basedOn w:val="BMCLNORMAL"/>
    <w:rsid w:val="000F54D9"/>
    <w:pPr>
      <w:tabs>
        <w:tab w:val="left" w:pos="360"/>
      </w:tabs>
    </w:pPr>
    <w:rPr>
      <w:sz w:val="20"/>
    </w:rPr>
  </w:style>
  <w:style w:type="paragraph" w:customStyle="1" w:styleId="Estndar">
    <w:name w:val="Estándar"/>
    <w:basedOn w:val="Normal"/>
    <w:rsid w:val="000F54D9"/>
    <w:pPr>
      <w:suppressAutoHyphens/>
      <w:overflowPunct w:val="0"/>
      <w:autoSpaceDE w:val="0"/>
      <w:spacing w:after="0" w:line="360" w:lineRule="auto"/>
      <w:jc w:val="center"/>
      <w:textAlignment w:val="baseline"/>
    </w:pPr>
    <w:rPr>
      <w:rFonts w:ascii="Helv" w:eastAsia="Times New Roman" w:hAnsi="Helv" w:cs="Helv"/>
      <w:sz w:val="20"/>
      <w:szCs w:val="20"/>
      <w:lang w:eastAsia="zh-CN"/>
    </w:rPr>
  </w:style>
  <w:style w:type="paragraph" w:styleId="BodyTextIndent3">
    <w:name w:val="Body Text Indent 3"/>
    <w:basedOn w:val="Normal"/>
    <w:link w:val="BodyTextIndent3Char"/>
    <w:rsid w:val="000F54D9"/>
    <w:pPr>
      <w:suppressAutoHyphens/>
      <w:spacing w:after="120" w:line="240" w:lineRule="auto"/>
      <w:ind w:left="283"/>
    </w:pPr>
    <w:rPr>
      <w:rFonts w:ascii="Times New Roman" w:eastAsia="Times New Roman" w:hAnsi="Times New Roman" w:cs="Times New Roman"/>
      <w:sz w:val="16"/>
      <w:szCs w:val="16"/>
      <w:lang w:val="es-ES" w:eastAsia="zh-CN" w:bidi="he-IL"/>
    </w:rPr>
  </w:style>
  <w:style w:type="character" w:customStyle="1" w:styleId="BodyTextIndent3Char">
    <w:name w:val="Body Text Indent 3 Char"/>
    <w:basedOn w:val="DefaultParagraphFont"/>
    <w:link w:val="BodyTextIndent3"/>
    <w:rsid w:val="000F54D9"/>
    <w:rPr>
      <w:rFonts w:ascii="Times New Roman" w:eastAsia="Times New Roman" w:hAnsi="Times New Roman" w:cs="Times New Roman"/>
      <w:sz w:val="16"/>
      <w:szCs w:val="16"/>
      <w:lang w:val="es-ES" w:eastAsia="zh-CN" w:bidi="he-IL"/>
    </w:rPr>
  </w:style>
  <w:style w:type="paragraph" w:customStyle="1" w:styleId="msolistparagraph0">
    <w:name w:val="msolistparagraph"/>
    <w:basedOn w:val="Normal"/>
    <w:rsid w:val="000F54D9"/>
    <w:pPr>
      <w:suppressAutoHyphens/>
      <w:spacing w:after="200" w:line="240" w:lineRule="auto"/>
      <w:ind w:left="720"/>
    </w:pPr>
    <w:rPr>
      <w:rFonts w:ascii="Times New Roman" w:eastAsia="Cambria" w:hAnsi="Times New Roman" w:cs="Times New Roman"/>
      <w:sz w:val="24"/>
      <w:szCs w:val="20"/>
      <w:lang w:eastAsia="zh-CN"/>
    </w:rPr>
  </w:style>
  <w:style w:type="paragraph" w:customStyle="1" w:styleId="Titolo1">
    <w:name w:val="Titolo1"/>
    <w:basedOn w:val="Normal"/>
    <w:next w:val="Normal"/>
    <w:rsid w:val="000F54D9"/>
    <w:pPr>
      <w:suppressAutoHyphens/>
      <w:spacing w:before="230" w:after="230" w:line="300" w:lineRule="exact"/>
      <w:jc w:val="center"/>
    </w:pPr>
    <w:rPr>
      <w:rFonts w:ascii="Times New Roman" w:eastAsia="MS Mincho" w:hAnsi="Times New Roman" w:cs="Times New Roman"/>
      <w:b/>
      <w:sz w:val="28"/>
      <w:szCs w:val="28"/>
      <w:lang w:eastAsia="ja-JP"/>
    </w:rPr>
  </w:style>
  <w:style w:type="paragraph" w:customStyle="1" w:styleId="Authors">
    <w:name w:val="Authors"/>
    <w:basedOn w:val="Normal"/>
    <w:rsid w:val="000F54D9"/>
    <w:pPr>
      <w:suppressAutoHyphens/>
      <w:spacing w:before="360" w:after="460" w:line="260" w:lineRule="exact"/>
      <w:jc w:val="center"/>
    </w:pPr>
    <w:rPr>
      <w:rFonts w:ascii="Times New Roman" w:eastAsia="MS Mincho" w:hAnsi="Times New Roman" w:cs="Times New Roman"/>
      <w:b/>
      <w:sz w:val="24"/>
      <w:szCs w:val="24"/>
      <w:lang w:eastAsia="ja-JP"/>
    </w:rPr>
  </w:style>
  <w:style w:type="paragraph" w:customStyle="1" w:styleId="Adress">
    <w:name w:val="Adress"/>
    <w:basedOn w:val="Normal"/>
    <w:rsid w:val="000F54D9"/>
    <w:pPr>
      <w:suppressAutoHyphens/>
      <w:spacing w:after="0" w:line="180" w:lineRule="exact"/>
      <w:ind w:left="425" w:hanging="425"/>
    </w:pPr>
    <w:rPr>
      <w:rFonts w:ascii="Times New Roman" w:eastAsia="MS Mincho" w:hAnsi="Times New Roman" w:cs="Times New Roman"/>
      <w:sz w:val="16"/>
      <w:szCs w:val="20"/>
      <w:lang w:eastAsia="ja-JP"/>
    </w:rPr>
  </w:style>
  <w:style w:type="paragraph" w:customStyle="1" w:styleId="Keywords">
    <w:name w:val="Keywords"/>
    <w:basedOn w:val="Normal"/>
    <w:rsid w:val="000F54D9"/>
    <w:pPr>
      <w:suppressAutoHyphens/>
      <w:spacing w:after="120" w:line="220" w:lineRule="exact"/>
      <w:ind w:left="170" w:right="170"/>
    </w:pPr>
    <w:rPr>
      <w:rFonts w:ascii="Times New Roman" w:eastAsia="MS Mincho" w:hAnsi="Times New Roman" w:cs="Times New Roman"/>
      <w:sz w:val="18"/>
      <w:szCs w:val="20"/>
      <w:lang w:eastAsia="ja-JP"/>
    </w:rPr>
  </w:style>
  <w:style w:type="paragraph" w:customStyle="1" w:styleId="HAcknowledgment">
    <w:name w:val="HAcknowledgment"/>
    <w:basedOn w:val="Normal"/>
    <w:rsid w:val="000F54D9"/>
    <w:pPr>
      <w:suppressAutoHyphens/>
      <w:spacing w:before="360" w:after="230" w:line="240" w:lineRule="exact"/>
    </w:pPr>
    <w:rPr>
      <w:rFonts w:ascii="Times New Roman" w:eastAsia="MS Mincho" w:hAnsi="Times New Roman" w:cs="Times New Roman"/>
      <w:b/>
      <w:szCs w:val="24"/>
      <w:lang w:eastAsia="ja-JP"/>
    </w:rPr>
  </w:style>
  <w:style w:type="paragraph" w:customStyle="1" w:styleId="H1">
    <w:name w:val="H1"/>
    <w:basedOn w:val="Normal"/>
    <w:rsid w:val="000F54D9"/>
    <w:pPr>
      <w:suppressAutoHyphens/>
      <w:spacing w:before="360" w:after="230" w:line="240" w:lineRule="exact"/>
    </w:pPr>
    <w:rPr>
      <w:rFonts w:ascii="Times New Roman" w:eastAsia="MS Mincho" w:hAnsi="Times New Roman" w:cs="Times New Roman"/>
      <w:b/>
      <w:szCs w:val="24"/>
      <w:lang w:eastAsia="ja-JP"/>
    </w:rPr>
  </w:style>
  <w:style w:type="paragraph" w:customStyle="1" w:styleId="SchemeCaption">
    <w:name w:val="SchemeCaption"/>
    <w:basedOn w:val="Normal"/>
    <w:rsid w:val="000F54D9"/>
    <w:pPr>
      <w:suppressAutoHyphens/>
      <w:spacing w:before="230" w:after="460" w:line="180" w:lineRule="exact"/>
      <w:jc w:val="both"/>
    </w:pPr>
    <w:rPr>
      <w:rFonts w:ascii="Times New Roman" w:eastAsia="MS Mincho" w:hAnsi="Times New Roman" w:cs="Times New Roman"/>
      <w:sz w:val="16"/>
      <w:szCs w:val="14"/>
      <w:lang w:eastAsia="ja-JP"/>
    </w:rPr>
  </w:style>
  <w:style w:type="paragraph" w:customStyle="1" w:styleId="FigureCaption">
    <w:name w:val="FigureCaption"/>
    <w:basedOn w:val="Normal"/>
    <w:rsid w:val="000F54D9"/>
    <w:pPr>
      <w:suppressAutoHyphens/>
      <w:spacing w:before="230" w:after="460" w:line="180" w:lineRule="exact"/>
      <w:jc w:val="both"/>
    </w:pPr>
    <w:rPr>
      <w:rFonts w:ascii="Times New Roman" w:eastAsia="MS Mincho" w:hAnsi="Times New Roman" w:cs="Times New Roman"/>
      <w:sz w:val="16"/>
      <w:szCs w:val="14"/>
      <w:lang w:eastAsia="ja-JP"/>
    </w:rPr>
  </w:style>
  <w:style w:type="paragraph" w:customStyle="1" w:styleId="TableCaption">
    <w:name w:val="TableCaption"/>
    <w:basedOn w:val="Normal"/>
    <w:rsid w:val="000F54D9"/>
    <w:pPr>
      <w:suppressAutoHyphens/>
      <w:spacing w:before="230" w:after="120" w:line="180" w:lineRule="exact"/>
      <w:jc w:val="both"/>
    </w:pPr>
    <w:rPr>
      <w:rFonts w:ascii="Times New Roman" w:eastAsia="MS Mincho" w:hAnsi="Times New Roman" w:cs="Times New Roman"/>
      <w:sz w:val="16"/>
      <w:szCs w:val="14"/>
      <w:lang w:eastAsia="ja-JP"/>
    </w:rPr>
  </w:style>
  <w:style w:type="paragraph" w:customStyle="1" w:styleId="P2">
    <w:name w:val="P2"/>
    <w:basedOn w:val="Normal"/>
    <w:rsid w:val="000F54D9"/>
    <w:pPr>
      <w:suppressAutoHyphens/>
      <w:spacing w:after="0" w:line="230" w:lineRule="exact"/>
    </w:pPr>
    <w:rPr>
      <w:rFonts w:ascii="Times New Roman" w:eastAsia="MS Mincho" w:hAnsi="Times New Roman" w:cs="Times New Roman"/>
      <w:sz w:val="16"/>
      <w:szCs w:val="24"/>
      <w:lang w:eastAsia="ja-JP"/>
    </w:rPr>
  </w:style>
  <w:style w:type="paragraph" w:customStyle="1" w:styleId="TableFoot">
    <w:name w:val="TableFoot"/>
    <w:basedOn w:val="Normal"/>
    <w:rsid w:val="000F54D9"/>
    <w:pPr>
      <w:suppressAutoHyphens/>
      <w:spacing w:before="60" w:after="460" w:line="180" w:lineRule="exact"/>
      <w:jc w:val="both"/>
    </w:pPr>
    <w:rPr>
      <w:rFonts w:ascii="Times New Roman" w:eastAsia="MS Mincho" w:hAnsi="Times New Roman" w:cs="Times New Roman"/>
      <w:sz w:val="16"/>
      <w:szCs w:val="14"/>
      <w:lang w:eastAsia="ja-JP"/>
    </w:rPr>
  </w:style>
  <w:style w:type="paragraph" w:customStyle="1" w:styleId="P1">
    <w:name w:val="P1"/>
    <w:basedOn w:val="TableCaption"/>
    <w:rsid w:val="000F54D9"/>
    <w:pPr>
      <w:spacing w:line="220" w:lineRule="exact"/>
      <w:ind w:firstLine="170"/>
    </w:pPr>
    <w:rPr>
      <w:sz w:val="18"/>
    </w:rPr>
  </w:style>
  <w:style w:type="paragraph" w:customStyle="1" w:styleId="References">
    <w:name w:val="References"/>
    <w:basedOn w:val="Normal"/>
    <w:rsid w:val="000F54D9"/>
    <w:pPr>
      <w:suppressAutoHyphens/>
      <w:spacing w:after="120" w:line="180" w:lineRule="exact"/>
      <w:ind w:left="425" w:hanging="425"/>
      <w:jc w:val="both"/>
    </w:pPr>
    <w:rPr>
      <w:rFonts w:ascii="Times New Roman" w:eastAsia="MS Mincho" w:hAnsi="Times New Roman" w:cs="Times New Roman"/>
      <w:sz w:val="16"/>
      <w:szCs w:val="14"/>
      <w:lang w:eastAsia="ja-JP"/>
    </w:rPr>
  </w:style>
  <w:style w:type="paragraph" w:customStyle="1" w:styleId="GAAuthors">
    <w:name w:val="GAAuthors"/>
    <w:basedOn w:val="Normal"/>
    <w:rsid w:val="000F54D9"/>
    <w:pPr>
      <w:suppressAutoHyphens/>
      <w:spacing w:before="360" w:after="60" w:line="220" w:lineRule="exact"/>
    </w:pPr>
    <w:rPr>
      <w:rFonts w:ascii="Times New Roman" w:eastAsia="MS Mincho" w:hAnsi="Times New Roman" w:cs="Times New Roman"/>
      <w:b/>
      <w:sz w:val="18"/>
      <w:szCs w:val="20"/>
      <w:lang w:eastAsia="ja-JP"/>
    </w:rPr>
  </w:style>
  <w:style w:type="paragraph" w:customStyle="1" w:styleId="GACatchPhrase">
    <w:name w:val="GACatchPhrase"/>
    <w:basedOn w:val="Normal"/>
    <w:rsid w:val="000F54D9"/>
    <w:pPr>
      <w:suppressAutoHyphens/>
      <w:spacing w:before="40" w:after="0" w:line="240" w:lineRule="auto"/>
      <w:jc w:val="right"/>
    </w:pPr>
    <w:rPr>
      <w:rFonts w:ascii="Times New Roman" w:eastAsia="MS Mincho" w:hAnsi="Times New Roman" w:cs="Arial"/>
      <w:b/>
      <w:color w:val="008080"/>
      <w:sz w:val="18"/>
      <w:szCs w:val="16"/>
      <w:lang w:eastAsia="ja-JP"/>
    </w:rPr>
  </w:style>
  <w:style w:type="paragraph" w:customStyle="1" w:styleId="GAText">
    <w:name w:val="GAText"/>
    <w:basedOn w:val="Normal"/>
    <w:rsid w:val="000F54D9"/>
    <w:pPr>
      <w:suppressAutoHyphens/>
      <w:spacing w:before="120" w:after="0" w:line="220" w:lineRule="exact"/>
    </w:pPr>
    <w:rPr>
      <w:rFonts w:ascii="Times New Roman" w:eastAsia="MS Mincho" w:hAnsi="Times New Roman" w:cs="Times New Roman"/>
      <w:color w:val="000000"/>
      <w:sz w:val="18"/>
      <w:szCs w:val="24"/>
      <w:lang w:eastAsia="ja-JP"/>
    </w:rPr>
  </w:style>
  <w:style w:type="paragraph" w:customStyle="1" w:styleId="GATitel">
    <w:name w:val="GATitel"/>
    <w:basedOn w:val="GAAuthors"/>
    <w:rsid w:val="000F54D9"/>
    <w:pPr>
      <w:spacing w:before="240"/>
    </w:pPr>
    <w:rPr>
      <w:b w:val="0"/>
    </w:rPr>
  </w:style>
  <w:style w:type="paragraph" w:customStyle="1" w:styleId="GAKeywords">
    <w:name w:val="GAKeywords"/>
    <w:basedOn w:val="Keywords"/>
    <w:rsid w:val="000F54D9"/>
    <w:pPr>
      <w:spacing w:before="200" w:after="0"/>
      <w:ind w:left="0" w:right="0"/>
    </w:pPr>
    <w:rPr>
      <w:b/>
      <w:szCs w:val="24"/>
    </w:rPr>
  </w:style>
  <w:style w:type="paragraph" w:styleId="Subtitle">
    <w:name w:val="Subtitle"/>
    <w:basedOn w:val="Normal"/>
    <w:next w:val="Normal"/>
    <w:link w:val="SubtitleChar1"/>
    <w:qFormat/>
    <w:rsid w:val="000F54D9"/>
    <w:pPr>
      <w:suppressAutoHyphens/>
      <w:spacing w:after="200" w:line="276" w:lineRule="auto"/>
    </w:pPr>
    <w:rPr>
      <w:rFonts w:ascii="Cambria" w:eastAsia="MS Gothic" w:hAnsi="Cambria" w:cs="Cambria"/>
      <w:i/>
      <w:iCs/>
      <w:color w:val="4F81BD"/>
      <w:spacing w:val="15"/>
      <w:sz w:val="24"/>
      <w:szCs w:val="24"/>
      <w:lang w:val="it-IT" w:eastAsia="zh-CN"/>
    </w:rPr>
  </w:style>
  <w:style w:type="character" w:customStyle="1" w:styleId="SubtitleChar1">
    <w:name w:val="Subtitle Char1"/>
    <w:basedOn w:val="DefaultParagraphFont"/>
    <w:link w:val="Subtitle"/>
    <w:rsid w:val="000F54D9"/>
    <w:rPr>
      <w:rFonts w:ascii="Cambria" w:eastAsia="MS Gothic" w:hAnsi="Cambria" w:cs="Cambria"/>
      <w:i/>
      <w:iCs/>
      <w:color w:val="4F81BD"/>
      <w:spacing w:val="15"/>
      <w:sz w:val="24"/>
      <w:szCs w:val="24"/>
      <w:lang w:val="it-IT" w:eastAsia="zh-CN"/>
    </w:rPr>
  </w:style>
  <w:style w:type="paragraph" w:customStyle="1" w:styleId="MediumGrid21">
    <w:name w:val="Medium Grid 21"/>
    <w:qFormat/>
    <w:rsid w:val="000F54D9"/>
    <w:pPr>
      <w:suppressAutoHyphens/>
      <w:spacing w:after="0" w:line="240" w:lineRule="auto"/>
    </w:pPr>
    <w:rPr>
      <w:rFonts w:ascii="Calibri" w:eastAsia="MS Mincho" w:hAnsi="Calibri" w:cs="Calibri"/>
      <w:lang w:val="it-IT" w:eastAsia="zh-CN"/>
    </w:rPr>
  </w:style>
  <w:style w:type="paragraph" w:customStyle="1" w:styleId="1">
    <w:name w:val="목록 단락1"/>
    <w:basedOn w:val="Normal"/>
    <w:rsid w:val="000F54D9"/>
    <w:pPr>
      <w:widowControl w:val="0"/>
      <w:suppressAutoHyphens/>
      <w:spacing w:after="0" w:line="240" w:lineRule="auto"/>
      <w:ind w:left="720"/>
      <w:contextualSpacing/>
    </w:pPr>
    <w:rPr>
      <w:rFonts w:ascii="Calibri" w:eastAsia="Malgun Gothic" w:hAnsi="Calibri" w:cs="Calibri"/>
      <w:lang w:eastAsia="zh-CN"/>
    </w:rPr>
  </w:style>
  <w:style w:type="paragraph" w:customStyle="1" w:styleId="authlist">
    <w:name w:val="auth_list"/>
    <w:basedOn w:val="Normal"/>
    <w:rsid w:val="000F54D9"/>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yiv1019216426msoheading7">
    <w:name w:val="yiv1019216426msoheading7"/>
    <w:basedOn w:val="Normal"/>
    <w:rsid w:val="000F54D9"/>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desc2">
    <w:name w:val="desc2"/>
    <w:basedOn w:val="Normal"/>
    <w:rsid w:val="000F54D9"/>
    <w:pPr>
      <w:suppressAutoHyphens/>
      <w:spacing w:before="280" w:after="280" w:line="240" w:lineRule="auto"/>
    </w:pPr>
    <w:rPr>
      <w:rFonts w:ascii="Times New Roman" w:eastAsia="Times New Roman" w:hAnsi="Times New Roman" w:cs="Times New Roman"/>
      <w:sz w:val="28"/>
      <w:szCs w:val="28"/>
      <w:lang w:eastAsia="zh-CN"/>
    </w:rPr>
  </w:style>
  <w:style w:type="paragraph" w:customStyle="1" w:styleId="ColorfulShading-Accent11">
    <w:name w:val="Colorful Shading - Accent 11"/>
    <w:rsid w:val="000F54D9"/>
    <w:pPr>
      <w:suppressAutoHyphens/>
      <w:spacing w:after="0" w:line="240" w:lineRule="auto"/>
    </w:pPr>
    <w:rPr>
      <w:rFonts w:ascii="Times New Roman" w:eastAsia="Times New Roman" w:hAnsi="Times New Roman" w:cs="Times New Roman"/>
      <w:sz w:val="24"/>
      <w:szCs w:val="24"/>
      <w:lang w:eastAsia="zh-CN"/>
    </w:rPr>
  </w:style>
  <w:style w:type="paragraph" w:customStyle="1" w:styleId="12FigureSchemecaption">
    <w:name w:val="12 Figure/Scheme caption"/>
    <w:rsid w:val="000F54D9"/>
    <w:pPr>
      <w:suppressAutoHyphens/>
      <w:spacing w:before="20" w:after="120" w:line="180" w:lineRule="exact"/>
      <w:jc w:val="both"/>
    </w:pPr>
    <w:rPr>
      <w:rFonts w:ascii="Times New Roman" w:eastAsia="Times New Roman" w:hAnsi="Times New Roman" w:cs="Times New Roman"/>
      <w:sz w:val="16"/>
      <w:szCs w:val="20"/>
    </w:rPr>
  </w:style>
  <w:style w:type="paragraph" w:customStyle="1" w:styleId="TableContents">
    <w:name w:val="Table Contents"/>
    <w:basedOn w:val="Normal"/>
    <w:rsid w:val="000F54D9"/>
    <w:pPr>
      <w:widowControl w:val="0"/>
      <w:suppressLineNumbers/>
      <w:suppressAutoHyphens/>
      <w:spacing w:after="0" w:line="240" w:lineRule="auto"/>
    </w:pPr>
    <w:rPr>
      <w:rFonts w:ascii="Times New Roman" w:eastAsia="Times New Roman" w:hAnsi="Times New Roman" w:cs="Times New Roman"/>
      <w:sz w:val="24"/>
      <w:szCs w:val="24"/>
      <w:lang w:eastAsia="zh-CN"/>
    </w:rPr>
  </w:style>
  <w:style w:type="paragraph" w:customStyle="1" w:styleId="TableHeading">
    <w:name w:val="Table Heading"/>
    <w:basedOn w:val="TableContents"/>
    <w:rsid w:val="000F54D9"/>
    <w:pPr>
      <w:jc w:val="center"/>
    </w:pPr>
    <w:rPr>
      <w:b/>
      <w:bCs/>
    </w:rPr>
  </w:style>
  <w:style w:type="paragraph" w:customStyle="1" w:styleId="MDPI31text">
    <w:name w:val="MDPI_3.1_text"/>
    <w:qFormat/>
    <w:rsid w:val="000F54D9"/>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paragraph" w:customStyle="1" w:styleId="MDPI21heading1">
    <w:name w:val="MDPI_2.1_heading1"/>
    <w:qFormat/>
    <w:rsid w:val="000F54D9"/>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lang w:eastAsia="de-DE" w:bidi="en-US"/>
    </w:rPr>
  </w:style>
  <w:style w:type="paragraph" w:customStyle="1" w:styleId="MDPI22heading2">
    <w:name w:val="MDPI_2.2_heading2"/>
    <w:qFormat/>
    <w:rsid w:val="000F54D9"/>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lang w:eastAsia="de-DE" w:bidi="en-US"/>
    </w:rPr>
  </w:style>
  <w:style w:type="paragraph" w:customStyle="1" w:styleId="MDPI41tablecaption">
    <w:name w:val="MDPI_4.1_table_caption"/>
    <w:qFormat/>
    <w:rsid w:val="000F54D9"/>
    <w:pPr>
      <w:adjustRightInd w:val="0"/>
      <w:snapToGrid w:val="0"/>
      <w:spacing w:before="240" w:after="120" w:line="228" w:lineRule="auto"/>
      <w:ind w:left="2608"/>
    </w:pPr>
    <w:rPr>
      <w:rFonts w:ascii="Palatino Linotype" w:eastAsia="Times New Roman" w:hAnsi="Palatino Linotype" w:cs="Cordia New"/>
      <w:color w:val="000000"/>
      <w:sz w:val="18"/>
      <w:lang w:eastAsia="de-DE" w:bidi="en-US"/>
    </w:rPr>
  </w:style>
  <w:style w:type="paragraph" w:customStyle="1" w:styleId="MDPI42tablebody">
    <w:name w:val="MDPI_4.2_table_body"/>
    <w:qFormat/>
    <w:rsid w:val="000F54D9"/>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43tablefooter">
    <w:name w:val="MDPI_4.3_table_footer"/>
    <w:next w:val="MDPI31text"/>
    <w:qFormat/>
    <w:rsid w:val="000F54D9"/>
    <w:pPr>
      <w:adjustRightInd w:val="0"/>
      <w:snapToGrid w:val="0"/>
      <w:spacing w:after="0" w:line="228" w:lineRule="auto"/>
      <w:ind w:left="2608"/>
    </w:pPr>
    <w:rPr>
      <w:rFonts w:ascii="Palatino Linotype" w:eastAsia="Times New Roman" w:hAnsi="Palatino Linotype" w:cs="Cordia New"/>
      <w:color w:val="000000"/>
      <w:sz w:val="18"/>
      <w:lang w:eastAsia="de-DE" w:bidi="en-US"/>
    </w:rPr>
  </w:style>
  <w:style w:type="paragraph" w:customStyle="1" w:styleId="MDPI51figurecaption">
    <w:name w:val="MDPI_5.1_figure_caption"/>
    <w:qFormat/>
    <w:rsid w:val="000F54D9"/>
    <w:pPr>
      <w:adjustRightInd w:val="0"/>
      <w:snapToGrid w:val="0"/>
      <w:spacing w:before="120" w:after="240" w:line="228" w:lineRule="auto"/>
      <w:ind w:left="2608"/>
    </w:pPr>
    <w:rPr>
      <w:rFonts w:ascii="Palatino Linotype" w:eastAsia="Times New Roman" w:hAnsi="Palatino Linotype" w:cs="Times New Roman"/>
      <w:color w:val="000000"/>
      <w:sz w:val="18"/>
      <w:szCs w:val="20"/>
      <w:lang w:eastAsia="de-DE" w:bidi="en-US"/>
    </w:rPr>
  </w:style>
  <w:style w:type="paragraph" w:styleId="NoSpacing">
    <w:name w:val="No Spacing"/>
    <w:uiPriority w:val="99"/>
    <w:qFormat/>
    <w:rsid w:val="000F54D9"/>
    <w:pPr>
      <w:suppressAutoHyphens/>
      <w:spacing w:after="0" w:line="240" w:lineRule="auto"/>
    </w:pPr>
    <w:rPr>
      <w:rFonts w:ascii="Times New Roman" w:eastAsia="Times New Roman" w:hAnsi="Times New Roman" w:cs="Times New Roman"/>
      <w:sz w:val="24"/>
      <w:szCs w:val="24"/>
      <w:lang w:eastAsia="zh-CN"/>
    </w:rPr>
  </w:style>
  <w:style w:type="paragraph" w:styleId="Revision">
    <w:name w:val="Revision"/>
    <w:hidden/>
    <w:uiPriority w:val="99"/>
    <w:semiHidden/>
    <w:rsid w:val="000F54D9"/>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11</Pages>
  <Words>54781</Words>
  <Characters>312255</Characters>
  <Application>Microsoft Office Word</Application>
  <DocSecurity>0</DocSecurity>
  <Lines>2602</Lines>
  <Paragraphs>732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jpfina1 jpfina1</dc:creator>
  <cp:keywords/>
  <dc:description/>
  <cp:lastModifiedBy>jpfina1 jpfina1</cp:lastModifiedBy>
  <cp:revision>10</cp:revision>
  <dcterms:created xsi:type="dcterms:W3CDTF">2022-04-20T13:22:00Z</dcterms:created>
  <dcterms:modified xsi:type="dcterms:W3CDTF">2022-06-22T13:02:00Z</dcterms:modified>
</cp:coreProperties>
</file>