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78B0BB" w14:textId="452C0ED1" w:rsidR="00C2316A" w:rsidRDefault="00D50480"/>
    <w:p w14:paraId="4DC48D8F" w14:textId="76FF11C5" w:rsidR="00BE3104" w:rsidRPr="000C26B9" w:rsidRDefault="00A27D27" w:rsidP="00BE3104">
      <w:pPr>
        <w:spacing w:after="0" w:line="480" w:lineRule="auto"/>
        <w:jc w:val="both"/>
        <w:rPr>
          <w:rFonts w:ascii="Times New Roman" w:hAnsi="Times New Roman" w:cs="Times New Roman"/>
          <w:sz w:val="20"/>
          <w:szCs w:val="20"/>
        </w:rPr>
      </w:pPr>
      <w:r>
        <w:rPr>
          <w:rFonts w:ascii="Times New Roman" w:hAnsi="Times New Roman" w:cs="Times New Roman"/>
          <w:b/>
          <w:bCs/>
          <w:sz w:val="20"/>
          <w:szCs w:val="20"/>
        </w:rPr>
        <w:t xml:space="preserve">Supplementary </w:t>
      </w:r>
      <w:r w:rsidR="00BE3104" w:rsidRPr="00353950">
        <w:rPr>
          <w:rFonts w:ascii="Times New Roman" w:hAnsi="Times New Roman" w:cs="Times New Roman"/>
          <w:b/>
          <w:bCs/>
          <w:sz w:val="20"/>
          <w:szCs w:val="20"/>
        </w:rPr>
        <w:t xml:space="preserve">Table </w:t>
      </w:r>
      <w:r w:rsidR="00D50480">
        <w:rPr>
          <w:rFonts w:ascii="Times New Roman" w:hAnsi="Times New Roman" w:cs="Times New Roman"/>
          <w:b/>
          <w:bCs/>
          <w:sz w:val="20"/>
          <w:szCs w:val="20"/>
        </w:rPr>
        <w:t>7</w:t>
      </w:r>
      <w:r w:rsidR="00BE3104" w:rsidRPr="000C26B9">
        <w:rPr>
          <w:rFonts w:ascii="Times New Roman" w:hAnsi="Times New Roman" w:cs="Times New Roman"/>
          <w:sz w:val="20"/>
          <w:szCs w:val="20"/>
        </w:rPr>
        <w:t xml:space="preserve"> Assessment of methodological quality of case-control studies</w:t>
      </w:r>
    </w:p>
    <w:tbl>
      <w:tblPr>
        <w:tblW w:w="10530" w:type="dxa"/>
        <w:tblInd w:w="-5" w:type="dxa"/>
        <w:tblLayout w:type="fixed"/>
        <w:tblLook w:val="04A0" w:firstRow="1" w:lastRow="0" w:firstColumn="1" w:lastColumn="0" w:noHBand="0" w:noVBand="1"/>
      </w:tblPr>
      <w:tblGrid>
        <w:gridCol w:w="275"/>
        <w:gridCol w:w="1980"/>
        <w:gridCol w:w="1260"/>
        <w:gridCol w:w="535"/>
        <w:gridCol w:w="630"/>
        <w:gridCol w:w="540"/>
        <w:gridCol w:w="540"/>
        <w:gridCol w:w="540"/>
        <w:gridCol w:w="630"/>
        <w:gridCol w:w="540"/>
        <w:gridCol w:w="630"/>
        <w:gridCol w:w="630"/>
        <w:gridCol w:w="630"/>
        <w:gridCol w:w="1170"/>
      </w:tblGrid>
      <w:tr w:rsidR="00BE3104" w:rsidRPr="000C26B9" w14:paraId="3B55BB83" w14:textId="77777777" w:rsidTr="004A48E7">
        <w:trPr>
          <w:trHeight w:val="600"/>
        </w:trPr>
        <w:tc>
          <w:tcPr>
            <w:tcW w:w="275" w:type="dxa"/>
            <w:tcBorders>
              <w:top w:val="single" w:sz="4" w:space="0" w:color="auto"/>
              <w:bottom w:val="single" w:sz="4" w:space="0" w:color="auto"/>
            </w:tcBorders>
            <w:shd w:val="clear" w:color="auto" w:fill="auto"/>
            <w:noWrap/>
            <w:hideMark/>
          </w:tcPr>
          <w:p w14:paraId="08778C8E" w14:textId="77777777" w:rsidR="00BE3104" w:rsidRPr="000C26B9" w:rsidRDefault="00BE3104"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w:t>
            </w:r>
          </w:p>
        </w:tc>
        <w:tc>
          <w:tcPr>
            <w:tcW w:w="1980" w:type="dxa"/>
            <w:tcBorders>
              <w:top w:val="single" w:sz="4" w:space="0" w:color="auto"/>
              <w:bottom w:val="single" w:sz="4" w:space="0" w:color="auto"/>
            </w:tcBorders>
            <w:shd w:val="clear" w:color="auto" w:fill="auto"/>
            <w:hideMark/>
          </w:tcPr>
          <w:p w14:paraId="6D57E2C0" w14:textId="77777777" w:rsidR="00BE3104" w:rsidRPr="000C26B9" w:rsidRDefault="00BE3104" w:rsidP="004A48E7">
            <w:pP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First author</w:t>
            </w:r>
            <w:r w:rsidRPr="000C26B9">
              <w:rPr>
                <w:rFonts w:ascii="Times New Roman" w:hAnsi="Times New Roman" w:cs="Times New Roman"/>
                <w:b/>
                <w:bCs/>
                <w:color w:val="000000"/>
                <w:sz w:val="20"/>
                <w:szCs w:val="20"/>
                <w:lang w:val="en-US"/>
              </w:rPr>
              <w:br/>
              <w:t xml:space="preserve"> surname</w:t>
            </w:r>
          </w:p>
        </w:tc>
        <w:tc>
          <w:tcPr>
            <w:tcW w:w="1260" w:type="dxa"/>
            <w:tcBorders>
              <w:top w:val="single" w:sz="4" w:space="0" w:color="auto"/>
              <w:bottom w:val="single" w:sz="4" w:space="0" w:color="auto"/>
            </w:tcBorders>
            <w:shd w:val="clear" w:color="auto" w:fill="auto"/>
            <w:hideMark/>
          </w:tcPr>
          <w:p w14:paraId="5FA2BE4F" w14:textId="77777777" w:rsidR="00BE3104" w:rsidRPr="000C26B9" w:rsidRDefault="00BE3104" w:rsidP="004A48E7">
            <w:pP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Year of publication</w:t>
            </w:r>
          </w:p>
        </w:tc>
        <w:tc>
          <w:tcPr>
            <w:tcW w:w="535" w:type="dxa"/>
            <w:tcBorders>
              <w:top w:val="single" w:sz="4" w:space="0" w:color="auto"/>
              <w:bottom w:val="single" w:sz="4" w:space="0" w:color="auto"/>
            </w:tcBorders>
            <w:shd w:val="clear" w:color="auto" w:fill="auto"/>
            <w:noWrap/>
            <w:hideMark/>
          </w:tcPr>
          <w:p w14:paraId="016BBF89" w14:textId="77777777" w:rsidR="00BE3104" w:rsidRPr="000C26B9" w:rsidRDefault="00BE3104"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Q1</w:t>
            </w:r>
          </w:p>
        </w:tc>
        <w:tc>
          <w:tcPr>
            <w:tcW w:w="630" w:type="dxa"/>
            <w:tcBorders>
              <w:top w:val="single" w:sz="4" w:space="0" w:color="auto"/>
              <w:bottom w:val="single" w:sz="4" w:space="0" w:color="auto"/>
            </w:tcBorders>
            <w:shd w:val="clear" w:color="auto" w:fill="auto"/>
            <w:noWrap/>
            <w:hideMark/>
          </w:tcPr>
          <w:p w14:paraId="1D9F8E4A" w14:textId="77777777" w:rsidR="00BE3104" w:rsidRPr="000C26B9" w:rsidRDefault="00BE3104"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Q2</w:t>
            </w:r>
          </w:p>
        </w:tc>
        <w:tc>
          <w:tcPr>
            <w:tcW w:w="540" w:type="dxa"/>
            <w:tcBorders>
              <w:top w:val="single" w:sz="4" w:space="0" w:color="auto"/>
              <w:bottom w:val="single" w:sz="4" w:space="0" w:color="auto"/>
            </w:tcBorders>
            <w:shd w:val="clear" w:color="auto" w:fill="auto"/>
            <w:noWrap/>
            <w:hideMark/>
          </w:tcPr>
          <w:p w14:paraId="0D22641C" w14:textId="77777777" w:rsidR="00BE3104" w:rsidRPr="000C26B9" w:rsidRDefault="00BE3104"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Q3</w:t>
            </w:r>
          </w:p>
        </w:tc>
        <w:tc>
          <w:tcPr>
            <w:tcW w:w="540" w:type="dxa"/>
            <w:tcBorders>
              <w:top w:val="single" w:sz="4" w:space="0" w:color="auto"/>
              <w:bottom w:val="single" w:sz="4" w:space="0" w:color="auto"/>
            </w:tcBorders>
            <w:shd w:val="clear" w:color="auto" w:fill="auto"/>
            <w:noWrap/>
            <w:hideMark/>
          </w:tcPr>
          <w:p w14:paraId="7B674020" w14:textId="77777777" w:rsidR="00BE3104" w:rsidRPr="000C26B9" w:rsidRDefault="00BE3104"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Q4</w:t>
            </w:r>
          </w:p>
        </w:tc>
        <w:tc>
          <w:tcPr>
            <w:tcW w:w="540" w:type="dxa"/>
            <w:tcBorders>
              <w:top w:val="single" w:sz="4" w:space="0" w:color="auto"/>
              <w:bottom w:val="single" w:sz="4" w:space="0" w:color="auto"/>
            </w:tcBorders>
            <w:shd w:val="clear" w:color="auto" w:fill="auto"/>
            <w:noWrap/>
            <w:hideMark/>
          </w:tcPr>
          <w:p w14:paraId="43140BCA" w14:textId="77777777" w:rsidR="00BE3104" w:rsidRPr="000C26B9" w:rsidRDefault="00BE3104"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Q5</w:t>
            </w:r>
          </w:p>
        </w:tc>
        <w:tc>
          <w:tcPr>
            <w:tcW w:w="630" w:type="dxa"/>
            <w:tcBorders>
              <w:top w:val="single" w:sz="4" w:space="0" w:color="auto"/>
              <w:bottom w:val="single" w:sz="4" w:space="0" w:color="auto"/>
            </w:tcBorders>
            <w:shd w:val="clear" w:color="auto" w:fill="auto"/>
            <w:noWrap/>
            <w:hideMark/>
          </w:tcPr>
          <w:p w14:paraId="731525DD" w14:textId="77777777" w:rsidR="00BE3104" w:rsidRPr="000C26B9" w:rsidRDefault="00BE3104"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Q6</w:t>
            </w:r>
          </w:p>
        </w:tc>
        <w:tc>
          <w:tcPr>
            <w:tcW w:w="540" w:type="dxa"/>
            <w:tcBorders>
              <w:top w:val="single" w:sz="4" w:space="0" w:color="auto"/>
              <w:bottom w:val="single" w:sz="4" w:space="0" w:color="auto"/>
            </w:tcBorders>
            <w:shd w:val="clear" w:color="auto" w:fill="auto"/>
            <w:noWrap/>
            <w:hideMark/>
          </w:tcPr>
          <w:p w14:paraId="0D5A7531" w14:textId="77777777" w:rsidR="00BE3104" w:rsidRPr="000C26B9" w:rsidRDefault="00BE3104"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Q7</w:t>
            </w:r>
          </w:p>
        </w:tc>
        <w:tc>
          <w:tcPr>
            <w:tcW w:w="630" w:type="dxa"/>
            <w:tcBorders>
              <w:top w:val="single" w:sz="4" w:space="0" w:color="auto"/>
              <w:bottom w:val="single" w:sz="4" w:space="0" w:color="auto"/>
            </w:tcBorders>
            <w:shd w:val="clear" w:color="auto" w:fill="auto"/>
            <w:noWrap/>
            <w:hideMark/>
          </w:tcPr>
          <w:p w14:paraId="624E8D79" w14:textId="77777777" w:rsidR="00BE3104" w:rsidRPr="000C26B9" w:rsidRDefault="00BE3104"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Q8</w:t>
            </w:r>
          </w:p>
        </w:tc>
        <w:tc>
          <w:tcPr>
            <w:tcW w:w="630" w:type="dxa"/>
            <w:tcBorders>
              <w:top w:val="single" w:sz="4" w:space="0" w:color="auto"/>
              <w:bottom w:val="single" w:sz="4" w:space="0" w:color="auto"/>
            </w:tcBorders>
            <w:shd w:val="clear" w:color="auto" w:fill="auto"/>
            <w:noWrap/>
            <w:hideMark/>
          </w:tcPr>
          <w:p w14:paraId="7A964F64" w14:textId="77777777" w:rsidR="00BE3104" w:rsidRPr="000C26B9" w:rsidRDefault="00BE3104"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Q9</w:t>
            </w:r>
          </w:p>
        </w:tc>
        <w:tc>
          <w:tcPr>
            <w:tcW w:w="630" w:type="dxa"/>
            <w:tcBorders>
              <w:top w:val="single" w:sz="4" w:space="0" w:color="auto"/>
              <w:bottom w:val="single" w:sz="4" w:space="0" w:color="auto"/>
            </w:tcBorders>
            <w:shd w:val="clear" w:color="auto" w:fill="auto"/>
            <w:noWrap/>
            <w:hideMark/>
          </w:tcPr>
          <w:p w14:paraId="7370B9DE" w14:textId="77777777" w:rsidR="00BE3104" w:rsidRPr="000C26B9" w:rsidRDefault="00BE3104"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Q10</w:t>
            </w:r>
          </w:p>
        </w:tc>
        <w:tc>
          <w:tcPr>
            <w:tcW w:w="1170" w:type="dxa"/>
            <w:tcBorders>
              <w:top w:val="single" w:sz="4" w:space="0" w:color="auto"/>
              <w:bottom w:val="single" w:sz="4" w:space="0" w:color="auto"/>
            </w:tcBorders>
            <w:shd w:val="clear" w:color="auto" w:fill="auto"/>
            <w:hideMark/>
          </w:tcPr>
          <w:p w14:paraId="4697744E" w14:textId="77777777" w:rsidR="00BE3104" w:rsidRPr="000C26B9" w:rsidRDefault="00BE3104" w:rsidP="004A48E7">
            <w:pP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Quality</w:t>
            </w:r>
            <w:r w:rsidRPr="000C26B9">
              <w:rPr>
                <w:rFonts w:ascii="Times New Roman" w:hAnsi="Times New Roman" w:cs="Times New Roman"/>
                <w:b/>
                <w:bCs/>
                <w:color w:val="000000"/>
                <w:sz w:val="20"/>
                <w:szCs w:val="20"/>
                <w:lang w:val="en-US"/>
              </w:rPr>
              <w:br/>
              <w:t>of study</w:t>
            </w:r>
          </w:p>
        </w:tc>
      </w:tr>
      <w:tr w:rsidR="00BE3104" w:rsidRPr="000C26B9" w14:paraId="7E0268AC" w14:textId="77777777" w:rsidTr="004A48E7">
        <w:trPr>
          <w:trHeight w:val="300"/>
        </w:trPr>
        <w:tc>
          <w:tcPr>
            <w:tcW w:w="275" w:type="dxa"/>
            <w:tcBorders>
              <w:top w:val="single" w:sz="4" w:space="0" w:color="auto"/>
            </w:tcBorders>
            <w:shd w:val="clear" w:color="auto" w:fill="auto"/>
            <w:noWrap/>
            <w:vAlign w:val="bottom"/>
            <w:hideMark/>
          </w:tcPr>
          <w:p w14:paraId="63076EFF" w14:textId="77777777" w:rsidR="00BE3104" w:rsidRPr="000C26B9" w:rsidRDefault="00BE3104"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w:t>
            </w:r>
          </w:p>
        </w:tc>
        <w:tc>
          <w:tcPr>
            <w:tcW w:w="1980" w:type="dxa"/>
            <w:tcBorders>
              <w:top w:val="single" w:sz="4" w:space="0" w:color="auto"/>
            </w:tcBorders>
            <w:shd w:val="clear" w:color="auto" w:fill="auto"/>
            <w:noWrap/>
            <w:vAlign w:val="bottom"/>
            <w:hideMark/>
          </w:tcPr>
          <w:p w14:paraId="2F3A27BF" w14:textId="2C529761" w:rsidR="00BE3104" w:rsidRPr="000C26B9" w:rsidRDefault="00BE3104"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Mamo</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sidR="00DD0E3A">
              <w:rPr>
                <w:rFonts w:ascii="Times New Roman" w:hAnsi="Times New Roman" w:cs="Times New Roman"/>
                <w:color w:val="000000"/>
                <w:sz w:val="20"/>
                <w:szCs w:val="20"/>
                <w:lang w:val="en-US"/>
              </w:rPr>
              <w:instrText>ADDIN CSL_CITATION {"citationItems":[{"id":"ITEM-1","itemData":{"DOI":"10.1186/s12902-019-0421-0","ISSN":"14726823","abstract":"Objective and background: In 2015 approximately 5.0 million people were estimated to have died from diabetes. Poor glycemic control is the most determinant of diabetes-related complication and death. The percentage of patients whose blood glucose level are not well controlled remains high yet. The aim of this study is to identify the determinants of poor glycemic control at the diabetes clinic of the Jimma University Medical Center from April 01 to June 30/2017. Methods: Facility-based case-control study design was conducted on patients with type 2 diabetes mellitus on follow-up at the diabetes clinic of Jimma University medical center. The consecutive sampling technique was employed and data were collected from April to June 2017. The data were entered using Epidata manager version 4.0.2 and exported to SPSS Version 21 for analysis. Logistic regression analysis was performed and variables with the p-value of less than 0.05 were considered as statistically significant determinants of poor glycemic control. Result: The study was conducted on 410 patients, of which 228 males and 182 females. The determinants of poor glycemic control were comorbidities [Adjusted odd ratio(AOR) = 2.56, 95%CI = 1.10-5.96], lack of self-monitoring blood glucose [AOR = 3.44,95%CI = 1.33-8.94], total cholesterol level of 200 mg/dl or more [AOR = 3.62, 95%CI = 1.46-8.97], diabetes duration of greater than 7 years [AOR = 3.08, 95%CI = 1.33-7.16], physical activity of three or less than three days [AOR = 4.79, 95%CI = 1.70-13.53], waist to hip ratio of 0.9 or greater for male and 0.85 or greater for female [AOR = 3.52, 95%CI = 1.23-10.11], being on metformin plus insulin [AOR = 9.22, 95%CI = 2.90-29.35] and being on insulin [AOR = 4.48, 95%CI = 1.52-13.16]. Conclusion: Lack of Self-monitoring blood glucose, presence of comorbidities, duration of diabetes mellitus, physical activity of three or less than three days, total cholesterol of 200 mg/dl or more, waist to hip ratio of 0.9 or greater for male and 0.85 or greater for female, and types of antidiabetic medication were the independent predictors of poor glycemic control. Effort should be made towards reducing these factors by the concerned body.","author":[{"dropping-particle":"","family":"Mamo","given":"Yitagesu","non-dropping-particle":"","parse-names":false,"suffix":""},{"dropping-particle":"","family":"Bekele","given":"Fekede","non-dropping-particle":"","parse-names":false,"suffix":""},{"dropping-particle":"","family":"Nigussie","given":"Tadesse","non-dropping-particle":"","parse-names":false,"suffix":""},{"dropping-particle":"","family":"Zewudie","given":"Ameha","non-dropping-particle":"","parse-names":false,"suffix":""}],"container-title":"BMC Endocrine Disorders","id":"ITEM-1","issue":"1","issued":{"date-parts":[["2019"]]},"page":"1-11","publisher":"BMC Endocrine Disorders","title":"Determinants of poor glycemic control among adult patients with type 2 diabetes mellitus in Jimma University Medical Center, Jimma zone, south west Ethiopia: A case control study","type":"article-journal","volume":"19"},"uris":["http://www.mendeley.com/documents/?uuid=9f494bcf-69cd-44bd-a26e-5c9e5cc1af48"]}],"mendeley":{"formattedCitation":"(16)","manualFormatting":"[53","plainTextFormattedCitation":"(16)","previouslyFormattedCitation":"(16)"},"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Pr="00C25376">
              <w:rPr>
                <w:rFonts w:ascii="Times New Roman" w:hAnsi="Times New Roman" w:cs="Times New Roman"/>
                <w:noProof/>
                <w:color w:val="000000"/>
                <w:sz w:val="20"/>
                <w:szCs w:val="20"/>
                <w:lang w:val="en-US"/>
              </w:rPr>
              <w:t>5</w:t>
            </w:r>
            <w:r w:rsidR="00DD0E3A">
              <w:rPr>
                <w:rFonts w:ascii="Times New Roman" w:hAnsi="Times New Roman" w:cs="Times New Roman"/>
                <w:noProof/>
                <w:color w:val="000000"/>
                <w:sz w:val="20"/>
                <w:szCs w:val="20"/>
                <w:lang w:val="en-US"/>
              </w:rPr>
              <w:t>3</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260" w:type="dxa"/>
            <w:tcBorders>
              <w:top w:val="single" w:sz="4" w:space="0" w:color="auto"/>
            </w:tcBorders>
            <w:shd w:val="clear" w:color="auto" w:fill="auto"/>
            <w:noWrap/>
            <w:vAlign w:val="bottom"/>
            <w:hideMark/>
          </w:tcPr>
          <w:p w14:paraId="65138E92" w14:textId="77777777" w:rsidR="00BE3104" w:rsidRPr="000C26B9" w:rsidRDefault="00BE3104"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2019</w:t>
            </w:r>
          </w:p>
        </w:tc>
        <w:tc>
          <w:tcPr>
            <w:tcW w:w="535" w:type="dxa"/>
            <w:tcBorders>
              <w:top w:val="single" w:sz="4" w:space="0" w:color="auto"/>
            </w:tcBorders>
            <w:shd w:val="clear" w:color="auto" w:fill="auto"/>
            <w:noWrap/>
            <w:vAlign w:val="bottom"/>
            <w:hideMark/>
          </w:tcPr>
          <w:p w14:paraId="3A515C1E"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30" w:type="dxa"/>
            <w:tcBorders>
              <w:top w:val="single" w:sz="4" w:space="0" w:color="auto"/>
            </w:tcBorders>
            <w:shd w:val="clear" w:color="auto" w:fill="auto"/>
            <w:noWrap/>
            <w:vAlign w:val="bottom"/>
            <w:hideMark/>
          </w:tcPr>
          <w:p w14:paraId="5E47C602"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540" w:type="dxa"/>
            <w:tcBorders>
              <w:top w:val="single" w:sz="4" w:space="0" w:color="auto"/>
            </w:tcBorders>
            <w:shd w:val="clear" w:color="auto" w:fill="auto"/>
            <w:noWrap/>
            <w:vAlign w:val="bottom"/>
            <w:hideMark/>
          </w:tcPr>
          <w:p w14:paraId="02843623"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540" w:type="dxa"/>
            <w:tcBorders>
              <w:top w:val="single" w:sz="4" w:space="0" w:color="auto"/>
            </w:tcBorders>
            <w:shd w:val="clear" w:color="auto" w:fill="auto"/>
            <w:noWrap/>
            <w:vAlign w:val="bottom"/>
            <w:hideMark/>
          </w:tcPr>
          <w:p w14:paraId="251D9669"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540" w:type="dxa"/>
            <w:tcBorders>
              <w:top w:val="single" w:sz="4" w:space="0" w:color="auto"/>
            </w:tcBorders>
            <w:shd w:val="clear" w:color="auto" w:fill="auto"/>
            <w:noWrap/>
            <w:vAlign w:val="bottom"/>
            <w:hideMark/>
          </w:tcPr>
          <w:p w14:paraId="7B200EBD"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30" w:type="dxa"/>
            <w:tcBorders>
              <w:top w:val="single" w:sz="4" w:space="0" w:color="auto"/>
            </w:tcBorders>
            <w:shd w:val="clear" w:color="auto" w:fill="auto"/>
            <w:noWrap/>
            <w:vAlign w:val="bottom"/>
            <w:hideMark/>
          </w:tcPr>
          <w:p w14:paraId="17E25C47"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540" w:type="dxa"/>
            <w:tcBorders>
              <w:top w:val="single" w:sz="4" w:space="0" w:color="auto"/>
            </w:tcBorders>
            <w:shd w:val="clear" w:color="auto" w:fill="auto"/>
            <w:noWrap/>
            <w:vAlign w:val="bottom"/>
            <w:hideMark/>
          </w:tcPr>
          <w:p w14:paraId="61FACDC2"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30" w:type="dxa"/>
            <w:tcBorders>
              <w:top w:val="single" w:sz="4" w:space="0" w:color="auto"/>
            </w:tcBorders>
            <w:shd w:val="clear" w:color="auto" w:fill="auto"/>
            <w:noWrap/>
            <w:vAlign w:val="bottom"/>
            <w:hideMark/>
          </w:tcPr>
          <w:p w14:paraId="6DB46DA1"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630" w:type="dxa"/>
            <w:tcBorders>
              <w:top w:val="single" w:sz="4" w:space="0" w:color="auto"/>
            </w:tcBorders>
            <w:shd w:val="clear" w:color="auto" w:fill="auto"/>
            <w:noWrap/>
            <w:vAlign w:val="bottom"/>
            <w:hideMark/>
          </w:tcPr>
          <w:p w14:paraId="3DDEB7BE"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30" w:type="dxa"/>
            <w:tcBorders>
              <w:top w:val="single" w:sz="4" w:space="0" w:color="auto"/>
            </w:tcBorders>
            <w:shd w:val="clear" w:color="auto" w:fill="auto"/>
            <w:noWrap/>
            <w:vAlign w:val="bottom"/>
            <w:hideMark/>
          </w:tcPr>
          <w:p w14:paraId="243BD069"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170" w:type="dxa"/>
            <w:tcBorders>
              <w:top w:val="single" w:sz="4" w:space="0" w:color="auto"/>
            </w:tcBorders>
            <w:shd w:val="clear" w:color="auto" w:fill="auto"/>
            <w:noWrap/>
            <w:vAlign w:val="bottom"/>
            <w:hideMark/>
          </w:tcPr>
          <w:p w14:paraId="25B72490" w14:textId="77777777" w:rsidR="00BE3104" w:rsidRPr="000C26B9" w:rsidRDefault="00BE3104"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BE3104" w:rsidRPr="00D50480" w14:paraId="1C1DB2E5" w14:textId="77777777" w:rsidTr="004A48E7">
        <w:trPr>
          <w:trHeight w:val="300"/>
        </w:trPr>
        <w:tc>
          <w:tcPr>
            <w:tcW w:w="275" w:type="dxa"/>
            <w:shd w:val="clear" w:color="auto" w:fill="auto"/>
            <w:noWrap/>
            <w:vAlign w:val="bottom"/>
            <w:hideMark/>
          </w:tcPr>
          <w:p w14:paraId="3D768FD0" w14:textId="77777777" w:rsidR="00BE3104" w:rsidRPr="000C26B9" w:rsidRDefault="00BE3104"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w:t>
            </w:r>
          </w:p>
        </w:tc>
        <w:tc>
          <w:tcPr>
            <w:tcW w:w="1980" w:type="dxa"/>
            <w:shd w:val="clear" w:color="auto" w:fill="auto"/>
            <w:noWrap/>
            <w:vAlign w:val="bottom"/>
            <w:hideMark/>
          </w:tcPr>
          <w:p w14:paraId="0877E5D3" w14:textId="2D8BA7DB" w:rsidR="00BE3104" w:rsidRPr="00353950" w:rsidRDefault="00BE3104" w:rsidP="004A48E7">
            <w:pPr>
              <w:rPr>
                <w:rFonts w:ascii="Times New Roman" w:hAnsi="Times New Roman" w:cs="Times New Roman"/>
                <w:color w:val="000000"/>
                <w:sz w:val="20"/>
                <w:szCs w:val="20"/>
                <w:lang w:val="fr-FR"/>
              </w:rPr>
            </w:pPr>
            <w:r w:rsidRPr="000C26B9">
              <w:rPr>
                <w:rFonts w:ascii="Times New Roman" w:hAnsi="Times New Roman" w:cs="Times New Roman"/>
                <w:color w:val="000000"/>
                <w:sz w:val="20"/>
                <w:szCs w:val="20"/>
                <w:lang w:val="en-US"/>
              </w:rPr>
              <w:t>Mohamed</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sidR="00DD0E3A">
              <w:rPr>
                <w:rFonts w:ascii="Times New Roman" w:hAnsi="Times New Roman" w:cs="Times New Roman"/>
                <w:color w:val="000000"/>
                <w:sz w:val="20"/>
                <w:szCs w:val="20"/>
                <w:lang w:val="en-US"/>
              </w:rPr>
              <w:instrText>ADDIN CSL_CITATION {"citationItems":[{"id":"ITEM-1","itemData":{"DOI":"10.1371/journal.pone.0082158","ISSN":"19326203","abstract":"Aim: The purpose of this study was to compare the clinical and subjective oral health indicators of type 2 diabetic patients (T2DM) with age and gender matched non-diabetic controls. A second aim was to identify clinical and subjective oral health indicators that discriminate between well-controlled and poorly controlled T2DM patients as well as between patients with long and short duration of the disease. Methods: A total of 457 individuals participated in the study (154 T2DM cases and 303 non-diabetic controls). The T2DM group was sub-divided according to metabolic control [(well-controlled: glycosylated haemoglobin test 8%), (poorly controlled: glycosylated haemoglobin test &gt;8%)] and according to duration of T2DM [(long duration: &gt;10 years), (short duration: 10 years)]. Participants were interviewed using a structured questionnaire including socio-demographics, lifestyle and oral health related quality of life factors. The clinical examination comprised full mouth probing depths, plaque index, tooth mobility index, furcation involvement and coronal and root surface caries. Results: The T2DM patients presented with more probing depths 4 mm, furcation involvement, tooth mobility, missing teeth, and oral impacts on daily performance (OIDP). The corresponding adjusted odds ratios and their 95% confidence intervals were 4.07 (1.74-9.49), 2.96 (1.36-6.45), 5.90 (2.26-15.39), 0.23 (0.08-0.63) and 3.46 (1.61-7.42), respectively. Moreover, the odds ratio was 2.60 (1.21-5.55) for the poorly controlled T2DM patients to have high levels of mobility index and 2.94 (1.24-6.94) for those with long duration of T2DM to have high decayed, missed and filled teeth (DMFT) values. Conclusion: This study revealed that chronic periodontitis, tooth mobility, furcation involvement and OIDP were more prevalent among T2DM patients compared to their non-diabetic controls.","author":[{"dropping-particle":"","family":"Mohamed","given":"H G","non-dropping-particle":"","parse-names":false,"suffix":""},{"dropping-particle":"","family":"Idris","given":"S B","non-dropping-particle":"","parse-names":false,"suffix":""},{"dropping-particle":"","family":"Ahmed","given":"M F","non-dropping-particle":"","parse-names":false,"suffix":""},{"dropping-particle":"","family":"Bøe","given":"O E","non-dropping-particle":"","parse-names":false,"suffix":""},{"dropping-particle":"","family":"Mustafa","given":"K","non-dropping-particle":"","parse-names":false,"suffix":""},{"dropping-particle":"","family":"</w:instrText>
            </w:r>
            <w:r w:rsidR="00DD0E3A" w:rsidRPr="000766C0">
              <w:rPr>
                <w:rFonts w:ascii="Times New Roman" w:hAnsi="Times New Roman" w:cs="Times New Roman"/>
                <w:color w:val="000000"/>
                <w:sz w:val="20"/>
                <w:szCs w:val="20"/>
                <w:lang w:val="fr-FR"/>
              </w:rPr>
              <w:instrText>Ibrahim","given":"S O","non-dropping-particle":"","parse-names":false,"suffix":""},{"dropping-particle":"","family":"Åstrøm","given":"A N","non-dropping-particle":"","parse-names":false,"suffix":""}],"container-title":"PLoS ONE","id":"ITEM-1","issue":"12","issued":{"date-parts":[["2013"]]},"note":"Accession Number: 20143072128. Mohamed, H. G. (author); Email Address: hasaan.mohamed@student.uib.no; Idris, S. B. (author); Ahmed, M. F. (author); Bøe, O. E. (author); Mustafa, K. (author); Ibrahim, S. O. (author); Åstrøm, A. N. (author). Issue Info: 8, 12. Publication Date: 20130101. Note: 63. Number of Pages: 1. Document Type: Journal Article. Language: English. Subject Subsets: Tropical Diseases; Global Health 1973- Current; Nutrition and Food Sciences Database. Has References: 63.","page":"e82158","publisher":"Public Library of Sciences (PLoS)","publisher-place":"Department of Clinical Dentistry, Faculty of Medicine and Dentistry, University of Bergen, Bergen, Norway.","title":"Association between oral health status and type 2 diabetes mellitus among Sudanese adults: a matched case-control study.","type":"article-journal","volume":"8"},"uris":["http://www.mendeley.com/documents/?uuid=fa1ad4cd-52c6-4557-a199-0592abde7586"]}],"mendeley":{"formattedCitation":"(17)","manualFormatting":"[59","plainTextFormattedCitation":"(17)","previouslyFormattedCitation":"(17)"},"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sidRPr="00353950">
              <w:rPr>
                <w:rFonts w:ascii="Times New Roman" w:hAnsi="Times New Roman" w:cs="Times New Roman"/>
                <w:noProof/>
                <w:color w:val="000000"/>
                <w:sz w:val="20"/>
                <w:szCs w:val="20"/>
                <w:lang w:val="fr-FR"/>
              </w:rPr>
              <w:t>[</w:t>
            </w:r>
            <w:r w:rsidR="00DD0E3A">
              <w:rPr>
                <w:rFonts w:ascii="Times New Roman" w:hAnsi="Times New Roman" w:cs="Times New Roman"/>
                <w:noProof/>
                <w:color w:val="000000"/>
                <w:sz w:val="20"/>
                <w:szCs w:val="20"/>
                <w:lang w:val="fr-FR"/>
              </w:rPr>
              <w:t>59</w:t>
            </w:r>
            <w:r>
              <w:rPr>
                <w:rFonts w:ascii="Times New Roman" w:hAnsi="Times New Roman" w:cs="Times New Roman"/>
                <w:color w:val="000000"/>
                <w:sz w:val="20"/>
                <w:szCs w:val="20"/>
                <w:lang w:val="en-US"/>
              </w:rPr>
              <w:fldChar w:fldCharType="end"/>
            </w:r>
            <w:r w:rsidRPr="00353950">
              <w:rPr>
                <w:rFonts w:ascii="Times New Roman" w:hAnsi="Times New Roman" w:cs="Times New Roman"/>
                <w:color w:val="000000"/>
                <w:sz w:val="20"/>
                <w:szCs w:val="20"/>
                <w:lang w:val="fr-FR"/>
              </w:rPr>
              <w:t>]</w:t>
            </w:r>
          </w:p>
        </w:tc>
        <w:tc>
          <w:tcPr>
            <w:tcW w:w="1260" w:type="dxa"/>
            <w:shd w:val="clear" w:color="auto" w:fill="auto"/>
            <w:noWrap/>
            <w:vAlign w:val="bottom"/>
            <w:hideMark/>
          </w:tcPr>
          <w:p w14:paraId="7AB87929" w14:textId="77777777" w:rsidR="00BE3104" w:rsidRPr="00353950" w:rsidRDefault="00BE3104" w:rsidP="004A48E7">
            <w:pPr>
              <w:jc w:val="right"/>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2013</w:t>
            </w:r>
          </w:p>
        </w:tc>
        <w:tc>
          <w:tcPr>
            <w:tcW w:w="535" w:type="dxa"/>
            <w:shd w:val="clear" w:color="auto" w:fill="auto"/>
            <w:noWrap/>
            <w:vAlign w:val="bottom"/>
            <w:hideMark/>
          </w:tcPr>
          <w:p w14:paraId="120D0BDD" w14:textId="77777777" w:rsidR="00BE3104" w:rsidRPr="00353950" w:rsidRDefault="00BE3104"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630" w:type="dxa"/>
            <w:shd w:val="clear" w:color="auto" w:fill="auto"/>
            <w:noWrap/>
            <w:vAlign w:val="bottom"/>
            <w:hideMark/>
          </w:tcPr>
          <w:p w14:paraId="198CDB67" w14:textId="77777777" w:rsidR="00BE3104" w:rsidRPr="00353950" w:rsidRDefault="00BE3104"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540" w:type="dxa"/>
            <w:shd w:val="clear" w:color="auto" w:fill="auto"/>
            <w:noWrap/>
            <w:vAlign w:val="bottom"/>
            <w:hideMark/>
          </w:tcPr>
          <w:p w14:paraId="4BC9C826" w14:textId="77777777" w:rsidR="00BE3104" w:rsidRPr="00353950" w:rsidRDefault="00BE3104"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540" w:type="dxa"/>
            <w:shd w:val="clear" w:color="auto" w:fill="auto"/>
            <w:noWrap/>
            <w:vAlign w:val="bottom"/>
            <w:hideMark/>
          </w:tcPr>
          <w:p w14:paraId="17102975" w14:textId="77777777" w:rsidR="00BE3104" w:rsidRPr="00353950" w:rsidRDefault="00BE3104"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540" w:type="dxa"/>
            <w:shd w:val="clear" w:color="auto" w:fill="auto"/>
            <w:noWrap/>
            <w:vAlign w:val="bottom"/>
            <w:hideMark/>
          </w:tcPr>
          <w:p w14:paraId="62132433" w14:textId="77777777" w:rsidR="00BE3104" w:rsidRPr="00353950" w:rsidRDefault="00BE3104"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630" w:type="dxa"/>
            <w:shd w:val="clear" w:color="auto" w:fill="auto"/>
            <w:noWrap/>
            <w:vAlign w:val="bottom"/>
            <w:hideMark/>
          </w:tcPr>
          <w:p w14:paraId="1360A94C" w14:textId="77777777" w:rsidR="00BE3104" w:rsidRPr="00353950" w:rsidRDefault="00BE3104"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540" w:type="dxa"/>
            <w:shd w:val="clear" w:color="auto" w:fill="auto"/>
            <w:noWrap/>
            <w:vAlign w:val="bottom"/>
            <w:hideMark/>
          </w:tcPr>
          <w:p w14:paraId="7E4B8A3E" w14:textId="77777777" w:rsidR="00BE3104" w:rsidRPr="00353950" w:rsidRDefault="00BE3104"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630" w:type="dxa"/>
            <w:shd w:val="clear" w:color="auto" w:fill="auto"/>
            <w:noWrap/>
            <w:vAlign w:val="bottom"/>
            <w:hideMark/>
          </w:tcPr>
          <w:p w14:paraId="33037139" w14:textId="77777777" w:rsidR="00BE3104" w:rsidRPr="00353950" w:rsidRDefault="00BE3104"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630" w:type="dxa"/>
            <w:shd w:val="clear" w:color="auto" w:fill="auto"/>
            <w:noWrap/>
            <w:vAlign w:val="bottom"/>
            <w:hideMark/>
          </w:tcPr>
          <w:p w14:paraId="261B658F" w14:textId="77777777" w:rsidR="00BE3104" w:rsidRPr="00353950" w:rsidRDefault="00BE3104"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N</w:t>
            </w:r>
          </w:p>
        </w:tc>
        <w:tc>
          <w:tcPr>
            <w:tcW w:w="630" w:type="dxa"/>
            <w:shd w:val="clear" w:color="auto" w:fill="auto"/>
            <w:noWrap/>
            <w:vAlign w:val="bottom"/>
            <w:hideMark/>
          </w:tcPr>
          <w:p w14:paraId="0413EE3A" w14:textId="77777777" w:rsidR="00BE3104" w:rsidRPr="00353950" w:rsidRDefault="00BE3104"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1170" w:type="dxa"/>
            <w:shd w:val="clear" w:color="auto" w:fill="auto"/>
            <w:noWrap/>
            <w:vAlign w:val="bottom"/>
            <w:hideMark/>
          </w:tcPr>
          <w:p w14:paraId="0BA6E14B" w14:textId="77777777" w:rsidR="00BE3104" w:rsidRPr="00353950" w:rsidRDefault="00BE3104" w:rsidP="004A48E7">
            <w:pP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Good</w:t>
            </w:r>
          </w:p>
        </w:tc>
      </w:tr>
      <w:tr w:rsidR="00BE3104" w:rsidRPr="000C26B9" w14:paraId="45A012EC" w14:textId="77777777" w:rsidTr="004A48E7">
        <w:trPr>
          <w:trHeight w:val="300"/>
        </w:trPr>
        <w:tc>
          <w:tcPr>
            <w:tcW w:w="275" w:type="dxa"/>
            <w:shd w:val="clear" w:color="auto" w:fill="auto"/>
            <w:noWrap/>
            <w:vAlign w:val="bottom"/>
            <w:hideMark/>
          </w:tcPr>
          <w:p w14:paraId="3A64BAF5" w14:textId="77777777" w:rsidR="00BE3104" w:rsidRPr="00353950" w:rsidRDefault="00BE3104" w:rsidP="004A48E7">
            <w:pPr>
              <w:jc w:val="right"/>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3</w:t>
            </w:r>
          </w:p>
        </w:tc>
        <w:tc>
          <w:tcPr>
            <w:tcW w:w="1980" w:type="dxa"/>
            <w:shd w:val="clear" w:color="auto" w:fill="auto"/>
            <w:noWrap/>
            <w:vAlign w:val="bottom"/>
            <w:hideMark/>
          </w:tcPr>
          <w:p w14:paraId="45651295" w14:textId="199C2A7E" w:rsidR="00BE3104" w:rsidRPr="000C26B9" w:rsidRDefault="00BE3104" w:rsidP="004A48E7">
            <w:pPr>
              <w:rPr>
                <w:rFonts w:ascii="Times New Roman" w:hAnsi="Times New Roman" w:cs="Times New Roman"/>
                <w:color w:val="000000"/>
                <w:sz w:val="20"/>
                <w:szCs w:val="20"/>
                <w:lang w:val="en-US"/>
              </w:rPr>
            </w:pPr>
            <w:r w:rsidRPr="00353950">
              <w:rPr>
                <w:rFonts w:ascii="Times New Roman" w:hAnsi="Times New Roman" w:cs="Times New Roman"/>
                <w:color w:val="000000"/>
                <w:sz w:val="20"/>
                <w:szCs w:val="20"/>
                <w:lang w:val="fr-FR"/>
              </w:rPr>
              <w:t xml:space="preserve">Sarfo-Kantanka </w:t>
            </w:r>
            <w:r>
              <w:rPr>
                <w:rFonts w:ascii="Times New Roman" w:hAnsi="Times New Roman" w:cs="Times New Roman"/>
                <w:color w:val="000000"/>
                <w:sz w:val="20"/>
                <w:szCs w:val="20"/>
                <w:lang w:val="en-US"/>
              </w:rPr>
              <w:fldChar w:fldCharType="begin" w:fldLock="1"/>
            </w:r>
            <w:r w:rsidR="00DD0E3A">
              <w:rPr>
                <w:rFonts w:ascii="Times New Roman" w:hAnsi="Times New Roman" w:cs="Times New Roman"/>
                <w:color w:val="000000"/>
                <w:sz w:val="20"/>
                <w:szCs w:val="20"/>
                <w:lang w:val="fr-FR"/>
              </w:rPr>
              <w:instrText>ADDIN CSL_CITATION {"citationItems":[{"id":"ITEM-1","itemData":{"DOI":"10.1186/s12902-016-0152-4","abstract":"Background: The link between type 1 diabetes and thyroid autoimmunity is well described. The same cannot be said for type 2 diabetes where results have been mixed so far. We investigated the prevalence and determinants of thyroid autoimmunity among Ghanaian type 2 diabetes patients. Methods: This was a case-control study involving 302 type 2 diabetes patients and 310 non -diabetic controls aged 40-80 years. Anthropometric and blood pressure measurements were obtained. Fasting samples were analyzed for glucose, thyroid function, and antibodies to thyroglobulin and thyroid peroxidase. Results: The prevalence of thyroid autoimmunity was significantly higher among T2DM subjects (12.2% vs. 3.9%, p = 0. 0004). Among T2DM subjects, 44 (14.7%) tested positive for TPOAb, 5 (1.7%) tested positive for TGAb and 15 (5.0%) tested positive for both autoantibodies. Females T2DM subjects showed a 3-fold increased risk of thyroid autoimmunity compared to males (OR:3.16, p = 0.004), T2DM subjects with hyperthyroidism had a 41% increased risk of thyroid autoimmunity (OR:1.41, p &lt; 0.001), sub-clinical hyperthyroidism increased the risk of thyroid autoimmunity by 2 fold, (OR:2.19, p &lt; 0.001), subclinical hypothyroidism increased the risk of autoimmunity by 4-fold, (OR:3.57 95% p &lt; 0. 0001), and hypothyroidism was associated with a 61% increased risk of thyroid autoimmunity (OR:1.61,1.35-2.23). Dyslipidaemia was associated with a 44% increased risk of thyroid autoimmunity (OR:1.44, p = 0.01) and a percentage increase in HbA1c was associated with 46% increased risk of thyroid autoimmunity (OR:1.46, p &lt; 0.0001). Conclusion: We observed a high prevalence of thyroid autoimmunity in Ghanaian T2DM subjects compared to the general population. Thyroid autoimmunity in T2DM subjects was significantly associated with female gender, thyroid dysfunction, dyslipidaemia and poor glycemic control.","author":[{"dropping-particle":"","family":"Sarfo-Kantanka","given":"O","non-dropping-particle":"","parse-names":false,"suffix":""},{"dropping-p</w:instrText>
            </w:r>
            <w:r w:rsidR="00DD0E3A" w:rsidRPr="000766C0">
              <w:rPr>
                <w:rFonts w:ascii="Times New Roman" w:hAnsi="Times New Roman" w:cs="Times New Roman"/>
                <w:color w:val="000000"/>
                <w:sz w:val="20"/>
                <w:szCs w:val="20"/>
                <w:lang w:val="en-US"/>
              </w:rPr>
              <w:instrText>article":"","family":"Sarfo","given":"F S","non-dropping-particle":"","parse-names":false,"suffix":""},{"dropping-particle":"","family":"Ansah","given":"E O","non-dropping-particle":"","parse-names":false,"suffix":""},{"dropping-particle":"","family":"Yorke","given":"E","non-dropping-particle":"","parse-names":false,"suffix":""},{"dropping-particle":"","family":"Akpalu","given":"J","non-dropping-particle":"","parse-names":false,"suffix":""},{"dropping-particle":"","family":"Nkum","given":"B C","non-dropping-particle":"","parse-names":false,"suffix":""},{"dropping-particle":"","family":"Eghan","given":"B","non-dropping-particle":"","parse-names":false,"suffix":""}],"container-title":"Bmc Endocrine Disorders","id":"ITEM-1","issued":{"date-parts":[["2017"]]},"note":"Sarfo-Kantanka, Osei Sarfo, Fred Stephen Ansah, Eunice Oparebea Yorke, Ernest Akpalu, Josephine Nkum, Bernard C. Eghan, Benjamin\nYorke, Ernest/0000-0003-4257-7492; Sarfo-Kantanka, Osei/0000-0002-4451-5749\n1472-6823","title":"Frequency and determinants of thyroid autoimmunity in Ghanaian type 2 diabetes patients: a case-control study","type":"article-journal","volume":"17"},"uris":["http://www.mendeley.com/documents/?uuid=028e7e83-2ec9-41ae-8d21-010d9523416d"]}],"mendeley":{"formattedCitation":"(18)","manualFormatting":"[74","plainTextFormattedCitation":"(18)","previouslyFormattedCitation":"(18)"},"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Pr="00E504F0">
              <w:rPr>
                <w:rFonts w:ascii="Times New Roman" w:hAnsi="Times New Roman" w:cs="Times New Roman"/>
                <w:noProof/>
                <w:color w:val="000000"/>
                <w:sz w:val="20"/>
                <w:szCs w:val="20"/>
                <w:lang w:val="en-US"/>
              </w:rPr>
              <w:t>7</w:t>
            </w:r>
            <w:r w:rsidR="00DD0E3A">
              <w:rPr>
                <w:rFonts w:ascii="Times New Roman" w:hAnsi="Times New Roman" w:cs="Times New Roman"/>
                <w:noProof/>
                <w:color w:val="000000"/>
                <w:sz w:val="20"/>
                <w:szCs w:val="20"/>
                <w:lang w:val="en-US"/>
              </w:rPr>
              <w:t>4</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260" w:type="dxa"/>
            <w:shd w:val="clear" w:color="auto" w:fill="auto"/>
            <w:noWrap/>
            <w:vAlign w:val="bottom"/>
            <w:hideMark/>
          </w:tcPr>
          <w:p w14:paraId="5186C634" w14:textId="77777777" w:rsidR="00BE3104" w:rsidRPr="000C26B9" w:rsidRDefault="00BE3104"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2017</w:t>
            </w:r>
          </w:p>
        </w:tc>
        <w:tc>
          <w:tcPr>
            <w:tcW w:w="535" w:type="dxa"/>
            <w:shd w:val="clear" w:color="auto" w:fill="auto"/>
            <w:noWrap/>
            <w:vAlign w:val="bottom"/>
            <w:hideMark/>
          </w:tcPr>
          <w:p w14:paraId="3A6E9E32"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30" w:type="dxa"/>
            <w:shd w:val="clear" w:color="auto" w:fill="auto"/>
            <w:noWrap/>
            <w:vAlign w:val="bottom"/>
            <w:hideMark/>
          </w:tcPr>
          <w:p w14:paraId="40B7ADD2"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540" w:type="dxa"/>
            <w:shd w:val="clear" w:color="auto" w:fill="auto"/>
            <w:noWrap/>
            <w:vAlign w:val="bottom"/>
            <w:hideMark/>
          </w:tcPr>
          <w:p w14:paraId="619419F8"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540" w:type="dxa"/>
            <w:shd w:val="clear" w:color="auto" w:fill="auto"/>
            <w:noWrap/>
            <w:vAlign w:val="bottom"/>
            <w:hideMark/>
          </w:tcPr>
          <w:p w14:paraId="09B52048"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540" w:type="dxa"/>
            <w:shd w:val="clear" w:color="auto" w:fill="auto"/>
            <w:noWrap/>
            <w:vAlign w:val="bottom"/>
            <w:hideMark/>
          </w:tcPr>
          <w:p w14:paraId="04A40DD3"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30" w:type="dxa"/>
            <w:shd w:val="clear" w:color="auto" w:fill="auto"/>
            <w:noWrap/>
            <w:vAlign w:val="bottom"/>
            <w:hideMark/>
          </w:tcPr>
          <w:p w14:paraId="24B31CD0"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540" w:type="dxa"/>
            <w:shd w:val="clear" w:color="auto" w:fill="auto"/>
            <w:noWrap/>
            <w:vAlign w:val="bottom"/>
            <w:hideMark/>
          </w:tcPr>
          <w:p w14:paraId="06652425"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30" w:type="dxa"/>
            <w:shd w:val="clear" w:color="auto" w:fill="auto"/>
            <w:noWrap/>
            <w:vAlign w:val="bottom"/>
            <w:hideMark/>
          </w:tcPr>
          <w:p w14:paraId="712844FA"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30" w:type="dxa"/>
            <w:shd w:val="clear" w:color="auto" w:fill="auto"/>
            <w:noWrap/>
            <w:vAlign w:val="bottom"/>
            <w:hideMark/>
          </w:tcPr>
          <w:p w14:paraId="30EB2B19"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630" w:type="dxa"/>
            <w:shd w:val="clear" w:color="auto" w:fill="auto"/>
            <w:noWrap/>
            <w:vAlign w:val="bottom"/>
            <w:hideMark/>
          </w:tcPr>
          <w:p w14:paraId="48E136B9"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170" w:type="dxa"/>
            <w:shd w:val="clear" w:color="auto" w:fill="auto"/>
            <w:noWrap/>
            <w:vAlign w:val="bottom"/>
            <w:hideMark/>
          </w:tcPr>
          <w:p w14:paraId="02FD2C7B" w14:textId="77777777" w:rsidR="00BE3104" w:rsidRPr="000C26B9" w:rsidRDefault="00BE3104"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Good</w:t>
            </w:r>
          </w:p>
        </w:tc>
      </w:tr>
      <w:tr w:rsidR="00BE3104" w:rsidRPr="000C26B9" w14:paraId="56211BA5" w14:textId="77777777" w:rsidTr="004A48E7">
        <w:trPr>
          <w:trHeight w:val="300"/>
        </w:trPr>
        <w:tc>
          <w:tcPr>
            <w:tcW w:w="3515" w:type="dxa"/>
            <w:gridSpan w:val="3"/>
            <w:tcBorders>
              <w:bottom w:val="single" w:sz="4" w:space="0" w:color="auto"/>
            </w:tcBorders>
            <w:shd w:val="clear" w:color="auto" w:fill="auto"/>
            <w:noWrap/>
            <w:vAlign w:val="bottom"/>
            <w:hideMark/>
          </w:tcPr>
          <w:p w14:paraId="2902AFF8"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All (%)</w:t>
            </w:r>
          </w:p>
        </w:tc>
        <w:tc>
          <w:tcPr>
            <w:tcW w:w="535" w:type="dxa"/>
            <w:tcBorders>
              <w:bottom w:val="single" w:sz="4" w:space="0" w:color="auto"/>
            </w:tcBorders>
            <w:shd w:val="clear" w:color="auto" w:fill="auto"/>
            <w:noWrap/>
            <w:vAlign w:val="bottom"/>
            <w:hideMark/>
          </w:tcPr>
          <w:p w14:paraId="67258B77"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100</w:t>
            </w:r>
          </w:p>
        </w:tc>
        <w:tc>
          <w:tcPr>
            <w:tcW w:w="630" w:type="dxa"/>
            <w:tcBorders>
              <w:bottom w:val="single" w:sz="4" w:space="0" w:color="auto"/>
            </w:tcBorders>
            <w:shd w:val="clear" w:color="auto" w:fill="auto"/>
            <w:noWrap/>
            <w:vAlign w:val="bottom"/>
            <w:hideMark/>
          </w:tcPr>
          <w:p w14:paraId="26645449"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66.7</w:t>
            </w:r>
          </w:p>
        </w:tc>
        <w:tc>
          <w:tcPr>
            <w:tcW w:w="540" w:type="dxa"/>
            <w:tcBorders>
              <w:bottom w:val="single" w:sz="4" w:space="0" w:color="auto"/>
            </w:tcBorders>
            <w:shd w:val="clear" w:color="auto" w:fill="auto"/>
            <w:noWrap/>
            <w:vAlign w:val="bottom"/>
            <w:hideMark/>
          </w:tcPr>
          <w:p w14:paraId="72023841"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100</w:t>
            </w:r>
          </w:p>
        </w:tc>
        <w:tc>
          <w:tcPr>
            <w:tcW w:w="540" w:type="dxa"/>
            <w:tcBorders>
              <w:bottom w:val="single" w:sz="4" w:space="0" w:color="auto"/>
            </w:tcBorders>
            <w:shd w:val="clear" w:color="auto" w:fill="auto"/>
            <w:noWrap/>
            <w:vAlign w:val="bottom"/>
            <w:hideMark/>
          </w:tcPr>
          <w:p w14:paraId="5A34F73E"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100</w:t>
            </w:r>
          </w:p>
        </w:tc>
        <w:tc>
          <w:tcPr>
            <w:tcW w:w="540" w:type="dxa"/>
            <w:tcBorders>
              <w:bottom w:val="single" w:sz="4" w:space="0" w:color="auto"/>
            </w:tcBorders>
            <w:shd w:val="clear" w:color="auto" w:fill="auto"/>
            <w:noWrap/>
            <w:vAlign w:val="bottom"/>
            <w:hideMark/>
          </w:tcPr>
          <w:p w14:paraId="3CFDF970"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100</w:t>
            </w:r>
          </w:p>
        </w:tc>
        <w:tc>
          <w:tcPr>
            <w:tcW w:w="630" w:type="dxa"/>
            <w:tcBorders>
              <w:bottom w:val="single" w:sz="4" w:space="0" w:color="auto"/>
            </w:tcBorders>
            <w:shd w:val="clear" w:color="auto" w:fill="auto"/>
            <w:noWrap/>
            <w:vAlign w:val="bottom"/>
            <w:hideMark/>
          </w:tcPr>
          <w:p w14:paraId="76571773"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33.3</w:t>
            </w:r>
          </w:p>
        </w:tc>
        <w:tc>
          <w:tcPr>
            <w:tcW w:w="540" w:type="dxa"/>
            <w:tcBorders>
              <w:bottom w:val="single" w:sz="4" w:space="0" w:color="auto"/>
            </w:tcBorders>
            <w:shd w:val="clear" w:color="auto" w:fill="auto"/>
            <w:noWrap/>
            <w:vAlign w:val="bottom"/>
            <w:hideMark/>
          </w:tcPr>
          <w:p w14:paraId="062B87D9"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100</w:t>
            </w:r>
          </w:p>
        </w:tc>
        <w:tc>
          <w:tcPr>
            <w:tcW w:w="630" w:type="dxa"/>
            <w:tcBorders>
              <w:bottom w:val="single" w:sz="4" w:space="0" w:color="auto"/>
            </w:tcBorders>
            <w:shd w:val="clear" w:color="auto" w:fill="auto"/>
            <w:noWrap/>
            <w:vAlign w:val="bottom"/>
            <w:hideMark/>
          </w:tcPr>
          <w:p w14:paraId="4F07470E"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66.7</w:t>
            </w:r>
          </w:p>
        </w:tc>
        <w:tc>
          <w:tcPr>
            <w:tcW w:w="630" w:type="dxa"/>
            <w:tcBorders>
              <w:bottom w:val="single" w:sz="4" w:space="0" w:color="auto"/>
            </w:tcBorders>
            <w:shd w:val="clear" w:color="auto" w:fill="auto"/>
            <w:noWrap/>
            <w:vAlign w:val="bottom"/>
            <w:hideMark/>
          </w:tcPr>
          <w:p w14:paraId="653DB8E7"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33.3</w:t>
            </w:r>
          </w:p>
        </w:tc>
        <w:tc>
          <w:tcPr>
            <w:tcW w:w="630" w:type="dxa"/>
            <w:tcBorders>
              <w:bottom w:val="single" w:sz="4" w:space="0" w:color="auto"/>
            </w:tcBorders>
            <w:shd w:val="clear" w:color="auto" w:fill="auto"/>
            <w:noWrap/>
            <w:vAlign w:val="bottom"/>
            <w:hideMark/>
          </w:tcPr>
          <w:p w14:paraId="0BEB6770" w14:textId="77777777" w:rsidR="00BE3104" w:rsidRPr="000C26B9" w:rsidRDefault="00BE3104"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100</w:t>
            </w:r>
          </w:p>
        </w:tc>
        <w:tc>
          <w:tcPr>
            <w:tcW w:w="1170" w:type="dxa"/>
            <w:tcBorders>
              <w:bottom w:val="single" w:sz="4" w:space="0" w:color="auto"/>
            </w:tcBorders>
            <w:shd w:val="clear" w:color="auto" w:fill="auto"/>
            <w:noWrap/>
            <w:vAlign w:val="bottom"/>
            <w:hideMark/>
          </w:tcPr>
          <w:p w14:paraId="60EBEE48" w14:textId="77777777" w:rsidR="00BE3104" w:rsidRPr="000C26B9" w:rsidRDefault="00BE3104"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w:t>
            </w:r>
          </w:p>
        </w:tc>
      </w:tr>
    </w:tbl>
    <w:p w14:paraId="46412F68" w14:textId="4F2E5A76" w:rsidR="00BE3104" w:rsidRDefault="00BE3104" w:rsidP="000766C0">
      <w:pPr>
        <w:spacing w:after="0" w:line="240" w:lineRule="auto"/>
        <w:jc w:val="both"/>
      </w:pPr>
      <w:r w:rsidRPr="000C26B9">
        <w:rPr>
          <w:rFonts w:ascii="Times New Roman" w:hAnsi="Times New Roman" w:cs="Times New Roman"/>
          <w:sz w:val="20"/>
          <w:szCs w:val="20"/>
        </w:rPr>
        <w:t>Legend: Q1. Were the groups comparable other than the presence of disease in cases or the absence of disease in controls? Q2. Were cases and controls matched appropriately? Q3. Were the same criteria used for the identification of cases and controls? Q4. Was exposure measured in a standard, valid and reliable way? Q5. Was exposure measured in the same way for cases and controls? Q6. Were confounding factors identified? Q7. Were strategies to deal with confounding factors stated? Q8. Were outcomes assessed in a standard, valid and reliable way for cases and controls?</w:t>
      </w:r>
    </w:p>
    <w:sectPr w:rsidR="00BE31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104"/>
    <w:rsid w:val="000766C0"/>
    <w:rsid w:val="00136680"/>
    <w:rsid w:val="00145812"/>
    <w:rsid w:val="003C1956"/>
    <w:rsid w:val="00613383"/>
    <w:rsid w:val="0062098E"/>
    <w:rsid w:val="006A5F97"/>
    <w:rsid w:val="007B7B63"/>
    <w:rsid w:val="00883C36"/>
    <w:rsid w:val="00A27D27"/>
    <w:rsid w:val="00AA468E"/>
    <w:rsid w:val="00AD5DAF"/>
    <w:rsid w:val="00B145FA"/>
    <w:rsid w:val="00BE3104"/>
    <w:rsid w:val="00BE7690"/>
    <w:rsid w:val="00C51EB5"/>
    <w:rsid w:val="00D50480"/>
    <w:rsid w:val="00D538E0"/>
    <w:rsid w:val="00DD0E3A"/>
    <w:rsid w:val="00DF23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EFD1B6"/>
  <w15:chartTrackingRefBased/>
  <w15:docId w15:val="{2E3589AC-048A-4A92-AFCE-4274F1AC5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3104"/>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1835</Words>
  <Characters>10462</Characters>
  <Application>Microsoft Office Word</Application>
  <DocSecurity>0</DocSecurity>
  <Lines>87</Lines>
  <Paragraphs>24</Paragraphs>
  <ScaleCrop>false</ScaleCrop>
  <Company/>
  <LinksUpToDate>false</LinksUpToDate>
  <CharactersWithSpaces>12273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jpfina1 jpfina1</dc:creator>
  <cp:keywords/>
  <dc:description/>
  <cp:lastModifiedBy>jpfina1 jpfina1</cp:lastModifiedBy>
  <cp:revision>8</cp:revision>
  <dcterms:created xsi:type="dcterms:W3CDTF">2022-05-05T19:48:00Z</dcterms:created>
  <dcterms:modified xsi:type="dcterms:W3CDTF">2022-06-22T13:00:00Z</dcterms:modified>
</cp:coreProperties>
</file>