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rtl w:val="0"/>
        </w:rPr>
      </w:r>
    </w:p>
    <w:tbl>
      <w:tblPr>
        <w:tblStyle w:val="Table1"/>
        <w:tblW w:w="6096.0" w:type="dxa"/>
        <w:jc w:val="left"/>
        <w:tblInd w:w="0.0" w:type="pct"/>
        <w:tblLayout w:type="fixed"/>
        <w:tblLook w:val="0400"/>
      </w:tblPr>
      <w:tblGrid>
        <w:gridCol w:w="1980"/>
        <w:gridCol w:w="780"/>
        <w:gridCol w:w="1365"/>
        <w:gridCol w:w="1971"/>
        <w:tblGridChange w:id="0">
          <w:tblGrid>
            <w:gridCol w:w="1980"/>
            <w:gridCol w:w="780"/>
            <w:gridCol w:w="1365"/>
            <w:gridCol w:w="1971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4"/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Supplementary Table S1.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Socio-demographic and clinical variables of participants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= 378) in the waiting list.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Variable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(%)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78.8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Age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43 (11.5)</w:t>
            </w:r>
          </w:p>
        </w:tc>
      </w:tr>
      <w:tr>
        <w:trPr>
          <w:cantSplit w:val="0"/>
          <w:trHeight w:val="44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Mean (SD)</w:t>
            </w:r>
          </w:p>
        </w:tc>
        <w:tc>
          <w:tcPr>
            <w:gridSpan w:val="2"/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Median (min-max)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43 (18-73)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Marital Status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Married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51.3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Widower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Divorced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16.4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Not married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25.9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Scholarity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Elementary School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High School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Graduate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Postgraduate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1.8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Employed (yes)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64.2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BMI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Mean (SD)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47.2 (7.4)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Median (min-max)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46.5 (31.2; 92.1)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BMI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Body Mass Index,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SD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Standard Deviation </w:t>
            </w:r>
          </w:p>
        </w:tc>
      </w:tr>
    </w:tbl>
    <w:p w:rsidR="00000000" w:rsidDel="00000000" w:rsidP="00000000" w:rsidRDefault="00000000" w:rsidRPr="00000000" w14:paraId="00000057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S2.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Distribution and dispersion of scores of MA-II, GAF and MADRS scales</w:t>
      </w:r>
    </w:p>
    <w:tbl>
      <w:tblPr>
        <w:tblStyle w:val="Table2"/>
        <w:tblW w:w="3677.0" w:type="dxa"/>
        <w:jc w:val="left"/>
        <w:tblInd w:w="0.0" w:type="pct"/>
        <w:tblLayout w:type="fixed"/>
        <w:tblLook w:val="0400"/>
      </w:tblPr>
      <w:tblGrid>
        <w:gridCol w:w="2155"/>
        <w:gridCol w:w="110"/>
        <w:gridCol w:w="452"/>
        <w:gridCol w:w="960"/>
        <w:tblGridChange w:id="0">
          <w:tblGrid>
            <w:gridCol w:w="2155"/>
            <w:gridCol w:w="110"/>
            <w:gridCol w:w="452"/>
            <w:gridCol w:w="960"/>
          </w:tblGrid>
        </w:tblGridChange>
      </w:tblGrid>
      <w:tr>
        <w:trPr>
          <w:cantSplit w:val="0"/>
          <w:trHeight w:val="44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Variable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MA-II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F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Mean (SD)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0.8 (1.2)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Median (min; max)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0.9 (-2.9;3)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GAF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Mean (SD)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76.8 (12.3)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Median (min; max)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80 (40; 98)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MADRS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Mean (SD)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7.7 (11.3)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Median (min; max)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 (0; 58)</w:t>
            </w:r>
          </w:p>
        </w:tc>
      </w:tr>
    </w:tbl>
    <w:p w:rsidR="00000000" w:rsidDel="00000000" w:rsidP="00000000" w:rsidRDefault="00000000" w:rsidRPr="00000000" w14:paraId="0000008A">
      <w:pPr>
        <w:spacing w:line="36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MA-II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Moorehead-Ardelt Quality of Life Questionnaire, version II,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GAF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F Global Assessment Functioning,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MADRS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Montgomery-Åsberg Depression Rating Scale</w:t>
      </w:r>
    </w:p>
    <w:p w:rsidR="00000000" w:rsidDel="00000000" w:rsidP="00000000" w:rsidRDefault="00000000" w:rsidRPr="00000000" w14:paraId="0000008B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Figure S1 - Scatter plot for BMI against MA-II total score.</w:t>
      </w:r>
    </w:p>
    <w:p w:rsidR="00000000" w:rsidDel="00000000" w:rsidP="00000000" w:rsidRDefault="00000000" w:rsidRPr="00000000" w14:paraId="0000009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</w:rPr>
        <w:drawing>
          <wp:inline distB="0" distT="0" distL="0" distR="0">
            <wp:extent cx="2619375" cy="270002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51494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7000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