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76C" w:rsidRDefault="0048076C" w:rsidP="00480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  <w:r>
        <w:rPr>
          <w:b/>
        </w:rPr>
        <w:t>SUPPLEMENTARY MATERIAL.</w:t>
      </w:r>
    </w:p>
    <w:p w:rsidR="0048076C" w:rsidRDefault="0048076C" w:rsidP="00480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26770B65" wp14:editId="3FFCF9F5">
            <wp:extent cx="3620225" cy="2576300"/>
            <wp:effectExtent l="0" t="0" r="0" b="0"/>
            <wp:docPr id="1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4"/>
                    <a:srcRect l="12295" b="25243"/>
                    <a:stretch>
                      <a:fillRect/>
                    </a:stretch>
                  </pic:blipFill>
                  <pic:spPr>
                    <a:xfrm>
                      <a:off x="0" y="0"/>
                      <a:ext cx="3620225" cy="25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076C" w:rsidRDefault="0048076C" w:rsidP="00480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</w:rPr>
      </w:pPr>
      <w:r>
        <w:rPr>
          <w:b/>
          <w:sz w:val="20"/>
          <w:szCs w:val="20"/>
        </w:rPr>
        <w:t>Figure S1.</w:t>
      </w:r>
      <w:r>
        <w:rPr>
          <w:sz w:val="20"/>
          <w:szCs w:val="20"/>
        </w:rPr>
        <w:t xml:space="preserve"> Survival analysis using Kaplan Meier estimates in stages I and II according to treatments, including radiotherapy.</w:t>
      </w:r>
    </w:p>
    <w:p w:rsidR="0048076C" w:rsidRDefault="0048076C" w:rsidP="0048076C">
      <w:pPr>
        <w:spacing w:before="240" w:after="240" w:line="276" w:lineRule="auto"/>
      </w:pPr>
      <w:bookmarkStart w:id="1" w:name="_3znysh7" w:colFirst="0" w:colLast="0"/>
      <w:bookmarkEnd w:id="1"/>
      <w:r>
        <w:rPr>
          <w:noProof/>
        </w:rPr>
        <w:drawing>
          <wp:inline distT="0" distB="0" distL="0" distR="0" wp14:anchorId="670E04CB" wp14:editId="1FDAC2F4">
            <wp:extent cx="3713102" cy="4493895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 l="45707" t="23435" r="26142" b="15929"/>
                    <a:stretch>
                      <a:fillRect/>
                    </a:stretch>
                  </pic:blipFill>
                  <pic:spPr>
                    <a:xfrm>
                      <a:off x="0" y="0"/>
                      <a:ext cx="3713102" cy="4493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75D100" wp14:editId="10DFB5FC">
            <wp:extent cx="1289957" cy="4514850"/>
            <wp:effectExtent l="0" t="0" r="0" b="0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 l="58730" t="23275" r="31551" b="15658"/>
                    <a:stretch>
                      <a:fillRect/>
                    </a:stretch>
                  </pic:blipFill>
                  <pic:spPr>
                    <a:xfrm>
                      <a:off x="0" y="0"/>
                      <a:ext cx="1289957" cy="451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076C" w:rsidRDefault="0048076C" w:rsidP="00480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bookmarkStart w:id="2" w:name="_2et92p0" w:colFirst="0" w:colLast="0"/>
      <w:bookmarkEnd w:id="2"/>
      <w:r>
        <w:rPr>
          <w:b/>
          <w:sz w:val="20"/>
          <w:szCs w:val="20"/>
        </w:rPr>
        <w:t>Table S1.</w:t>
      </w:r>
      <w:r>
        <w:rPr>
          <w:sz w:val="20"/>
          <w:szCs w:val="20"/>
        </w:rPr>
        <w:t xml:space="preserve"> Survival time (in months) since diagnosis under 3 months, more than 2 years, and over 10 years.</w:t>
      </w:r>
    </w:p>
    <w:p w:rsidR="00E03288" w:rsidRDefault="0048076C"/>
    <w:sectPr w:rsidR="00E0328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A2C" w:rsidRDefault="0048076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C81A2C" w:rsidRDefault="0048076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A2C" w:rsidRDefault="0048076C">
    <w:pPr>
      <w:spacing w:before="240"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6C"/>
    <w:rsid w:val="00471ACD"/>
    <w:rsid w:val="0048076C"/>
    <w:rsid w:val="00C3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4F2E2-4836-41D4-B79D-DED9B2B1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8076C"/>
    <w:rPr>
      <w:rFonts w:ascii="Calibri" w:eastAsia="Calibri" w:hAnsi="Calibri" w:cs="Calibri"/>
      <w:lang w:val="en-GB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Torrente Regidor.María</dc:creator>
  <cp:keywords/>
  <dc:description/>
  <cp:lastModifiedBy>Torrente Regidor.María</cp:lastModifiedBy>
  <cp:revision>1</cp:revision>
  <dcterms:created xsi:type="dcterms:W3CDTF">2022-04-22T09:06:00Z</dcterms:created>
  <dcterms:modified xsi:type="dcterms:W3CDTF">2022-04-22T09:07:00Z</dcterms:modified>
</cp:coreProperties>
</file>