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203F66" w14:textId="77777777" w:rsidR="00DD2220" w:rsidRDefault="00DD2220" w:rsidP="00DD2220">
      <w:pPr>
        <w:pStyle w:val="Title"/>
      </w:pPr>
      <w:bookmarkStart w:id="0" w:name="_Hlk106637797"/>
      <w:bookmarkEnd w:id="0"/>
      <w:r>
        <w:t>Disutility of climate change damages warrants much stricter climate targets</w:t>
      </w:r>
    </w:p>
    <w:p w14:paraId="052CE860" w14:textId="77777777" w:rsidR="00DD2220" w:rsidRDefault="00DD2220" w:rsidP="00DD2220"/>
    <w:p w14:paraId="26DB66D2" w14:textId="77777777" w:rsidR="00DD2220" w:rsidRDefault="00DD2220" w:rsidP="00DD2220">
      <w:r>
        <w:rPr>
          <w:rFonts w:eastAsia="Times New Roman"/>
        </w:rPr>
        <w:t>Shridhar Kulkarni</w:t>
      </w:r>
      <w:r>
        <w:rPr>
          <w:rFonts w:eastAsia="Times New Roman"/>
          <w:vertAlign w:val="superscript"/>
        </w:rPr>
        <w:t>1*</w:t>
      </w:r>
      <w:r>
        <w:rPr>
          <w:rFonts w:eastAsia="Times New Roman"/>
        </w:rPr>
        <w:t>, Andries Hof</w:t>
      </w:r>
      <w:r>
        <w:rPr>
          <w:rFonts w:eastAsia="Times New Roman"/>
          <w:vertAlign w:val="superscript"/>
        </w:rPr>
        <w:t>1,2</w:t>
      </w:r>
      <w:r>
        <w:t>, Kaj-Ivar van der Wijst</w:t>
      </w:r>
      <w:r>
        <w:rPr>
          <w:rFonts w:eastAsia="Times New Roman"/>
          <w:vertAlign w:val="superscript"/>
        </w:rPr>
        <w:t>1</w:t>
      </w:r>
      <w:r>
        <w:t>, and Detlef van Vuuren</w:t>
      </w:r>
      <w:r>
        <w:rPr>
          <w:rFonts w:eastAsia="Times New Roman"/>
          <w:vertAlign w:val="superscript"/>
        </w:rPr>
        <w:t>1,2</w:t>
      </w:r>
    </w:p>
    <w:p w14:paraId="4A0445C1" w14:textId="77777777" w:rsidR="00DD2220" w:rsidRDefault="00DD2220" w:rsidP="00DD2220">
      <w:pPr>
        <w:spacing w:after="0" w:line="240" w:lineRule="auto"/>
        <w:rPr>
          <w:rFonts w:eastAsia="Times New Roman"/>
          <w:sz w:val="20"/>
          <w:szCs w:val="20"/>
        </w:rPr>
      </w:pPr>
      <w:r>
        <w:rPr>
          <w:rFonts w:eastAsia="Times New Roman"/>
          <w:sz w:val="20"/>
          <w:szCs w:val="20"/>
          <w:vertAlign w:val="superscript"/>
        </w:rPr>
        <w:t>1</w:t>
      </w:r>
      <w:r>
        <w:rPr>
          <w:rFonts w:eastAsia="Times New Roman"/>
          <w:sz w:val="20"/>
          <w:szCs w:val="20"/>
        </w:rPr>
        <w:t xml:space="preserve"> Copernicus Institute of Sustainable Development, Utrecht University, Utrecht, The Netherlands.</w:t>
      </w:r>
    </w:p>
    <w:p w14:paraId="20F4D12F" w14:textId="77777777" w:rsidR="00DD2220" w:rsidRDefault="00DD2220" w:rsidP="00DD2220">
      <w:pPr>
        <w:spacing w:after="0" w:line="240" w:lineRule="auto"/>
        <w:rPr>
          <w:rFonts w:eastAsia="Times New Roman"/>
          <w:sz w:val="20"/>
          <w:szCs w:val="20"/>
        </w:rPr>
      </w:pPr>
      <w:r>
        <w:rPr>
          <w:rFonts w:eastAsia="Times New Roman"/>
          <w:sz w:val="20"/>
          <w:szCs w:val="20"/>
          <w:vertAlign w:val="superscript"/>
        </w:rPr>
        <w:t>2</w:t>
      </w:r>
      <w:r>
        <w:rPr>
          <w:rFonts w:eastAsia="Times New Roman"/>
          <w:sz w:val="20"/>
          <w:szCs w:val="20"/>
        </w:rPr>
        <w:t xml:space="preserve"> PBL Netherlands Environmental Assessment Agency, The Hague, The Netherlands.</w:t>
      </w:r>
    </w:p>
    <w:p w14:paraId="6B09CA45" w14:textId="77777777" w:rsidR="00DD2220" w:rsidRDefault="00DD2220" w:rsidP="00DD2220">
      <w:pPr>
        <w:spacing w:after="0" w:line="240" w:lineRule="auto"/>
        <w:rPr>
          <w:rFonts w:eastAsia="Times New Roman"/>
          <w:sz w:val="20"/>
          <w:szCs w:val="20"/>
        </w:rPr>
      </w:pPr>
      <w:r>
        <w:rPr>
          <w:rFonts w:eastAsia="Times New Roman"/>
          <w:sz w:val="20"/>
          <w:szCs w:val="20"/>
        </w:rPr>
        <w:t>*</w:t>
      </w:r>
      <w:hyperlink r:id="rId6" w:history="1">
        <w:r>
          <w:rPr>
            <w:rStyle w:val="Hyperlink"/>
            <w:rFonts w:eastAsia="Times New Roman"/>
            <w:sz w:val="20"/>
            <w:szCs w:val="20"/>
          </w:rPr>
          <w:t>s.g.kulkarni@uu.nl</w:t>
        </w:r>
      </w:hyperlink>
      <w:r>
        <w:rPr>
          <w:rFonts w:eastAsia="Times New Roman"/>
          <w:sz w:val="20"/>
          <w:szCs w:val="20"/>
        </w:rPr>
        <w:t xml:space="preserve"> </w:t>
      </w:r>
    </w:p>
    <w:p w14:paraId="1CB426B8" w14:textId="77777777" w:rsidR="00DD2220" w:rsidRDefault="00DD2220">
      <w:pPr>
        <w:rPr>
          <w:b/>
          <w:bCs/>
        </w:rPr>
      </w:pPr>
    </w:p>
    <w:p w14:paraId="23ABDF25" w14:textId="6025ECCB" w:rsidR="00D14C85" w:rsidRPr="00DD2220" w:rsidRDefault="00236583" w:rsidP="00DD2220">
      <w:pPr>
        <w:jc w:val="center"/>
        <w:rPr>
          <w:sz w:val="28"/>
          <w:szCs w:val="28"/>
        </w:rPr>
      </w:pPr>
      <w:r w:rsidRPr="00DD2220">
        <w:rPr>
          <w:sz w:val="28"/>
          <w:szCs w:val="28"/>
        </w:rPr>
        <w:t xml:space="preserve">Supplementary </w:t>
      </w:r>
      <w:r w:rsidR="00DD2220">
        <w:rPr>
          <w:sz w:val="28"/>
          <w:szCs w:val="28"/>
        </w:rPr>
        <w:t>I</w:t>
      </w:r>
      <w:r w:rsidRPr="00DD2220">
        <w:rPr>
          <w:sz w:val="28"/>
          <w:szCs w:val="28"/>
        </w:rPr>
        <w:t>nformation</w:t>
      </w:r>
    </w:p>
    <w:p w14:paraId="693AD0AE" w14:textId="439D1F15" w:rsidR="00C17022" w:rsidRDefault="00E32325" w:rsidP="00C63214">
      <w:pPr>
        <w:pStyle w:val="Heading2"/>
      </w:pPr>
      <w:r>
        <w:t>SI.</w:t>
      </w:r>
      <w:r w:rsidR="00950D86">
        <w:t>1</w:t>
      </w:r>
      <w:r w:rsidR="005D4642">
        <w:t>.</w:t>
      </w:r>
      <w:r w:rsidR="00950D86">
        <w:t xml:space="preserve"> </w:t>
      </w:r>
      <w:r w:rsidR="00E302BB">
        <w:t>Sensitivity analysis</w:t>
      </w:r>
    </w:p>
    <w:p w14:paraId="7D59D1E4" w14:textId="42A7DDE8" w:rsidR="00817EBB" w:rsidRPr="00165A1F" w:rsidRDefault="00817EBB" w:rsidP="00817EBB">
      <w:r w:rsidRPr="00165A1F">
        <w:t xml:space="preserve">Sensitivity analysis is used to investigate the influence of the variation in input </w:t>
      </w:r>
      <w:r>
        <w:t>parameter</w:t>
      </w:r>
      <w:r w:rsidRPr="00165A1F">
        <w:t xml:space="preserve"> on the variance in outcome values. It is often as important to determine the input parameters that have the most influence on the variance in the outcomes of interest, as those that have the least influence. </w:t>
      </w:r>
      <w:r w:rsidRPr="001D74C0">
        <w:t xml:space="preserve"> </w:t>
      </w:r>
      <w:r w:rsidRPr="00165A1F">
        <w:t>Global sensitivity analysis evaluates the output uncertainty over the entire range of</w:t>
      </w:r>
      <w:r>
        <w:t xml:space="preserve"> input parameters.</w:t>
      </w:r>
      <w:r w:rsidRPr="00165A1F">
        <w:t xml:space="preserve"> </w:t>
      </w:r>
      <w:r>
        <w:t>T</w:t>
      </w:r>
      <w:r w:rsidRPr="00165A1F">
        <w:t xml:space="preserve">he ranking order of influence informed by the </w:t>
      </w:r>
      <w:r>
        <w:t xml:space="preserve">global sensitivity analysis </w:t>
      </w:r>
      <w:r w:rsidRPr="00165A1F">
        <w:t>can be most useful in understanding the relative importance of uncertain variables</w:t>
      </w:r>
      <w:r w:rsidR="00D658C1">
        <w:fldChar w:fldCharType="begin" w:fldLock="1"/>
      </w:r>
      <w:r w:rsidR="00295DF7">
        <w:instrText>ADDIN CSL_CITATION {"citationItems":[{"id":"ITEM-1","itemData":{"DOI":"10.1016/j.gloenvcha.2004.04.007","ISBN":"4940428387009","ISSN":"09593780","abstract":"Climate change is likely to impact more severely on the poorer people of the world, because they are more exposed to the weather, because they are closer to the biophysical and experience limits of climate, and because their adaptive capacity is lower. Estimates of aggregated impacts necessarily make assumptions on the relative importance of sectors, countries and periods; we propose to make these assumption explicit. We introduce a Gini coefficient for climate change impacts, which shows the distribution of impacts is very skewed in the near future and will deteriorate for more than a century before becoming more egalitarian. Vulnerability to climate change depends on more than per capita income alone, so that the geographical pattern of vulnerability is complex, and the relationship between vulnerability and development non-linear and non-monotonous. © 2004 Elsevier Ltd. All rights reserved.","author":[{"dropping-particle":"","family":"Tol","given":"Richard S.J.","non-dropping-particle":"","parse-names":false,"suffix":""},{"dropping-particle":"","family":"Downing","given":"Thomas E.","non-dropping-particle":"","parse-names":false,"suffix":""},{"dropping-particle":"","family":"Kuik","given":"Onno J.","non-dropping-particle":"","parse-names":false,"suffix":""},{"dropping-particle":"","family":"Smith","given":"Joel B.","non-dropping-particle":"","parse-names":false,"suffix":""}],"container-title":"Global Environmental Change","id":"ITEM-1","issue":"3","issued":{"date-parts":[["2004"]]},"page":"259-272","title":"Distributional aspects of climate change impacts","type":"article-journal","volume":"14"},"uris":["http://www.mendeley.com/documents/?uuid=d5ce53fd-b803-4640-8ceb-1adcffcc3172"]}],"mendeley":{"formattedCitation":"&lt;sup&gt;1&lt;/sup&gt;","plainTextFormattedCitation":"1","previouslyFormattedCitation":"&lt;sup&gt;1&lt;/sup&gt;"},"properties":{"noteIndex":0},"schema":"https://github.com/citation-style-language/schema/raw/master/csl-citation.json"}</w:instrText>
      </w:r>
      <w:r w:rsidR="00D658C1">
        <w:fldChar w:fldCharType="separate"/>
      </w:r>
      <w:r w:rsidR="00D658C1" w:rsidRPr="00D658C1">
        <w:rPr>
          <w:noProof/>
          <w:vertAlign w:val="superscript"/>
        </w:rPr>
        <w:t>1</w:t>
      </w:r>
      <w:r w:rsidR="00D658C1">
        <w:fldChar w:fldCharType="end"/>
      </w:r>
      <w:r>
        <w:t>.</w:t>
      </w:r>
    </w:p>
    <w:p w14:paraId="79D601EC" w14:textId="120DE08E" w:rsidR="00817EBB" w:rsidRDefault="00817EBB" w:rsidP="00817EBB">
      <w:r w:rsidRPr="00165A1F">
        <w:t>The feature scoring method is a random trees based machine learning algorithm, which is strictly speaking not a global sensitivity analysis method. However, it is a useful alternate to the traditional GSA methods, that gives insight on the relative influence of input parameters at the fraction of the computational costs</w:t>
      </w:r>
      <w:r>
        <w:fldChar w:fldCharType="begin" w:fldLock="1"/>
      </w:r>
      <w:r w:rsidR="00295DF7">
        <w:instrText>ADDIN CSL_CITATION {"citationItems":[{"id":"ITEM-1","itemData":{"DOI":"10.1016/j.envsoft.2017.06.054","ISSN":"13648152","abstract":"There is a growing interest in model-based decision support under deep uncertainty, reflected in a variety of approaches being put forward in the literature. A key idea shared among these is the use of models for exploratory rather than predictive purposes. Exploratory modeling aims at exploring the implications for decision making of the various presently irresolvable uncertainties. This is achieved by conducting series of computational experiments that cover how the various uncertainties might resolve. This paper presents an open source library supporting this. The Exploratory Modeling Workbench is implemented in Python. It is designed to (i) support the generation and execution of series of computational experiments; and (ii) support the visualization and analysis of the results from the computational experiments. The Exploratory Modeling Workbench enables users to easily perform exploratory modeling with existing models, identify the policy-relevant uncertainties, assess the efficacy of policy options, and iteratively improve candidate strategies.","author":[{"dropping-particle":"","family":"Kwakkel","given":"Jan H.","non-dropping-particle":"","parse-names":false,"suffix":""}],"container-title":"Environmental Modelling and Software","id":"ITEM-1","issued":{"date-parts":[["2017"]]},"page":"239-250","publisher":"Elsevier Ltd","title":"The Exploratory Modeling Workbench: An open source toolkit for exploratory modeling, scenario discovery, and (multi-objective) robust decision making","type":"article-journal","volume":"96"},"uris":["http://www.mendeley.com/documents/?uuid=e0c80a61-1b56-4c65-ae6a-6af2ba6fac4d"]}],"mendeley":{"formattedCitation":"&lt;sup&gt;2&lt;/sup&gt;","plainTextFormattedCitation":"2","previouslyFormattedCitation":"&lt;sup&gt;2&lt;/sup&gt;"},"properties":{"noteIndex":0},"schema":"https://github.com/citation-style-language/schema/raw/master/csl-citation.json"}</w:instrText>
      </w:r>
      <w:r>
        <w:fldChar w:fldCharType="separate"/>
      </w:r>
      <w:r w:rsidR="00D658C1" w:rsidRPr="00D658C1">
        <w:rPr>
          <w:noProof/>
          <w:vertAlign w:val="superscript"/>
        </w:rPr>
        <w:t>2</w:t>
      </w:r>
      <w:r>
        <w:fldChar w:fldCharType="end"/>
      </w:r>
      <w:r w:rsidRPr="00165A1F">
        <w:t xml:space="preserve">. We choose the computationally inexpensive feature scoring sensitivity analysis method, in lieu of more intensive methods such as those based on </w:t>
      </w:r>
      <w:proofErr w:type="spellStart"/>
      <w:r>
        <w:t>Sobol</w:t>
      </w:r>
      <w:proofErr w:type="spellEnd"/>
      <w:r w:rsidRPr="00165A1F">
        <w:t xml:space="preserve"> sequences, or Fourier amplitudes. The sensitivity analysis is performed for individual outcomes.  </w:t>
      </w:r>
    </w:p>
    <w:p w14:paraId="67E0B899" w14:textId="5E23FE12" w:rsidR="00CA7A5D" w:rsidRDefault="00124BD1" w:rsidP="00124BD1">
      <w:pPr>
        <w:rPr>
          <w:noProof/>
        </w:rPr>
      </w:pPr>
      <w:r>
        <w:rPr>
          <w:noProof/>
        </w:rPr>
        <w:t xml:space="preserve">Fig. </w:t>
      </w:r>
      <w:r w:rsidR="00C03FB8">
        <w:rPr>
          <w:noProof/>
        </w:rPr>
        <w:t>S</w:t>
      </w:r>
      <w:r w:rsidR="00865D6D">
        <w:rPr>
          <w:noProof/>
        </w:rPr>
        <w:t>I</w:t>
      </w:r>
      <w:r w:rsidR="00C03FB8">
        <w:rPr>
          <w:noProof/>
        </w:rPr>
        <w:t>.1</w:t>
      </w:r>
      <w:r>
        <w:rPr>
          <w:noProof/>
        </w:rPr>
        <w:t xml:space="preserve"> shows the relative influence of input variance for selected parameters on the corresponding variance in </w:t>
      </w:r>
      <w:r w:rsidR="00D22E01">
        <w:rPr>
          <w:noProof/>
        </w:rPr>
        <w:t xml:space="preserve">optimal annual emission </w:t>
      </w:r>
      <w:r w:rsidR="00CA7A5D">
        <w:rPr>
          <w:noProof/>
        </w:rPr>
        <w:t xml:space="preserve">and corresponding </w:t>
      </w:r>
      <w:r>
        <w:rPr>
          <w:noProof/>
        </w:rPr>
        <w:t xml:space="preserve">temperature outcomes. </w:t>
      </w:r>
    </w:p>
    <w:p w14:paraId="3F7FA88C" w14:textId="346F0BF7" w:rsidR="00E941FE" w:rsidRDefault="00EA44ED" w:rsidP="00EA44ED">
      <w:pPr>
        <w:jc w:val="center"/>
        <w:rPr>
          <w:noProof/>
        </w:rPr>
      </w:pPr>
      <w:r w:rsidRPr="00EA44ED">
        <w:rPr>
          <w:noProof/>
        </w:rPr>
        <w:drawing>
          <wp:inline distT="0" distB="0" distL="0" distR="0" wp14:anchorId="515FE8A2" wp14:editId="232AE0D8">
            <wp:extent cx="1398118" cy="1464453"/>
            <wp:effectExtent l="0" t="0" r="0" b="254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424778" cy="1492378"/>
                    </a:xfrm>
                    <a:prstGeom prst="rect">
                      <a:avLst/>
                    </a:prstGeom>
                  </pic:spPr>
                </pic:pic>
              </a:graphicData>
            </a:graphic>
          </wp:inline>
        </w:drawing>
      </w:r>
      <w:r w:rsidR="00E941FE" w:rsidRPr="00E941FE">
        <w:rPr>
          <w:noProof/>
        </w:rPr>
        <w:t xml:space="preserve"> </w:t>
      </w:r>
      <w:r w:rsidR="00E941FE" w:rsidRPr="00E941FE">
        <w:rPr>
          <w:noProof/>
        </w:rPr>
        <w:drawing>
          <wp:inline distT="0" distB="0" distL="0" distR="0" wp14:anchorId="6EC1AD41" wp14:editId="4B91D396">
            <wp:extent cx="1382522" cy="1461161"/>
            <wp:effectExtent l="0" t="0" r="8255"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395510" cy="1474888"/>
                    </a:xfrm>
                    <a:prstGeom prst="rect">
                      <a:avLst/>
                    </a:prstGeom>
                  </pic:spPr>
                </pic:pic>
              </a:graphicData>
            </a:graphic>
          </wp:inline>
        </w:drawing>
      </w:r>
    </w:p>
    <w:p w14:paraId="2C780C4E" w14:textId="78D4735C" w:rsidR="00A0418B" w:rsidRDefault="00050CBC" w:rsidP="00EA44ED">
      <w:pPr>
        <w:jc w:val="center"/>
      </w:pPr>
      <w:r w:rsidRPr="00050CBC">
        <w:rPr>
          <w:noProof/>
        </w:rPr>
        <w:drawing>
          <wp:inline distT="0" distB="0" distL="0" distR="0" wp14:anchorId="095A8876" wp14:editId="2076A048">
            <wp:extent cx="1421224" cy="438768"/>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474625" cy="455254"/>
                    </a:xfrm>
                    <a:prstGeom prst="rect">
                      <a:avLst/>
                    </a:prstGeom>
                  </pic:spPr>
                </pic:pic>
              </a:graphicData>
            </a:graphic>
          </wp:inline>
        </w:drawing>
      </w:r>
    </w:p>
    <w:p w14:paraId="19E069FA" w14:textId="26147ED6" w:rsidR="004408C6" w:rsidRPr="008179B3" w:rsidRDefault="00B3511A" w:rsidP="008179B3">
      <w:pPr>
        <w:pStyle w:val="Caption"/>
        <w:keepNext/>
      </w:pPr>
      <w:r w:rsidRPr="007C3E7B">
        <w:t>Fi</w:t>
      </w:r>
      <w:r>
        <w:t>gure</w:t>
      </w:r>
      <w:r w:rsidRPr="007C3E7B">
        <w:t xml:space="preserve"> </w:t>
      </w:r>
      <w:r>
        <w:t>S</w:t>
      </w:r>
      <w:r w:rsidR="005F0472">
        <w:t>I</w:t>
      </w:r>
      <w:r>
        <w:t>.1</w:t>
      </w:r>
      <w:r w:rsidRPr="007C3E7B">
        <w:t xml:space="preserve">: </w:t>
      </w:r>
      <w:r w:rsidR="00827B82">
        <w:t>Relative s</w:t>
      </w:r>
      <w:r w:rsidR="004729B5" w:rsidRPr="004729B5">
        <w:t xml:space="preserve">ensitivity of </w:t>
      </w:r>
      <w:r w:rsidR="00827B82">
        <w:t xml:space="preserve">a. </w:t>
      </w:r>
      <w:r w:rsidR="004729B5" w:rsidRPr="004729B5">
        <w:t>net annual emissions</w:t>
      </w:r>
      <w:r w:rsidR="00827B82">
        <w:t xml:space="preserve">, and b. global mean temperature rise </w:t>
      </w:r>
      <w:r w:rsidR="004729B5" w:rsidRPr="004729B5">
        <w:t>to variance in input parameters</w:t>
      </w:r>
      <w:r w:rsidR="004408C6">
        <w:br w:type="page"/>
      </w:r>
    </w:p>
    <w:p w14:paraId="2BA11B8C" w14:textId="614232A0" w:rsidR="00926C74" w:rsidRDefault="005D4642" w:rsidP="00926C74">
      <w:pPr>
        <w:pStyle w:val="Heading2"/>
      </w:pPr>
      <w:r>
        <w:lastRenderedPageBreak/>
        <w:t>SI.2.</w:t>
      </w:r>
      <w:r w:rsidR="00950D86">
        <w:t xml:space="preserve"> </w:t>
      </w:r>
      <w:r w:rsidR="00926C74">
        <w:t xml:space="preserve">Optimal pathways with varying carbon budget constraints </w:t>
      </w:r>
    </w:p>
    <w:p w14:paraId="5EAA8E91" w14:textId="77777777" w:rsidR="00926C74" w:rsidRDefault="00926C74" w:rsidP="00926C74">
      <w:pPr>
        <w:jc w:val="center"/>
      </w:pPr>
    </w:p>
    <w:p w14:paraId="502C402B" w14:textId="6644CE9D" w:rsidR="00926C74" w:rsidRDefault="00926C74" w:rsidP="00926C74">
      <w:pPr>
        <w:jc w:val="center"/>
      </w:pPr>
      <w:r w:rsidRPr="009A583E">
        <w:rPr>
          <w:noProof/>
        </w:rPr>
        <w:drawing>
          <wp:inline distT="0" distB="0" distL="0" distR="0" wp14:anchorId="62744D03" wp14:editId="78B73BD1">
            <wp:extent cx="1615884" cy="1439186"/>
            <wp:effectExtent l="0" t="0" r="381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639150" cy="1459908"/>
                    </a:xfrm>
                    <a:prstGeom prst="rect">
                      <a:avLst/>
                    </a:prstGeom>
                  </pic:spPr>
                </pic:pic>
              </a:graphicData>
            </a:graphic>
          </wp:inline>
        </w:drawing>
      </w:r>
      <w:r w:rsidRPr="009A583E">
        <w:t xml:space="preserve"> </w:t>
      </w:r>
      <w:r w:rsidRPr="00150C10">
        <w:rPr>
          <w:noProof/>
        </w:rPr>
        <w:drawing>
          <wp:inline distT="0" distB="0" distL="0" distR="0" wp14:anchorId="067381C2" wp14:editId="288DE2DC">
            <wp:extent cx="1661020" cy="149484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685274" cy="1516673"/>
                    </a:xfrm>
                    <a:prstGeom prst="rect">
                      <a:avLst/>
                    </a:prstGeom>
                  </pic:spPr>
                </pic:pic>
              </a:graphicData>
            </a:graphic>
          </wp:inline>
        </w:drawing>
      </w:r>
    </w:p>
    <w:p w14:paraId="4CA69640" w14:textId="1704E6F9" w:rsidR="00926C74" w:rsidRDefault="00926C74" w:rsidP="00926C74">
      <w:pPr>
        <w:jc w:val="center"/>
      </w:pPr>
      <w:r w:rsidRPr="007E0C62">
        <w:rPr>
          <w:noProof/>
        </w:rPr>
        <w:drawing>
          <wp:inline distT="0" distB="0" distL="0" distR="0" wp14:anchorId="3FDD1B18" wp14:editId="321DA1D2">
            <wp:extent cx="1590527" cy="1427351"/>
            <wp:effectExtent l="0" t="0" r="0" b="1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616724" cy="1450860"/>
                    </a:xfrm>
                    <a:prstGeom prst="rect">
                      <a:avLst/>
                    </a:prstGeom>
                  </pic:spPr>
                </pic:pic>
              </a:graphicData>
            </a:graphic>
          </wp:inline>
        </w:drawing>
      </w:r>
      <w:r w:rsidRPr="007E0C62">
        <w:t xml:space="preserve"> </w:t>
      </w:r>
      <w:r w:rsidRPr="0046235E">
        <w:rPr>
          <w:noProof/>
        </w:rPr>
        <w:drawing>
          <wp:inline distT="0" distB="0" distL="0" distR="0" wp14:anchorId="65017A1B" wp14:editId="1C52293E">
            <wp:extent cx="1526708" cy="1400356"/>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555275" cy="1426558"/>
                    </a:xfrm>
                    <a:prstGeom prst="rect">
                      <a:avLst/>
                    </a:prstGeom>
                  </pic:spPr>
                </pic:pic>
              </a:graphicData>
            </a:graphic>
          </wp:inline>
        </w:drawing>
      </w:r>
    </w:p>
    <w:p w14:paraId="2DDEECEB" w14:textId="77777777" w:rsidR="00926C74" w:rsidRDefault="00926C74" w:rsidP="00926C74">
      <w:pPr>
        <w:jc w:val="center"/>
      </w:pPr>
      <w:r w:rsidRPr="003B11B4">
        <w:rPr>
          <w:noProof/>
        </w:rPr>
        <w:drawing>
          <wp:inline distT="0" distB="0" distL="0" distR="0" wp14:anchorId="6044CD29" wp14:editId="4A7F8D50">
            <wp:extent cx="2170430" cy="500498"/>
            <wp:effectExtent l="0" t="0" r="127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198962" cy="507078"/>
                    </a:xfrm>
                    <a:prstGeom prst="rect">
                      <a:avLst/>
                    </a:prstGeom>
                  </pic:spPr>
                </pic:pic>
              </a:graphicData>
            </a:graphic>
          </wp:inline>
        </w:drawing>
      </w:r>
    </w:p>
    <w:p w14:paraId="5C33BAC7" w14:textId="485519FB" w:rsidR="00926C74" w:rsidRDefault="00926C74" w:rsidP="00926C74">
      <w:pPr>
        <w:pStyle w:val="Caption"/>
        <w:keepNext/>
        <w:rPr>
          <w:noProof/>
        </w:rPr>
      </w:pPr>
      <w:r w:rsidRPr="007C3E7B">
        <w:t>Fig</w:t>
      </w:r>
      <w:r>
        <w:t>ure</w:t>
      </w:r>
      <w:r w:rsidRPr="007C3E7B">
        <w:t xml:space="preserve"> </w:t>
      </w:r>
      <w:r w:rsidR="00950D86">
        <w:t>S</w:t>
      </w:r>
      <w:r w:rsidR="005F0472">
        <w:t>I</w:t>
      </w:r>
      <w:r w:rsidR="00950D86">
        <w:t>.2</w:t>
      </w:r>
      <w:r w:rsidR="0090781F">
        <w:t>.1</w:t>
      </w:r>
      <w:r w:rsidR="00DC2C94">
        <w:t>.</w:t>
      </w:r>
      <w:r w:rsidRPr="007C3E7B">
        <w:t xml:space="preserve"> </w:t>
      </w:r>
      <w:r>
        <w:t>O</w:t>
      </w:r>
      <w:r w:rsidRPr="007C3E7B">
        <w:t xml:space="preserve">ptimal pathways with a </w:t>
      </w:r>
      <w:r w:rsidRPr="001F3E8C">
        <w:t>fixed carbon budget of 633 GtCO</w:t>
      </w:r>
      <w:r w:rsidRPr="001F3E8C">
        <w:rPr>
          <w:vertAlign w:val="subscript"/>
        </w:rPr>
        <w:t>2</w:t>
      </w:r>
      <w:r>
        <w:t>.</w:t>
      </w:r>
      <w:r w:rsidRPr="00524E87">
        <w:t xml:space="preserve"> </w:t>
      </w:r>
      <w:r w:rsidRPr="007C3E7B">
        <w:t xml:space="preserve">Panels, a: </w:t>
      </w:r>
      <w:r>
        <w:t xml:space="preserve">net </w:t>
      </w:r>
      <w:r w:rsidRPr="007C3E7B">
        <w:t>annual</w:t>
      </w:r>
      <w:r>
        <w:t xml:space="preserve"> emissions, b</w:t>
      </w:r>
      <w:r w:rsidRPr="007C3E7B">
        <w:t>:</w:t>
      </w:r>
      <w:r w:rsidRPr="002D191F">
        <w:t xml:space="preserve"> </w:t>
      </w:r>
      <w:r>
        <w:t>cumulative</w:t>
      </w:r>
      <w:r w:rsidRPr="007C3E7B">
        <w:t xml:space="preserve"> emissions</w:t>
      </w:r>
      <w:r>
        <w:t>, c: population-weighted global carbon price, d: global mean temperature rise</w:t>
      </w:r>
    </w:p>
    <w:p w14:paraId="4791421A" w14:textId="510C41AF" w:rsidR="00926C74" w:rsidRDefault="00926C74" w:rsidP="00926C74">
      <w:pPr>
        <w:jc w:val="center"/>
        <w:rPr>
          <w:noProof/>
        </w:rPr>
      </w:pPr>
      <w:r w:rsidRPr="00AE1CD5">
        <w:rPr>
          <w:noProof/>
        </w:rPr>
        <w:drawing>
          <wp:inline distT="0" distB="0" distL="0" distR="0" wp14:anchorId="1A5D13BA" wp14:editId="5E40C923">
            <wp:extent cx="1598019" cy="1430710"/>
            <wp:effectExtent l="0" t="0" r="254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611874" cy="1443115"/>
                    </a:xfrm>
                    <a:prstGeom prst="rect">
                      <a:avLst/>
                    </a:prstGeom>
                  </pic:spPr>
                </pic:pic>
              </a:graphicData>
            </a:graphic>
          </wp:inline>
        </w:drawing>
      </w:r>
      <w:r w:rsidRPr="00BB4312">
        <w:rPr>
          <w:noProof/>
        </w:rPr>
        <w:t xml:space="preserve"> </w:t>
      </w:r>
      <w:r w:rsidRPr="00866C03">
        <w:rPr>
          <w:noProof/>
        </w:rPr>
        <w:drawing>
          <wp:inline distT="0" distB="0" distL="0" distR="0" wp14:anchorId="1603ACAC" wp14:editId="4DB147D3">
            <wp:extent cx="1562834" cy="1401288"/>
            <wp:effectExtent l="0" t="0" r="0" b="889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608176" cy="1441943"/>
                    </a:xfrm>
                    <a:prstGeom prst="rect">
                      <a:avLst/>
                    </a:prstGeom>
                  </pic:spPr>
                </pic:pic>
              </a:graphicData>
            </a:graphic>
          </wp:inline>
        </w:drawing>
      </w:r>
    </w:p>
    <w:p w14:paraId="2AA1C92C" w14:textId="77777777" w:rsidR="00926C74" w:rsidRDefault="00926C74" w:rsidP="00926C74">
      <w:pPr>
        <w:jc w:val="center"/>
        <w:rPr>
          <w:noProof/>
        </w:rPr>
      </w:pPr>
      <w:r w:rsidRPr="007763B0">
        <w:rPr>
          <w:noProof/>
        </w:rPr>
        <w:drawing>
          <wp:inline distT="0" distB="0" distL="0" distR="0" wp14:anchorId="021F231C" wp14:editId="2229F633">
            <wp:extent cx="1606599" cy="1428069"/>
            <wp:effectExtent l="0" t="0" r="0" b="12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624364" cy="1443860"/>
                    </a:xfrm>
                    <a:prstGeom prst="rect">
                      <a:avLst/>
                    </a:prstGeom>
                  </pic:spPr>
                </pic:pic>
              </a:graphicData>
            </a:graphic>
          </wp:inline>
        </w:drawing>
      </w:r>
      <w:r w:rsidRPr="00C04AA1">
        <w:rPr>
          <w:noProof/>
        </w:rPr>
        <w:t xml:space="preserve"> </w:t>
      </w:r>
      <w:r w:rsidRPr="00FA203B">
        <w:rPr>
          <w:noProof/>
        </w:rPr>
        <w:drawing>
          <wp:inline distT="0" distB="0" distL="0" distR="0" wp14:anchorId="37FA8DAF" wp14:editId="5121BDC8">
            <wp:extent cx="1531004" cy="1394289"/>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554081" cy="1415305"/>
                    </a:xfrm>
                    <a:prstGeom prst="rect">
                      <a:avLst/>
                    </a:prstGeom>
                  </pic:spPr>
                </pic:pic>
              </a:graphicData>
            </a:graphic>
          </wp:inline>
        </w:drawing>
      </w:r>
    </w:p>
    <w:p w14:paraId="1BAF5BC7" w14:textId="77777777" w:rsidR="00926C74" w:rsidRDefault="00926C74" w:rsidP="00926C74">
      <w:pPr>
        <w:jc w:val="center"/>
      </w:pPr>
      <w:r w:rsidRPr="003B11B4">
        <w:rPr>
          <w:noProof/>
        </w:rPr>
        <w:drawing>
          <wp:inline distT="0" distB="0" distL="0" distR="0" wp14:anchorId="6642CC8E" wp14:editId="2BAE630A">
            <wp:extent cx="2170430" cy="500498"/>
            <wp:effectExtent l="0" t="0" r="127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198962" cy="507078"/>
                    </a:xfrm>
                    <a:prstGeom prst="rect">
                      <a:avLst/>
                    </a:prstGeom>
                  </pic:spPr>
                </pic:pic>
              </a:graphicData>
            </a:graphic>
          </wp:inline>
        </w:drawing>
      </w:r>
    </w:p>
    <w:p w14:paraId="179FBF2E" w14:textId="71F2094F" w:rsidR="00926C74" w:rsidRPr="004408C6" w:rsidRDefault="00926C74" w:rsidP="004408C6">
      <w:pPr>
        <w:pStyle w:val="Caption"/>
        <w:keepNext/>
        <w:rPr>
          <w:noProof/>
        </w:rPr>
      </w:pPr>
      <w:r w:rsidRPr="007C3E7B">
        <w:t>Fig</w:t>
      </w:r>
      <w:r>
        <w:t>ure</w:t>
      </w:r>
      <w:r w:rsidRPr="007C3E7B">
        <w:t xml:space="preserve"> </w:t>
      </w:r>
      <w:r w:rsidR="00950D86">
        <w:t>S</w:t>
      </w:r>
      <w:r w:rsidR="005F0472">
        <w:t>I</w:t>
      </w:r>
      <w:r w:rsidR="00950D86">
        <w:t>.</w:t>
      </w:r>
      <w:r w:rsidR="00DC2C94">
        <w:t>2.2.</w:t>
      </w:r>
      <w:r w:rsidRPr="007C3E7B">
        <w:t xml:space="preserve"> </w:t>
      </w:r>
      <w:r>
        <w:t>O</w:t>
      </w:r>
      <w:r w:rsidRPr="007C3E7B">
        <w:t>ptimal pathways with a fixed</w:t>
      </w:r>
      <w:r w:rsidRPr="001F3E8C">
        <w:t xml:space="preserve"> carbon budget of 1344 GtCO</w:t>
      </w:r>
      <w:r w:rsidRPr="001F3E8C">
        <w:rPr>
          <w:vertAlign w:val="subscript"/>
        </w:rPr>
        <w:t>2</w:t>
      </w:r>
      <w:r>
        <w:t>.</w:t>
      </w:r>
      <w:r w:rsidRPr="00524E87">
        <w:t xml:space="preserve"> </w:t>
      </w:r>
      <w:r w:rsidRPr="007C3E7B">
        <w:t xml:space="preserve">Panels, a: </w:t>
      </w:r>
      <w:r>
        <w:t xml:space="preserve">net </w:t>
      </w:r>
      <w:r w:rsidRPr="007C3E7B">
        <w:t>annual</w:t>
      </w:r>
      <w:r>
        <w:t xml:space="preserve"> emissions, b</w:t>
      </w:r>
      <w:r w:rsidRPr="007C3E7B">
        <w:t>:</w:t>
      </w:r>
      <w:r w:rsidRPr="002D191F">
        <w:t xml:space="preserve"> </w:t>
      </w:r>
      <w:r>
        <w:t>cumulative</w:t>
      </w:r>
      <w:r w:rsidRPr="007C3E7B">
        <w:t xml:space="preserve"> emissions</w:t>
      </w:r>
      <w:r>
        <w:t>, c: population-weighted global carbon price, d: global mean temperature rise</w:t>
      </w:r>
      <w:r>
        <w:br w:type="page"/>
      </w:r>
    </w:p>
    <w:p w14:paraId="065951BB" w14:textId="77777777" w:rsidR="005D7CB2" w:rsidRDefault="005D7CB2" w:rsidP="0026722F">
      <w:pPr>
        <w:pStyle w:val="Heading2"/>
      </w:pPr>
    </w:p>
    <w:p w14:paraId="260BE6F1" w14:textId="51C4BF51" w:rsidR="00C4236E" w:rsidRDefault="005D4642" w:rsidP="0026722F">
      <w:pPr>
        <w:pStyle w:val="Heading2"/>
      </w:pPr>
      <w:r>
        <w:t>SI.</w:t>
      </w:r>
      <w:r w:rsidR="00950D86">
        <w:t>3</w:t>
      </w:r>
      <w:r>
        <w:t>.</w:t>
      </w:r>
      <w:r w:rsidR="00950D86">
        <w:t xml:space="preserve"> </w:t>
      </w:r>
      <w:r w:rsidR="005635DB">
        <w:t xml:space="preserve">Optimum pathways with a carbon budget 633 </w:t>
      </w:r>
      <w:r w:rsidR="005635DB" w:rsidRPr="009703CE">
        <w:t>GtCO</w:t>
      </w:r>
      <w:r w:rsidR="005635DB" w:rsidRPr="009703CE">
        <w:rPr>
          <w:vertAlign w:val="subscript"/>
        </w:rPr>
        <w:t>2</w:t>
      </w:r>
      <w:r w:rsidR="005635DB">
        <w:rPr>
          <w:vertAlign w:val="subscript"/>
        </w:rPr>
        <w:t xml:space="preserve"> </w:t>
      </w:r>
      <w:r w:rsidR="005635DB">
        <w:t xml:space="preserve">across </w:t>
      </w:r>
      <w:r w:rsidR="00973AE0">
        <w:t xml:space="preserve">varying </w:t>
      </w:r>
      <w:r w:rsidR="000D208E">
        <w:t xml:space="preserve">estimates of </w:t>
      </w:r>
      <w:r w:rsidR="00B219CC">
        <w:t xml:space="preserve">damage </w:t>
      </w:r>
      <w:r w:rsidR="000D208E">
        <w:t>costs</w:t>
      </w:r>
    </w:p>
    <w:p w14:paraId="6B128C43" w14:textId="77777777" w:rsidR="0026722F" w:rsidRPr="0026722F" w:rsidRDefault="0026722F" w:rsidP="0026722F"/>
    <w:p w14:paraId="02E84598" w14:textId="6129CA9A" w:rsidR="006877E6" w:rsidRDefault="00A91AA1" w:rsidP="00024104">
      <w:pPr>
        <w:jc w:val="center"/>
        <w:rPr>
          <w:noProof/>
        </w:rPr>
      </w:pPr>
      <w:r w:rsidRPr="0028675E">
        <w:rPr>
          <w:noProof/>
        </w:rPr>
        <w:drawing>
          <wp:inline distT="0" distB="0" distL="0" distR="0" wp14:anchorId="1B4E59D4" wp14:editId="27D8D25D">
            <wp:extent cx="1558137" cy="1385510"/>
            <wp:effectExtent l="0" t="0" r="444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576839" cy="1402140"/>
                    </a:xfrm>
                    <a:prstGeom prst="rect">
                      <a:avLst/>
                    </a:prstGeom>
                  </pic:spPr>
                </pic:pic>
              </a:graphicData>
            </a:graphic>
          </wp:inline>
        </w:drawing>
      </w:r>
      <w:r w:rsidR="006877E6" w:rsidRPr="006877E6">
        <w:rPr>
          <w:noProof/>
        </w:rPr>
        <w:drawing>
          <wp:inline distT="0" distB="0" distL="0" distR="0" wp14:anchorId="0616E04E" wp14:editId="09ABEB82">
            <wp:extent cx="1602398" cy="1380128"/>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629094" cy="1403121"/>
                    </a:xfrm>
                    <a:prstGeom prst="rect">
                      <a:avLst/>
                    </a:prstGeom>
                  </pic:spPr>
                </pic:pic>
              </a:graphicData>
            </a:graphic>
          </wp:inline>
        </w:drawing>
      </w:r>
      <w:r w:rsidR="0028675E" w:rsidRPr="0028675E">
        <w:rPr>
          <w:noProof/>
        </w:rPr>
        <w:t xml:space="preserve"> </w:t>
      </w:r>
    </w:p>
    <w:p w14:paraId="6AE632FA" w14:textId="669D70E9" w:rsidR="00FF3D32" w:rsidRDefault="00D954F5" w:rsidP="00024104">
      <w:pPr>
        <w:jc w:val="center"/>
      </w:pPr>
      <w:r w:rsidRPr="00D954F5">
        <w:rPr>
          <w:noProof/>
        </w:rPr>
        <w:drawing>
          <wp:inline distT="0" distB="0" distL="0" distR="0" wp14:anchorId="54732A98" wp14:editId="0FE122F8">
            <wp:extent cx="1608861" cy="1400667"/>
            <wp:effectExtent l="0" t="0" r="0"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627405" cy="1416812"/>
                    </a:xfrm>
                    <a:prstGeom prst="rect">
                      <a:avLst/>
                    </a:prstGeom>
                  </pic:spPr>
                </pic:pic>
              </a:graphicData>
            </a:graphic>
          </wp:inline>
        </w:drawing>
      </w:r>
      <w:r w:rsidR="00A91AA1" w:rsidRPr="00FF3D32">
        <w:rPr>
          <w:noProof/>
        </w:rPr>
        <w:drawing>
          <wp:inline distT="0" distB="0" distL="0" distR="0" wp14:anchorId="41018CFC" wp14:editId="738A806D">
            <wp:extent cx="1521561" cy="1381474"/>
            <wp:effectExtent l="0" t="0" r="2540"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547048" cy="1404615"/>
                    </a:xfrm>
                    <a:prstGeom prst="rect">
                      <a:avLst/>
                    </a:prstGeom>
                  </pic:spPr>
                </pic:pic>
              </a:graphicData>
            </a:graphic>
          </wp:inline>
        </w:drawing>
      </w:r>
    </w:p>
    <w:p w14:paraId="2CFD4FF4" w14:textId="3CA7CB64" w:rsidR="006877E6" w:rsidRDefault="006877E6" w:rsidP="00A477E4"/>
    <w:p w14:paraId="0C3286A2" w14:textId="2A8C1844" w:rsidR="006877E6" w:rsidRDefault="001F04B9" w:rsidP="00516A37">
      <w:pPr>
        <w:jc w:val="center"/>
      </w:pPr>
      <w:r w:rsidRPr="001F04B9">
        <w:rPr>
          <w:noProof/>
        </w:rPr>
        <w:drawing>
          <wp:inline distT="0" distB="0" distL="0" distR="0" wp14:anchorId="3D5AAC7A" wp14:editId="71CD2356">
            <wp:extent cx="2321781" cy="929381"/>
            <wp:effectExtent l="0" t="0" r="254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349825" cy="940607"/>
                    </a:xfrm>
                    <a:prstGeom prst="rect">
                      <a:avLst/>
                    </a:prstGeom>
                  </pic:spPr>
                </pic:pic>
              </a:graphicData>
            </a:graphic>
          </wp:inline>
        </w:drawing>
      </w:r>
    </w:p>
    <w:p w14:paraId="4CEAFC27" w14:textId="0E13E7B5" w:rsidR="006E36E4" w:rsidRDefault="00516A37" w:rsidP="00F33657">
      <w:pPr>
        <w:pStyle w:val="Caption"/>
        <w:keepNext/>
      </w:pPr>
      <w:r w:rsidRPr="007C3E7B">
        <w:t>Fi</w:t>
      </w:r>
      <w:r>
        <w:t>gure</w:t>
      </w:r>
      <w:r w:rsidRPr="007C3E7B">
        <w:t xml:space="preserve"> </w:t>
      </w:r>
      <w:r>
        <w:t>S</w:t>
      </w:r>
      <w:r w:rsidR="00DC2C94">
        <w:t>I</w:t>
      </w:r>
      <w:r>
        <w:t>.</w:t>
      </w:r>
      <w:r w:rsidR="00DC2C94">
        <w:t>3.</w:t>
      </w:r>
      <w:r w:rsidRPr="007C3E7B">
        <w:t xml:space="preserve"> </w:t>
      </w:r>
      <w:r>
        <w:t xml:space="preserve">Impact of disutility (aversion factor 2) </w:t>
      </w:r>
      <w:r w:rsidR="004E350B">
        <w:t>for low</w:t>
      </w:r>
      <w:r w:rsidR="008A0AFD">
        <w:t>, median,</w:t>
      </w:r>
      <w:r w:rsidR="004E350B">
        <w:t xml:space="preserve"> and high COACCH damage</w:t>
      </w:r>
      <w:r w:rsidR="00A91AA1">
        <w:t xml:space="preserve"> function</w:t>
      </w:r>
      <w:r w:rsidR="004E350B">
        <w:t xml:space="preserve"> estimates</w:t>
      </w:r>
      <w:r w:rsidR="00F33657">
        <w:t>.</w:t>
      </w:r>
      <w:r w:rsidR="00F33657" w:rsidRPr="00524E87">
        <w:t xml:space="preserve"> </w:t>
      </w:r>
      <w:r w:rsidR="00F33657" w:rsidRPr="007C3E7B">
        <w:t xml:space="preserve">Panels, a: </w:t>
      </w:r>
      <w:r w:rsidR="00F33657">
        <w:t xml:space="preserve">net </w:t>
      </w:r>
      <w:r w:rsidR="00F33657" w:rsidRPr="007C3E7B">
        <w:t>annual</w:t>
      </w:r>
      <w:r w:rsidR="00F33657">
        <w:t xml:space="preserve"> emissions, b</w:t>
      </w:r>
      <w:r w:rsidR="00F33657" w:rsidRPr="007C3E7B">
        <w:t>:</w:t>
      </w:r>
      <w:r w:rsidR="00F33657" w:rsidRPr="002D191F">
        <w:t xml:space="preserve"> </w:t>
      </w:r>
      <w:r w:rsidR="00F33657">
        <w:t>cumulative</w:t>
      </w:r>
      <w:r w:rsidR="00F33657" w:rsidRPr="007C3E7B">
        <w:t xml:space="preserve"> emissions</w:t>
      </w:r>
      <w:r w:rsidR="00F33657">
        <w:t>, c: population-weighted global carbon price, d: global mean temperature rise</w:t>
      </w:r>
    </w:p>
    <w:p w14:paraId="687FF0BC" w14:textId="10CF21D2" w:rsidR="00573691" w:rsidRDefault="005D4642" w:rsidP="001F3E8C">
      <w:pPr>
        <w:pStyle w:val="Heading2"/>
      </w:pPr>
      <w:r>
        <w:t>SI.4.</w:t>
      </w:r>
      <w:r w:rsidR="00EE7396">
        <w:t xml:space="preserve"> Optimum pathways with a carbon budget 633 </w:t>
      </w:r>
      <w:r w:rsidR="00EE7396" w:rsidRPr="009703CE">
        <w:t>GtCO</w:t>
      </w:r>
      <w:r w:rsidR="00EE7396" w:rsidRPr="009703CE">
        <w:rPr>
          <w:vertAlign w:val="subscript"/>
        </w:rPr>
        <w:t>2</w:t>
      </w:r>
      <w:r w:rsidR="00EE7396">
        <w:rPr>
          <w:vertAlign w:val="subscript"/>
        </w:rPr>
        <w:t xml:space="preserve"> </w:t>
      </w:r>
      <w:r w:rsidR="00EE7396">
        <w:t xml:space="preserve">across </w:t>
      </w:r>
      <w:r w:rsidR="00FE3D12">
        <w:t>varying discount rates</w:t>
      </w:r>
    </w:p>
    <w:p w14:paraId="6164F71F" w14:textId="77777777" w:rsidR="001F3E8C" w:rsidRPr="001F3E8C" w:rsidRDefault="001F3E8C" w:rsidP="001F3E8C"/>
    <w:p w14:paraId="24DBFC36" w14:textId="1D55086E" w:rsidR="00573691" w:rsidRDefault="00AD37CE" w:rsidP="00BF5B75">
      <w:pPr>
        <w:jc w:val="center"/>
        <w:rPr>
          <w:noProof/>
        </w:rPr>
      </w:pPr>
      <w:r w:rsidRPr="00AD37CE">
        <w:rPr>
          <w:noProof/>
        </w:rPr>
        <w:drawing>
          <wp:inline distT="0" distB="0" distL="0" distR="0" wp14:anchorId="699B4D37" wp14:editId="4AC5EB46">
            <wp:extent cx="1472731" cy="1307117"/>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496117" cy="1327874"/>
                    </a:xfrm>
                    <a:prstGeom prst="rect">
                      <a:avLst/>
                    </a:prstGeom>
                  </pic:spPr>
                </pic:pic>
              </a:graphicData>
            </a:graphic>
          </wp:inline>
        </w:drawing>
      </w:r>
      <w:r w:rsidR="00573691" w:rsidRPr="00573691">
        <w:rPr>
          <w:noProof/>
        </w:rPr>
        <w:drawing>
          <wp:inline distT="0" distB="0" distL="0" distR="0" wp14:anchorId="53FA4E82" wp14:editId="2E4BAD55">
            <wp:extent cx="1453019" cy="1256623"/>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490561" cy="1289090"/>
                    </a:xfrm>
                    <a:prstGeom prst="rect">
                      <a:avLst/>
                    </a:prstGeom>
                  </pic:spPr>
                </pic:pic>
              </a:graphicData>
            </a:graphic>
          </wp:inline>
        </w:drawing>
      </w:r>
      <w:r w:rsidRPr="00AD37CE">
        <w:rPr>
          <w:noProof/>
        </w:rPr>
        <w:t xml:space="preserve"> </w:t>
      </w:r>
    </w:p>
    <w:p w14:paraId="623137E1" w14:textId="58D541BC" w:rsidR="00AD37CE" w:rsidRDefault="007A6AD8" w:rsidP="00BF5B75">
      <w:pPr>
        <w:jc w:val="center"/>
      </w:pPr>
      <w:r w:rsidRPr="007A6AD8">
        <w:rPr>
          <w:noProof/>
        </w:rPr>
        <w:lastRenderedPageBreak/>
        <w:drawing>
          <wp:inline distT="0" distB="0" distL="0" distR="0" wp14:anchorId="7CE47994" wp14:editId="00B6E9D6">
            <wp:extent cx="1623407" cy="1405777"/>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650352" cy="1429110"/>
                    </a:xfrm>
                    <a:prstGeom prst="rect">
                      <a:avLst/>
                    </a:prstGeom>
                  </pic:spPr>
                </pic:pic>
              </a:graphicData>
            </a:graphic>
          </wp:inline>
        </w:drawing>
      </w:r>
      <w:r w:rsidR="00EE7396" w:rsidRPr="00EE7396">
        <w:rPr>
          <w:noProof/>
        </w:rPr>
        <w:t xml:space="preserve"> </w:t>
      </w:r>
      <w:r w:rsidR="00EE7396" w:rsidRPr="00EE7396">
        <w:rPr>
          <w:noProof/>
        </w:rPr>
        <w:drawing>
          <wp:inline distT="0" distB="0" distL="0" distR="0" wp14:anchorId="0867A7C0" wp14:editId="00E569F8">
            <wp:extent cx="1540701" cy="1406363"/>
            <wp:effectExtent l="0" t="0" r="254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553114" cy="1417694"/>
                    </a:xfrm>
                    <a:prstGeom prst="rect">
                      <a:avLst/>
                    </a:prstGeom>
                  </pic:spPr>
                </pic:pic>
              </a:graphicData>
            </a:graphic>
          </wp:inline>
        </w:drawing>
      </w:r>
    </w:p>
    <w:p w14:paraId="7BE11D9C" w14:textId="23522154" w:rsidR="00BF5B75" w:rsidRDefault="00BF5B75" w:rsidP="00BF5B75">
      <w:pPr>
        <w:jc w:val="center"/>
      </w:pPr>
      <w:r w:rsidRPr="00BF5B75">
        <w:rPr>
          <w:noProof/>
        </w:rPr>
        <w:drawing>
          <wp:inline distT="0" distB="0" distL="0" distR="0" wp14:anchorId="28B00D8E" wp14:editId="271C3D75">
            <wp:extent cx="1506294" cy="929666"/>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527004" cy="942448"/>
                    </a:xfrm>
                    <a:prstGeom prst="rect">
                      <a:avLst/>
                    </a:prstGeom>
                  </pic:spPr>
                </pic:pic>
              </a:graphicData>
            </a:graphic>
          </wp:inline>
        </w:drawing>
      </w:r>
    </w:p>
    <w:p w14:paraId="52B8B249" w14:textId="25D6E0B1" w:rsidR="00973AE0" w:rsidRDefault="00973AE0" w:rsidP="00973AE0">
      <w:pPr>
        <w:pStyle w:val="Caption"/>
        <w:keepNext/>
      </w:pPr>
      <w:r w:rsidRPr="007C3E7B">
        <w:t>Fi</w:t>
      </w:r>
      <w:r>
        <w:t>gure</w:t>
      </w:r>
      <w:r w:rsidRPr="007C3E7B">
        <w:t xml:space="preserve"> </w:t>
      </w:r>
      <w:r>
        <w:t>S</w:t>
      </w:r>
      <w:r w:rsidR="00DC2C94">
        <w:t>I</w:t>
      </w:r>
      <w:r>
        <w:t>.</w:t>
      </w:r>
      <w:r w:rsidR="00DC2C94">
        <w:t>4.</w:t>
      </w:r>
      <w:r w:rsidRPr="007C3E7B">
        <w:t xml:space="preserve"> </w:t>
      </w:r>
      <w:r>
        <w:t xml:space="preserve">Impact of disutility (aversion factor 2) for </w:t>
      </w:r>
      <w:r w:rsidR="005F30BE">
        <w:t>varying discount rates (PRTP)</w:t>
      </w:r>
      <w:r>
        <w:t>.</w:t>
      </w:r>
      <w:r w:rsidRPr="00524E87">
        <w:t xml:space="preserve"> </w:t>
      </w:r>
      <w:r w:rsidRPr="007C3E7B">
        <w:t xml:space="preserve">Panels, a: </w:t>
      </w:r>
      <w:r>
        <w:t xml:space="preserve">net </w:t>
      </w:r>
      <w:r w:rsidRPr="007C3E7B">
        <w:t>annual</w:t>
      </w:r>
      <w:r>
        <w:t xml:space="preserve"> emissions, b</w:t>
      </w:r>
      <w:r w:rsidRPr="007C3E7B">
        <w:t>:</w:t>
      </w:r>
      <w:r w:rsidRPr="002D191F">
        <w:t xml:space="preserve"> </w:t>
      </w:r>
      <w:r>
        <w:t>cumulative</w:t>
      </w:r>
      <w:r w:rsidRPr="007C3E7B">
        <w:t xml:space="preserve"> emissions</w:t>
      </w:r>
      <w:r>
        <w:t>, c: population-weighted global carbon price, d: global mean temperature rise</w:t>
      </w:r>
    </w:p>
    <w:p w14:paraId="3F76AC36" w14:textId="696F56A2" w:rsidR="00865D6D" w:rsidRPr="00865D6D" w:rsidRDefault="00865D6D" w:rsidP="00865D6D">
      <w:pPr>
        <w:rPr>
          <w:b/>
          <w:bCs/>
        </w:rPr>
      </w:pPr>
      <w:r w:rsidRPr="00865D6D">
        <w:rPr>
          <w:b/>
          <w:bCs/>
        </w:rPr>
        <w:t>References</w:t>
      </w:r>
    </w:p>
    <w:p w14:paraId="18C16859" w14:textId="1C76E3D5" w:rsidR="00295DF7" w:rsidRPr="00295DF7" w:rsidRDefault="00295DF7" w:rsidP="00295DF7">
      <w:pPr>
        <w:widowControl w:val="0"/>
        <w:autoSpaceDE w:val="0"/>
        <w:autoSpaceDN w:val="0"/>
        <w:adjustRightInd w:val="0"/>
        <w:spacing w:line="240" w:lineRule="auto"/>
        <w:ind w:left="640" w:hanging="640"/>
        <w:rPr>
          <w:rFonts w:ascii="Calibri" w:hAnsi="Calibri" w:cs="Calibri"/>
          <w:noProof/>
          <w:szCs w:val="24"/>
        </w:rPr>
      </w:pPr>
      <w:r>
        <w:fldChar w:fldCharType="begin" w:fldLock="1"/>
      </w:r>
      <w:r>
        <w:instrText xml:space="preserve">ADDIN Mendeley Bibliography CSL_BIBLIOGRAPHY </w:instrText>
      </w:r>
      <w:r>
        <w:fldChar w:fldCharType="separate"/>
      </w:r>
      <w:r w:rsidRPr="00295DF7">
        <w:rPr>
          <w:rFonts w:ascii="Calibri" w:hAnsi="Calibri" w:cs="Calibri"/>
          <w:noProof/>
          <w:szCs w:val="24"/>
        </w:rPr>
        <w:t>1.</w:t>
      </w:r>
      <w:r w:rsidRPr="00295DF7">
        <w:rPr>
          <w:rFonts w:ascii="Calibri" w:hAnsi="Calibri" w:cs="Calibri"/>
          <w:noProof/>
          <w:szCs w:val="24"/>
        </w:rPr>
        <w:tab/>
        <w:t xml:space="preserve">Tol, R. S. J., Downing, T. E., Kuik, O. J. &amp; Smith, J. B. Distributional aspects of climate change impacts. </w:t>
      </w:r>
      <w:r w:rsidRPr="00295DF7">
        <w:rPr>
          <w:rFonts w:ascii="Calibri" w:hAnsi="Calibri" w:cs="Calibri"/>
          <w:i/>
          <w:iCs/>
          <w:noProof/>
          <w:szCs w:val="24"/>
        </w:rPr>
        <w:t>Glob. Environ. Chang.</w:t>
      </w:r>
      <w:r w:rsidRPr="00295DF7">
        <w:rPr>
          <w:rFonts w:ascii="Calibri" w:hAnsi="Calibri" w:cs="Calibri"/>
          <w:noProof/>
          <w:szCs w:val="24"/>
        </w:rPr>
        <w:t xml:space="preserve"> </w:t>
      </w:r>
      <w:r w:rsidRPr="00295DF7">
        <w:rPr>
          <w:rFonts w:ascii="Calibri" w:hAnsi="Calibri" w:cs="Calibri"/>
          <w:b/>
          <w:bCs/>
          <w:noProof/>
          <w:szCs w:val="24"/>
        </w:rPr>
        <w:t>14</w:t>
      </w:r>
      <w:r w:rsidRPr="00295DF7">
        <w:rPr>
          <w:rFonts w:ascii="Calibri" w:hAnsi="Calibri" w:cs="Calibri"/>
          <w:noProof/>
          <w:szCs w:val="24"/>
        </w:rPr>
        <w:t>, 259–272 (2004).</w:t>
      </w:r>
    </w:p>
    <w:p w14:paraId="4ECCD3FB" w14:textId="77777777" w:rsidR="00295DF7" w:rsidRPr="00295DF7" w:rsidRDefault="00295DF7" w:rsidP="00295DF7">
      <w:pPr>
        <w:widowControl w:val="0"/>
        <w:autoSpaceDE w:val="0"/>
        <w:autoSpaceDN w:val="0"/>
        <w:adjustRightInd w:val="0"/>
        <w:spacing w:line="240" w:lineRule="auto"/>
        <w:ind w:left="640" w:hanging="640"/>
        <w:rPr>
          <w:rFonts w:ascii="Calibri" w:hAnsi="Calibri" w:cs="Calibri"/>
          <w:noProof/>
        </w:rPr>
      </w:pPr>
      <w:r w:rsidRPr="00295DF7">
        <w:rPr>
          <w:rFonts w:ascii="Calibri" w:hAnsi="Calibri" w:cs="Calibri"/>
          <w:noProof/>
          <w:szCs w:val="24"/>
        </w:rPr>
        <w:t>2.</w:t>
      </w:r>
      <w:r w:rsidRPr="00295DF7">
        <w:rPr>
          <w:rFonts w:ascii="Calibri" w:hAnsi="Calibri" w:cs="Calibri"/>
          <w:noProof/>
          <w:szCs w:val="24"/>
        </w:rPr>
        <w:tab/>
        <w:t xml:space="preserve">Kwakkel, J. H. The Exploratory Modeling Workbench: An open source toolkit for exploratory modeling, scenario discovery, and (multi-objective) robust decision making. </w:t>
      </w:r>
      <w:r w:rsidRPr="00295DF7">
        <w:rPr>
          <w:rFonts w:ascii="Calibri" w:hAnsi="Calibri" w:cs="Calibri"/>
          <w:i/>
          <w:iCs/>
          <w:noProof/>
          <w:szCs w:val="24"/>
        </w:rPr>
        <w:t>Environ. Model. Softw.</w:t>
      </w:r>
      <w:r w:rsidRPr="00295DF7">
        <w:rPr>
          <w:rFonts w:ascii="Calibri" w:hAnsi="Calibri" w:cs="Calibri"/>
          <w:noProof/>
          <w:szCs w:val="24"/>
        </w:rPr>
        <w:t xml:space="preserve"> </w:t>
      </w:r>
      <w:r w:rsidRPr="00295DF7">
        <w:rPr>
          <w:rFonts w:ascii="Calibri" w:hAnsi="Calibri" w:cs="Calibri"/>
          <w:b/>
          <w:bCs/>
          <w:noProof/>
          <w:szCs w:val="24"/>
        </w:rPr>
        <w:t>96</w:t>
      </w:r>
      <w:r w:rsidRPr="00295DF7">
        <w:rPr>
          <w:rFonts w:ascii="Calibri" w:hAnsi="Calibri" w:cs="Calibri"/>
          <w:noProof/>
          <w:szCs w:val="24"/>
        </w:rPr>
        <w:t>, 239–250 (2017).</w:t>
      </w:r>
    </w:p>
    <w:p w14:paraId="20D56005" w14:textId="65592285" w:rsidR="00973AE0" w:rsidRPr="00AD5D99" w:rsidRDefault="00295DF7" w:rsidP="00295DF7">
      <w:r>
        <w:fldChar w:fldCharType="end"/>
      </w:r>
    </w:p>
    <w:sectPr w:rsidR="00973AE0" w:rsidRPr="00AD5D99" w:rsidSect="000754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FC6D9E"/>
    <w:multiLevelType w:val="hybridMultilevel"/>
    <w:tmpl w:val="BDE801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NotDisplayPageBoundaries/>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tDQzMDYzNjGyNLEwMDNU0lEKTi0uzszPAykwrQUAK5Mk1iwAAAA="/>
  </w:docVars>
  <w:rsids>
    <w:rsidRoot w:val="003B62F1"/>
    <w:rsid w:val="00015ED2"/>
    <w:rsid w:val="00024104"/>
    <w:rsid w:val="00050CBC"/>
    <w:rsid w:val="000609E6"/>
    <w:rsid w:val="000754D7"/>
    <w:rsid w:val="000969E0"/>
    <w:rsid w:val="00096E10"/>
    <w:rsid w:val="000A4591"/>
    <w:rsid w:val="000D208E"/>
    <w:rsid w:val="000F03DD"/>
    <w:rsid w:val="00124BD1"/>
    <w:rsid w:val="00150C10"/>
    <w:rsid w:val="00161A9F"/>
    <w:rsid w:val="00170C8A"/>
    <w:rsid w:val="001A7C82"/>
    <w:rsid w:val="001B4C15"/>
    <w:rsid w:val="001E09AF"/>
    <w:rsid w:val="001F04B9"/>
    <w:rsid w:val="001F3E8C"/>
    <w:rsid w:val="0020391E"/>
    <w:rsid w:val="00225959"/>
    <w:rsid w:val="00236583"/>
    <w:rsid w:val="0024123E"/>
    <w:rsid w:val="002527AA"/>
    <w:rsid w:val="00262C8D"/>
    <w:rsid w:val="0026722F"/>
    <w:rsid w:val="00271DEC"/>
    <w:rsid w:val="0028675E"/>
    <w:rsid w:val="00295DF7"/>
    <w:rsid w:val="002C4BE8"/>
    <w:rsid w:val="003007D0"/>
    <w:rsid w:val="003025F9"/>
    <w:rsid w:val="003252AB"/>
    <w:rsid w:val="00356DED"/>
    <w:rsid w:val="00366644"/>
    <w:rsid w:val="003B62F1"/>
    <w:rsid w:val="003C35AE"/>
    <w:rsid w:val="003F0C21"/>
    <w:rsid w:val="003F3858"/>
    <w:rsid w:val="00431903"/>
    <w:rsid w:val="004408C6"/>
    <w:rsid w:val="0046235E"/>
    <w:rsid w:val="004675CA"/>
    <w:rsid w:val="004729B5"/>
    <w:rsid w:val="004E350B"/>
    <w:rsid w:val="00516A37"/>
    <w:rsid w:val="005635DB"/>
    <w:rsid w:val="00573691"/>
    <w:rsid w:val="005A3E84"/>
    <w:rsid w:val="005D4642"/>
    <w:rsid w:val="005D7CB2"/>
    <w:rsid w:val="005F0472"/>
    <w:rsid w:val="005F30BE"/>
    <w:rsid w:val="00601306"/>
    <w:rsid w:val="006100E0"/>
    <w:rsid w:val="00626731"/>
    <w:rsid w:val="00635CD9"/>
    <w:rsid w:val="00636A92"/>
    <w:rsid w:val="00665E8A"/>
    <w:rsid w:val="006877E6"/>
    <w:rsid w:val="006A4781"/>
    <w:rsid w:val="006B149C"/>
    <w:rsid w:val="006B61F7"/>
    <w:rsid w:val="006E36E4"/>
    <w:rsid w:val="007065F4"/>
    <w:rsid w:val="0074485A"/>
    <w:rsid w:val="007763B0"/>
    <w:rsid w:val="007A2072"/>
    <w:rsid w:val="007A4C8E"/>
    <w:rsid w:val="007A6AD8"/>
    <w:rsid w:val="007B4D01"/>
    <w:rsid w:val="007E0C62"/>
    <w:rsid w:val="007E3CBA"/>
    <w:rsid w:val="007E54D6"/>
    <w:rsid w:val="008179B3"/>
    <w:rsid w:val="00817EBB"/>
    <w:rsid w:val="00820158"/>
    <w:rsid w:val="00827B82"/>
    <w:rsid w:val="00854837"/>
    <w:rsid w:val="00865D6D"/>
    <w:rsid w:val="00866C03"/>
    <w:rsid w:val="008745DA"/>
    <w:rsid w:val="008A0AFD"/>
    <w:rsid w:val="008F06ED"/>
    <w:rsid w:val="008F4248"/>
    <w:rsid w:val="0090781F"/>
    <w:rsid w:val="00907E78"/>
    <w:rsid w:val="00926C74"/>
    <w:rsid w:val="00950D86"/>
    <w:rsid w:val="009514CC"/>
    <w:rsid w:val="00973AE0"/>
    <w:rsid w:val="009A583E"/>
    <w:rsid w:val="009A662F"/>
    <w:rsid w:val="009B378F"/>
    <w:rsid w:val="009B3F08"/>
    <w:rsid w:val="009E6A0C"/>
    <w:rsid w:val="00A005E5"/>
    <w:rsid w:val="00A0418B"/>
    <w:rsid w:val="00A27442"/>
    <w:rsid w:val="00A477E4"/>
    <w:rsid w:val="00A50E83"/>
    <w:rsid w:val="00A87066"/>
    <w:rsid w:val="00A91AA1"/>
    <w:rsid w:val="00AB2B79"/>
    <w:rsid w:val="00AD37CE"/>
    <w:rsid w:val="00AD5D99"/>
    <w:rsid w:val="00AE1CD5"/>
    <w:rsid w:val="00AF059C"/>
    <w:rsid w:val="00B219CC"/>
    <w:rsid w:val="00B23B94"/>
    <w:rsid w:val="00B24916"/>
    <w:rsid w:val="00B3511A"/>
    <w:rsid w:val="00B42926"/>
    <w:rsid w:val="00B54164"/>
    <w:rsid w:val="00B8359C"/>
    <w:rsid w:val="00BB4312"/>
    <w:rsid w:val="00BC47D5"/>
    <w:rsid w:val="00BD7DD4"/>
    <w:rsid w:val="00BE6FCE"/>
    <w:rsid w:val="00BF5B75"/>
    <w:rsid w:val="00BF5DC4"/>
    <w:rsid w:val="00C03FB8"/>
    <w:rsid w:val="00C04AA1"/>
    <w:rsid w:val="00C17022"/>
    <w:rsid w:val="00C23300"/>
    <w:rsid w:val="00C4236E"/>
    <w:rsid w:val="00C45388"/>
    <w:rsid w:val="00C47859"/>
    <w:rsid w:val="00C63214"/>
    <w:rsid w:val="00CA7A5D"/>
    <w:rsid w:val="00CD6A56"/>
    <w:rsid w:val="00CF2F3F"/>
    <w:rsid w:val="00D14C85"/>
    <w:rsid w:val="00D22E01"/>
    <w:rsid w:val="00D237BB"/>
    <w:rsid w:val="00D658C1"/>
    <w:rsid w:val="00D92B32"/>
    <w:rsid w:val="00D954F5"/>
    <w:rsid w:val="00DC2C94"/>
    <w:rsid w:val="00DD2220"/>
    <w:rsid w:val="00DE0605"/>
    <w:rsid w:val="00DE3C2C"/>
    <w:rsid w:val="00E0031E"/>
    <w:rsid w:val="00E140BB"/>
    <w:rsid w:val="00E256EB"/>
    <w:rsid w:val="00E302BB"/>
    <w:rsid w:val="00E32325"/>
    <w:rsid w:val="00E62304"/>
    <w:rsid w:val="00E81F7D"/>
    <w:rsid w:val="00E86F94"/>
    <w:rsid w:val="00E941FE"/>
    <w:rsid w:val="00EA44ED"/>
    <w:rsid w:val="00EA4CF0"/>
    <w:rsid w:val="00EC2A13"/>
    <w:rsid w:val="00EE4021"/>
    <w:rsid w:val="00EE7396"/>
    <w:rsid w:val="00EF1BC6"/>
    <w:rsid w:val="00EF6021"/>
    <w:rsid w:val="00F133AF"/>
    <w:rsid w:val="00F21D5D"/>
    <w:rsid w:val="00F33657"/>
    <w:rsid w:val="00F33A43"/>
    <w:rsid w:val="00FA203B"/>
    <w:rsid w:val="00FD22D0"/>
    <w:rsid w:val="00FE3D12"/>
    <w:rsid w:val="00FF3D32"/>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5703E"/>
  <w15:chartTrackingRefBased/>
  <w15:docId w15:val="{8A52116A-A7EF-478E-8BB1-398B75F7F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36E4"/>
  </w:style>
  <w:style w:type="paragraph" w:styleId="Heading2">
    <w:name w:val="heading 2"/>
    <w:basedOn w:val="Normal"/>
    <w:next w:val="Normal"/>
    <w:link w:val="Heading2Char"/>
    <w:uiPriority w:val="9"/>
    <w:unhideWhenUsed/>
    <w:qFormat/>
    <w:rsid w:val="00170C8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70C8A"/>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817EBB"/>
    <w:rPr>
      <w:sz w:val="16"/>
      <w:szCs w:val="16"/>
    </w:rPr>
  </w:style>
  <w:style w:type="paragraph" w:styleId="CommentText">
    <w:name w:val="annotation text"/>
    <w:basedOn w:val="Normal"/>
    <w:link w:val="CommentTextChar"/>
    <w:uiPriority w:val="99"/>
    <w:unhideWhenUsed/>
    <w:rsid w:val="00817EBB"/>
    <w:pPr>
      <w:spacing w:before="120" w:after="200" w:line="240" w:lineRule="auto"/>
      <w:jc w:val="both"/>
    </w:pPr>
    <w:rPr>
      <w:rFonts w:ascii="Verdana" w:eastAsiaTheme="minorEastAsia" w:hAnsi="Verdana"/>
      <w:sz w:val="20"/>
      <w:szCs w:val="20"/>
    </w:rPr>
  </w:style>
  <w:style w:type="character" w:customStyle="1" w:styleId="CommentTextChar">
    <w:name w:val="Comment Text Char"/>
    <w:basedOn w:val="DefaultParagraphFont"/>
    <w:link w:val="CommentText"/>
    <w:uiPriority w:val="99"/>
    <w:rsid w:val="00817EBB"/>
    <w:rPr>
      <w:rFonts w:ascii="Verdana" w:eastAsiaTheme="minorEastAsia" w:hAnsi="Verdana"/>
      <w:sz w:val="20"/>
      <w:szCs w:val="20"/>
    </w:rPr>
  </w:style>
  <w:style w:type="paragraph" w:styleId="Caption">
    <w:name w:val="caption"/>
    <w:basedOn w:val="Normal"/>
    <w:next w:val="Normal"/>
    <w:uiPriority w:val="35"/>
    <w:unhideWhenUsed/>
    <w:qFormat/>
    <w:rsid w:val="00124BD1"/>
    <w:pPr>
      <w:spacing w:after="200" w:line="240" w:lineRule="auto"/>
    </w:pPr>
    <w:rPr>
      <w:i/>
      <w:iCs/>
      <w:color w:val="44546A" w:themeColor="text2"/>
      <w:sz w:val="18"/>
      <w:szCs w:val="18"/>
    </w:rPr>
  </w:style>
  <w:style w:type="character" w:styleId="Hyperlink">
    <w:name w:val="Hyperlink"/>
    <w:basedOn w:val="DefaultParagraphFont"/>
    <w:uiPriority w:val="99"/>
    <w:semiHidden/>
    <w:unhideWhenUsed/>
    <w:rsid w:val="00DD2220"/>
    <w:rPr>
      <w:color w:val="0000FF"/>
      <w:u w:val="single"/>
    </w:rPr>
  </w:style>
  <w:style w:type="paragraph" w:styleId="Title">
    <w:name w:val="Title"/>
    <w:basedOn w:val="Normal"/>
    <w:next w:val="Normal"/>
    <w:link w:val="TitleChar"/>
    <w:uiPriority w:val="10"/>
    <w:qFormat/>
    <w:rsid w:val="00DD222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2220"/>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0832902">
      <w:bodyDiv w:val="1"/>
      <w:marLeft w:val="0"/>
      <w:marRight w:val="0"/>
      <w:marTop w:val="0"/>
      <w:marBottom w:val="0"/>
      <w:divBdr>
        <w:top w:val="none" w:sz="0" w:space="0" w:color="auto"/>
        <w:left w:val="none" w:sz="0" w:space="0" w:color="auto"/>
        <w:bottom w:val="none" w:sz="0" w:space="0" w:color="auto"/>
        <w:right w:val="none" w:sz="0" w:space="0" w:color="auto"/>
      </w:divBdr>
      <w:divsChild>
        <w:div w:id="414018309">
          <w:marLeft w:val="0"/>
          <w:marRight w:val="0"/>
          <w:marTop w:val="0"/>
          <w:marBottom w:val="0"/>
          <w:divBdr>
            <w:top w:val="none" w:sz="0" w:space="0" w:color="auto"/>
            <w:left w:val="none" w:sz="0" w:space="0" w:color="auto"/>
            <w:bottom w:val="none" w:sz="0" w:space="0" w:color="auto"/>
            <w:right w:val="none" w:sz="0" w:space="0" w:color="auto"/>
          </w:divBdr>
          <w:divsChild>
            <w:div w:id="51223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244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tyles" Target="style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s.g.kulkarni@uu.nl" TargetMode="Externa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ABECC-7D88-4A8E-B073-3E9316E75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1142</Words>
  <Characters>6510</Characters>
  <Application>Microsoft Office Word</Application>
  <DocSecurity>0</DocSecurity>
  <Lines>54</Lines>
  <Paragraphs>15</Paragraphs>
  <ScaleCrop>false</ScaleCrop>
  <Company/>
  <LinksUpToDate>false</LinksUpToDate>
  <CharactersWithSpaces>7637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Kulkarni, S.G. (Shridhar)</dc:creator>
  <cp:keywords/>
  <dc:description/>
  <cp:lastModifiedBy>Kulkarni, S.G. (Shridhar)</cp:lastModifiedBy>
  <cp:revision>55</cp:revision>
  <dcterms:created xsi:type="dcterms:W3CDTF">2022-06-20T09:38:00Z</dcterms:created>
  <dcterms:modified xsi:type="dcterms:W3CDTF">2022-06-23T07:33:00Z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http://www.zotero.org/styles/national-library-of-medicine</vt:lpwstr>
  </property>
  <property fmtid="{D5CDD505-2E9C-101B-9397-08002B2CF9AE}" pid="15" name="Mendeley Recent Style Name 6_1">
    <vt:lpwstr>National Library of Medicine</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http://www.zotero.org/styles/plos-medicine</vt:lpwstr>
  </property>
  <property fmtid="{D5CDD505-2E9C-101B-9397-08002B2CF9AE}" pid="19" name="Mendeley Recent Style Name 8_1">
    <vt:lpwstr>PLOS Medicine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bbf04fce-2856-3761-aba7-492cdc7c020c</vt:lpwstr>
  </property>
  <property fmtid="{D5CDD505-2E9C-101B-9397-08002B2CF9AE}" pid="24" name="Mendeley Citation Style_1">
    <vt:lpwstr>http://www.zotero.org/styles/nature</vt:lpwstr>
  </property>
</Properties>
</file>