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A4452" w14:textId="766EE8F4" w:rsidR="00EB663D" w:rsidRPr="00C032DE" w:rsidRDefault="00EB663D" w:rsidP="00EB663D">
      <w:pPr>
        <w:pStyle w:val="Titel"/>
        <w:spacing w:line="480" w:lineRule="auto"/>
        <w:rPr>
          <w:rFonts w:ascii="Calisto MT" w:hAnsi="Calisto MT" w:cs="Times New Roman"/>
          <w:sz w:val="40"/>
          <w:szCs w:val="40"/>
          <w:lang w:val="en-GB"/>
        </w:rPr>
      </w:pPr>
      <w:bookmarkStart w:id="0" w:name="_Toc244254003"/>
      <w:r w:rsidRPr="00C032DE">
        <w:rPr>
          <w:rFonts w:ascii="Calisto MT" w:hAnsi="Calisto MT" w:cs="Times New Roman"/>
          <w:sz w:val="40"/>
          <w:szCs w:val="40"/>
          <w:lang w:val="en-GB"/>
        </w:rPr>
        <w:t xml:space="preserve">Detailed statistical analysis plan for the </w:t>
      </w:r>
      <w:r w:rsidRPr="00DD1267">
        <w:rPr>
          <w:rFonts w:ascii="Calisto MT" w:hAnsi="Calisto MT" w:cs="Times New Roman"/>
          <w:sz w:val="40"/>
          <w:szCs w:val="40"/>
          <w:u w:val="single"/>
          <w:lang w:val="en-GB"/>
        </w:rPr>
        <w:t>N</w:t>
      </w:r>
      <w:r>
        <w:rPr>
          <w:rFonts w:ascii="Calisto MT" w:hAnsi="Calisto MT" w:cs="Times New Roman"/>
          <w:sz w:val="40"/>
          <w:szCs w:val="40"/>
          <w:lang w:val="en-GB"/>
        </w:rPr>
        <w:t xml:space="preserve">eurological complications in </w:t>
      </w:r>
      <w:r w:rsidRPr="00DD1267">
        <w:rPr>
          <w:rFonts w:ascii="Calisto MT" w:hAnsi="Calisto MT" w:cs="Times New Roman"/>
          <w:sz w:val="40"/>
          <w:szCs w:val="40"/>
          <w:u w:val="single"/>
          <w:lang w:val="en-GB"/>
        </w:rPr>
        <w:t>E</w:t>
      </w:r>
      <w:r>
        <w:rPr>
          <w:rFonts w:ascii="Calisto MT" w:hAnsi="Calisto MT" w:cs="Times New Roman"/>
          <w:sz w:val="40"/>
          <w:szCs w:val="40"/>
          <w:lang w:val="en-GB"/>
        </w:rPr>
        <w:t xml:space="preserve">ndoscopic versus </w:t>
      </w:r>
      <w:r w:rsidRPr="00DD1267">
        <w:rPr>
          <w:rFonts w:ascii="Calisto MT" w:hAnsi="Calisto MT" w:cs="Times New Roman"/>
          <w:sz w:val="40"/>
          <w:szCs w:val="40"/>
          <w:u w:val="single"/>
          <w:lang w:val="en-GB"/>
        </w:rPr>
        <w:t>O</w:t>
      </w:r>
      <w:r>
        <w:rPr>
          <w:rFonts w:ascii="Calisto MT" w:hAnsi="Calisto MT" w:cs="Times New Roman"/>
          <w:sz w:val="40"/>
          <w:szCs w:val="40"/>
          <w:lang w:val="en-GB"/>
        </w:rPr>
        <w:t>pen radial artery harvest (</w:t>
      </w:r>
      <w:r w:rsidRPr="00C032DE">
        <w:rPr>
          <w:rFonts w:ascii="Calisto MT" w:hAnsi="Calisto MT" w:cs="Times New Roman"/>
          <w:sz w:val="40"/>
          <w:szCs w:val="40"/>
          <w:lang w:val="en-GB"/>
        </w:rPr>
        <w:t>NEO</w:t>
      </w:r>
      <w:r>
        <w:rPr>
          <w:rFonts w:ascii="Calisto MT" w:hAnsi="Calisto MT" w:cs="Times New Roman"/>
          <w:sz w:val="40"/>
          <w:szCs w:val="40"/>
          <w:lang w:val="en-GB"/>
        </w:rPr>
        <w:t>)</w:t>
      </w:r>
      <w:r w:rsidRPr="00C032DE">
        <w:rPr>
          <w:rFonts w:ascii="Calisto MT" w:hAnsi="Calisto MT" w:cs="Times New Roman"/>
          <w:sz w:val="40"/>
          <w:szCs w:val="40"/>
          <w:lang w:val="en-GB"/>
        </w:rPr>
        <w:t xml:space="preserve"> </w:t>
      </w:r>
      <w:r>
        <w:rPr>
          <w:rFonts w:ascii="Calisto MT" w:hAnsi="Calisto MT" w:cs="Times New Roman"/>
          <w:sz w:val="40"/>
          <w:szCs w:val="40"/>
          <w:lang w:val="en-GB"/>
        </w:rPr>
        <w:t>randomised clinical t</w:t>
      </w:r>
      <w:r w:rsidRPr="00C032DE">
        <w:rPr>
          <w:rFonts w:ascii="Calisto MT" w:hAnsi="Calisto MT" w:cs="Times New Roman"/>
          <w:sz w:val="40"/>
          <w:szCs w:val="40"/>
          <w:lang w:val="en-GB"/>
        </w:rPr>
        <w:t>rial</w:t>
      </w:r>
      <w:r>
        <w:rPr>
          <w:rFonts w:ascii="Calisto MT" w:hAnsi="Calisto MT" w:cs="Times New Roman"/>
          <w:sz w:val="40"/>
          <w:szCs w:val="40"/>
          <w:lang w:val="en-GB"/>
        </w:rPr>
        <w:t xml:space="preserve"> - </w:t>
      </w:r>
      <w:r>
        <w:rPr>
          <w:rFonts w:ascii="Calisto MT" w:hAnsi="Calisto MT" w:cs="Times New Roman"/>
          <w:sz w:val="40"/>
          <w:szCs w:val="40"/>
        </w:rPr>
        <w:t>Supplemental</w:t>
      </w:r>
      <w:r w:rsidRPr="00FF1C6E">
        <w:rPr>
          <w:rFonts w:ascii="Calisto MT" w:hAnsi="Calisto MT" w:cs="Times New Roman"/>
          <w:sz w:val="40"/>
          <w:szCs w:val="40"/>
        </w:rPr>
        <w:t xml:space="preserve"> </w:t>
      </w:r>
      <w:r>
        <w:rPr>
          <w:rFonts w:ascii="Calisto MT" w:hAnsi="Calisto MT" w:cs="Times New Roman"/>
          <w:sz w:val="40"/>
          <w:szCs w:val="40"/>
        </w:rPr>
        <w:t>material on outcomes</w:t>
      </w:r>
    </w:p>
    <w:p w14:paraId="158BF1A2" w14:textId="77777777" w:rsidR="00EB663D" w:rsidRPr="00C032DE" w:rsidRDefault="00EB663D" w:rsidP="00EB663D">
      <w:pPr>
        <w:pStyle w:val="Overskrift3"/>
      </w:pPr>
      <w:r w:rsidRPr="00C032DE">
        <w:t>Authors</w:t>
      </w:r>
    </w:p>
    <w:p w14:paraId="34C18049" w14:textId="09CD4B68" w:rsidR="00EB663D" w:rsidRPr="00C032DE" w:rsidRDefault="00EB663D" w:rsidP="00EB663D">
      <w:pPr>
        <w:pStyle w:val="Ingenafstand"/>
        <w:spacing w:line="480" w:lineRule="auto"/>
        <w:rPr>
          <w:lang w:val="en-GB"/>
        </w:rPr>
      </w:pPr>
      <w:r w:rsidRPr="00C032DE">
        <w:rPr>
          <w:sz w:val="24"/>
          <w:lang w:val="en-GB"/>
        </w:rPr>
        <w:t xml:space="preserve">Christian L. </w:t>
      </w:r>
      <w:proofErr w:type="spellStart"/>
      <w:r w:rsidRPr="00C032DE">
        <w:rPr>
          <w:sz w:val="24"/>
          <w:lang w:val="en-GB"/>
        </w:rPr>
        <w:t>Carranza</w:t>
      </w:r>
      <w:r>
        <w:rPr>
          <w:sz w:val="24"/>
          <w:vertAlign w:val="superscript"/>
          <w:lang w:val="en-GB"/>
        </w:rPr>
        <w:t>a</w:t>
      </w:r>
      <w:proofErr w:type="spellEnd"/>
      <w:r w:rsidRPr="00C032DE">
        <w:rPr>
          <w:sz w:val="24"/>
          <w:lang w:val="en-GB"/>
        </w:rPr>
        <w:t xml:space="preserve">, Martin </w:t>
      </w:r>
      <w:proofErr w:type="spellStart"/>
      <w:r w:rsidRPr="00C032DE">
        <w:rPr>
          <w:sz w:val="24"/>
          <w:lang w:val="en-GB"/>
        </w:rPr>
        <w:t>Ballegaard</w:t>
      </w:r>
      <w:r>
        <w:rPr>
          <w:sz w:val="24"/>
          <w:vertAlign w:val="superscript"/>
          <w:lang w:val="en-GB"/>
        </w:rPr>
        <w:t>c</w:t>
      </w:r>
      <w:proofErr w:type="spellEnd"/>
      <w:r w:rsidRPr="00C032DE">
        <w:rPr>
          <w:sz w:val="24"/>
          <w:lang w:val="en-GB"/>
        </w:rPr>
        <w:t xml:space="preserve">, Mads U. </w:t>
      </w:r>
      <w:proofErr w:type="spellStart"/>
      <w:r w:rsidRPr="00C032DE">
        <w:rPr>
          <w:sz w:val="24"/>
          <w:lang w:val="en-GB"/>
        </w:rPr>
        <w:t>Werner</w:t>
      </w:r>
      <w:r>
        <w:rPr>
          <w:sz w:val="24"/>
          <w:vertAlign w:val="superscript"/>
          <w:lang w:val="en-GB"/>
        </w:rPr>
        <w:t>d</w:t>
      </w:r>
      <w:proofErr w:type="spellEnd"/>
      <w:r w:rsidRPr="00C032DE">
        <w:rPr>
          <w:sz w:val="24"/>
          <w:lang w:val="en-GB"/>
        </w:rPr>
        <w:t xml:space="preserve">, Philip </w:t>
      </w:r>
      <w:proofErr w:type="spellStart"/>
      <w:r w:rsidRPr="00C032DE">
        <w:rPr>
          <w:sz w:val="24"/>
          <w:lang w:val="en-GB"/>
        </w:rPr>
        <w:t>Hasbak</w:t>
      </w:r>
      <w:r>
        <w:rPr>
          <w:sz w:val="24"/>
          <w:vertAlign w:val="superscript"/>
          <w:lang w:val="en-GB"/>
        </w:rPr>
        <w:t>e</w:t>
      </w:r>
      <w:proofErr w:type="spellEnd"/>
      <w:r w:rsidRPr="00C032DE">
        <w:rPr>
          <w:sz w:val="24"/>
          <w:lang w:val="en-GB"/>
        </w:rPr>
        <w:t xml:space="preserve">, Andreas </w:t>
      </w:r>
      <w:proofErr w:type="spellStart"/>
      <w:r>
        <w:rPr>
          <w:sz w:val="24"/>
          <w:lang w:val="en-GB"/>
        </w:rPr>
        <w:t>Kjaer</w:t>
      </w:r>
      <w:r>
        <w:rPr>
          <w:sz w:val="24"/>
          <w:vertAlign w:val="superscript"/>
          <w:lang w:val="en-GB"/>
        </w:rPr>
        <w:t>e</w:t>
      </w:r>
      <w:proofErr w:type="spellEnd"/>
      <w:r w:rsidRPr="00C032DE">
        <w:rPr>
          <w:sz w:val="24"/>
          <w:lang w:val="en-GB"/>
        </w:rPr>
        <w:t xml:space="preserve">, Klaus </w:t>
      </w:r>
      <w:proofErr w:type="spellStart"/>
      <w:r w:rsidRPr="00C032DE">
        <w:rPr>
          <w:sz w:val="24"/>
          <w:lang w:val="en-GB"/>
        </w:rPr>
        <w:t>Kofoed</w:t>
      </w:r>
      <w:r>
        <w:rPr>
          <w:sz w:val="24"/>
          <w:vertAlign w:val="superscript"/>
          <w:lang w:val="en-GB"/>
        </w:rPr>
        <w:t>f</w:t>
      </w:r>
      <w:proofErr w:type="spellEnd"/>
      <w:r w:rsidRPr="00C032DE">
        <w:rPr>
          <w:sz w:val="24"/>
          <w:lang w:val="en-GB"/>
        </w:rPr>
        <w:t xml:space="preserve">, </w:t>
      </w:r>
      <w:r>
        <w:rPr>
          <w:sz w:val="24"/>
          <w:lang w:val="en-GB"/>
        </w:rPr>
        <w:t xml:space="preserve">Markus </w:t>
      </w:r>
      <w:proofErr w:type="spellStart"/>
      <w:r>
        <w:rPr>
          <w:sz w:val="24"/>
          <w:lang w:val="en-GB"/>
        </w:rPr>
        <w:t>Harboe</w:t>
      </w:r>
      <w:proofErr w:type="spellEnd"/>
      <w:r>
        <w:rPr>
          <w:sz w:val="24"/>
          <w:lang w:val="en-GB"/>
        </w:rPr>
        <w:t xml:space="preserve"> </w:t>
      </w:r>
      <w:proofErr w:type="spellStart"/>
      <w:proofErr w:type="gramStart"/>
      <w:r>
        <w:rPr>
          <w:sz w:val="24"/>
          <w:lang w:val="en-GB"/>
        </w:rPr>
        <w:t>Olsen</w:t>
      </w:r>
      <w:r>
        <w:rPr>
          <w:sz w:val="24"/>
          <w:vertAlign w:val="superscript"/>
          <w:lang w:val="en-GB"/>
        </w:rPr>
        <w:t>b,g</w:t>
      </w:r>
      <w:proofErr w:type="spellEnd"/>
      <w:proofErr w:type="gramEnd"/>
      <w:r>
        <w:rPr>
          <w:sz w:val="24"/>
          <w:lang w:val="en-GB"/>
        </w:rPr>
        <w:t xml:space="preserve">, </w:t>
      </w:r>
      <w:r w:rsidRPr="00C032DE">
        <w:rPr>
          <w:sz w:val="24"/>
          <w:lang w:val="en-GB"/>
        </w:rPr>
        <w:t xml:space="preserve">Christian </w:t>
      </w:r>
      <w:proofErr w:type="spellStart"/>
      <w:r w:rsidRPr="00C032DE">
        <w:rPr>
          <w:sz w:val="24"/>
          <w:lang w:val="en-GB"/>
        </w:rPr>
        <w:t>Gluud</w:t>
      </w:r>
      <w:r>
        <w:rPr>
          <w:sz w:val="24"/>
          <w:vertAlign w:val="superscript"/>
          <w:lang w:val="en-GB"/>
        </w:rPr>
        <w:t>b,h</w:t>
      </w:r>
      <w:proofErr w:type="spellEnd"/>
      <w:r>
        <w:rPr>
          <w:sz w:val="24"/>
          <w:vertAlign w:val="superscript"/>
          <w:lang w:val="en-GB"/>
        </w:rPr>
        <w:t xml:space="preserve"> </w:t>
      </w:r>
      <w:r>
        <w:rPr>
          <w:sz w:val="24"/>
          <w:lang w:val="en-GB"/>
        </w:rPr>
        <w:t>and J</w:t>
      </w:r>
      <w:r w:rsidRPr="00C032DE">
        <w:rPr>
          <w:sz w:val="24"/>
          <w:lang w:val="en-GB"/>
        </w:rPr>
        <w:t xml:space="preserve">anus Christian </w:t>
      </w:r>
      <w:proofErr w:type="spellStart"/>
      <w:r w:rsidRPr="00C032DE">
        <w:rPr>
          <w:sz w:val="24"/>
          <w:lang w:val="en-GB"/>
        </w:rPr>
        <w:t>Jakobsen</w:t>
      </w:r>
      <w:r>
        <w:rPr>
          <w:sz w:val="24"/>
          <w:vertAlign w:val="superscript"/>
          <w:lang w:val="en-GB"/>
        </w:rPr>
        <w:t>b,h</w:t>
      </w:r>
      <w:proofErr w:type="spellEnd"/>
    </w:p>
    <w:p w14:paraId="7E633F57" w14:textId="77777777" w:rsidR="00EB663D" w:rsidRPr="00C032DE" w:rsidRDefault="00EB663D" w:rsidP="00EB663D">
      <w:pPr>
        <w:pStyle w:val="Ingenafstand"/>
        <w:spacing w:line="480" w:lineRule="auto"/>
        <w:rPr>
          <w:lang w:val="en-GB"/>
        </w:rPr>
      </w:pPr>
    </w:p>
    <w:p w14:paraId="4081F01B" w14:textId="77777777" w:rsidR="00EB663D" w:rsidRPr="00C032DE" w:rsidRDefault="00EB663D" w:rsidP="00EB663D">
      <w:pPr>
        <w:pStyle w:val="Ingenafstand"/>
        <w:spacing w:line="480" w:lineRule="auto"/>
        <w:rPr>
          <w:lang w:val="en-GB"/>
        </w:rPr>
      </w:pPr>
    </w:p>
    <w:p w14:paraId="53E50D41" w14:textId="77777777" w:rsidR="00EB663D" w:rsidRPr="00C032DE" w:rsidRDefault="00EB663D" w:rsidP="00EB663D">
      <w:pPr>
        <w:pStyle w:val="Ingenafstand"/>
        <w:spacing w:line="480" w:lineRule="auto"/>
        <w:ind w:left="360"/>
        <w:rPr>
          <w:lang w:val="en-GB"/>
        </w:rPr>
      </w:pPr>
      <w:r>
        <w:rPr>
          <w:sz w:val="24"/>
          <w:vertAlign w:val="superscript"/>
          <w:lang w:val="en-GB"/>
        </w:rPr>
        <w:t xml:space="preserve">a </w:t>
      </w:r>
      <w:r w:rsidRPr="00C032DE">
        <w:rPr>
          <w:sz w:val="24"/>
          <w:lang w:val="en-GB"/>
        </w:rPr>
        <w:t>Department of Cardio-thoracic Surgery, The Heart Centre, Copenhagen University Hospital</w:t>
      </w:r>
      <w:r>
        <w:rPr>
          <w:sz w:val="24"/>
          <w:lang w:val="en-GB"/>
        </w:rPr>
        <w:t xml:space="preserve"> </w:t>
      </w:r>
      <w:r>
        <w:rPr>
          <w:rFonts w:ascii="Source Sans Pro" w:hAnsi="Source Sans Pro"/>
          <w:sz w:val="24"/>
          <w:lang w:val="en-GB"/>
        </w:rPr>
        <w:t>−</w:t>
      </w:r>
      <w:r>
        <w:rPr>
          <w:sz w:val="24"/>
          <w:lang w:val="en-GB"/>
        </w:rPr>
        <w:t xml:space="preserve"> </w:t>
      </w:r>
      <w:r w:rsidRPr="00112A1F">
        <w:rPr>
          <w:sz w:val="24"/>
          <w:szCs w:val="48"/>
          <w:lang w:val="en-GB"/>
        </w:rPr>
        <w:t>Rigshospitalet</w:t>
      </w:r>
      <w:r w:rsidRPr="00C032DE">
        <w:rPr>
          <w:sz w:val="24"/>
          <w:lang w:val="en-GB"/>
        </w:rPr>
        <w:t>, Copenhagen, Denmark.</w:t>
      </w:r>
    </w:p>
    <w:p w14:paraId="153A6177" w14:textId="77777777" w:rsidR="00EB663D" w:rsidRPr="002E2AAD" w:rsidRDefault="00EB663D" w:rsidP="00EB663D">
      <w:pPr>
        <w:pStyle w:val="Ingenafstand"/>
        <w:spacing w:line="480" w:lineRule="auto"/>
      </w:pPr>
    </w:p>
    <w:p w14:paraId="7BB9C674" w14:textId="77777777" w:rsidR="00EB663D" w:rsidRPr="00C032DE" w:rsidRDefault="00EB663D" w:rsidP="00EB663D">
      <w:pPr>
        <w:pStyle w:val="Ingenafstand"/>
        <w:spacing w:line="480" w:lineRule="auto"/>
        <w:ind w:left="360"/>
        <w:rPr>
          <w:lang w:val="en-GB"/>
        </w:rPr>
      </w:pPr>
      <w:r>
        <w:rPr>
          <w:sz w:val="24"/>
          <w:vertAlign w:val="superscript"/>
          <w:lang w:val="en-GB"/>
        </w:rPr>
        <w:t xml:space="preserve">b </w:t>
      </w:r>
      <w:r w:rsidRPr="00C032DE">
        <w:rPr>
          <w:sz w:val="24"/>
          <w:lang w:val="en-GB"/>
        </w:rPr>
        <w:t xml:space="preserve">Copenhagen Trial Unit, Centre for Clinical Intervention Research, </w:t>
      </w:r>
      <w:r>
        <w:rPr>
          <w:sz w:val="24"/>
          <w:lang w:val="en-GB"/>
        </w:rPr>
        <w:t xml:space="preserve">The Capital Region, </w:t>
      </w:r>
      <w:r w:rsidRPr="00C032DE">
        <w:rPr>
          <w:sz w:val="24"/>
          <w:lang w:val="en-GB"/>
        </w:rPr>
        <w:t>Copenhagen University Hospital</w:t>
      </w:r>
      <w:r>
        <w:rPr>
          <w:sz w:val="24"/>
          <w:lang w:val="en-GB"/>
        </w:rPr>
        <w:t xml:space="preserve"> </w:t>
      </w:r>
      <w:r>
        <w:rPr>
          <w:rFonts w:ascii="Source Sans Pro" w:hAnsi="Source Sans Pro"/>
          <w:sz w:val="24"/>
          <w:lang w:val="en-GB"/>
        </w:rPr>
        <w:t>−</w:t>
      </w:r>
      <w:r>
        <w:rPr>
          <w:sz w:val="24"/>
          <w:lang w:val="en-GB"/>
        </w:rPr>
        <w:t xml:space="preserve"> </w:t>
      </w:r>
      <w:r w:rsidRPr="000A3AA0">
        <w:rPr>
          <w:sz w:val="24"/>
          <w:szCs w:val="48"/>
          <w:lang w:val="en-GB"/>
        </w:rPr>
        <w:t>Rigshospitalet</w:t>
      </w:r>
      <w:r w:rsidRPr="00C032DE">
        <w:rPr>
          <w:sz w:val="24"/>
          <w:lang w:val="en-GB"/>
        </w:rPr>
        <w:t>, Copenhagen, Denmark.</w:t>
      </w:r>
    </w:p>
    <w:p w14:paraId="20FF4122" w14:textId="77777777" w:rsidR="00EB663D" w:rsidRPr="00C032DE" w:rsidRDefault="00EB663D" w:rsidP="00EB663D">
      <w:pPr>
        <w:pStyle w:val="Ingenafstand"/>
        <w:spacing w:line="480" w:lineRule="auto"/>
        <w:rPr>
          <w:lang w:val="en-GB"/>
        </w:rPr>
      </w:pPr>
    </w:p>
    <w:p w14:paraId="7B728BE4" w14:textId="77777777" w:rsidR="00EB663D" w:rsidRPr="00C032DE" w:rsidRDefault="00EB663D" w:rsidP="00EB663D">
      <w:pPr>
        <w:pStyle w:val="Ingenafstand"/>
        <w:spacing w:line="480" w:lineRule="auto"/>
        <w:ind w:left="360"/>
        <w:rPr>
          <w:lang w:val="en-GB"/>
        </w:rPr>
      </w:pPr>
      <w:r>
        <w:rPr>
          <w:sz w:val="24"/>
          <w:vertAlign w:val="superscript"/>
          <w:lang w:val="en-GB"/>
        </w:rPr>
        <w:t xml:space="preserve">c </w:t>
      </w:r>
      <w:r w:rsidRPr="00C032DE">
        <w:rPr>
          <w:sz w:val="24"/>
          <w:lang w:val="en-GB"/>
        </w:rPr>
        <w:t xml:space="preserve">Department of </w:t>
      </w:r>
      <w:r>
        <w:rPr>
          <w:sz w:val="24"/>
          <w:lang w:val="en-GB"/>
        </w:rPr>
        <w:t>Neurology</w:t>
      </w:r>
      <w:r w:rsidRPr="00C032DE">
        <w:rPr>
          <w:sz w:val="24"/>
          <w:lang w:val="en-GB"/>
        </w:rPr>
        <w:t xml:space="preserve">, </w:t>
      </w:r>
      <w:r>
        <w:rPr>
          <w:sz w:val="24"/>
          <w:lang w:val="en-GB"/>
        </w:rPr>
        <w:t>Zealand</w:t>
      </w:r>
      <w:r w:rsidRPr="00C032DE">
        <w:rPr>
          <w:sz w:val="24"/>
          <w:lang w:val="en-GB"/>
        </w:rPr>
        <w:t xml:space="preserve"> University Hospital</w:t>
      </w:r>
      <w:r>
        <w:rPr>
          <w:rFonts w:ascii="Source Sans Pro" w:hAnsi="Source Sans Pro"/>
          <w:sz w:val="24"/>
          <w:lang w:val="en-GB"/>
        </w:rPr>
        <w:t>,</w:t>
      </w:r>
      <w:r>
        <w:rPr>
          <w:sz w:val="24"/>
          <w:lang w:val="en-GB"/>
        </w:rPr>
        <w:t xml:space="preserve"> </w:t>
      </w:r>
      <w:r>
        <w:rPr>
          <w:sz w:val="24"/>
          <w:szCs w:val="48"/>
          <w:lang w:val="en-GB"/>
        </w:rPr>
        <w:t>Roskilde</w:t>
      </w:r>
      <w:r w:rsidRPr="00C032DE">
        <w:rPr>
          <w:sz w:val="24"/>
          <w:lang w:val="en-GB"/>
        </w:rPr>
        <w:t>, Denmark</w:t>
      </w:r>
    </w:p>
    <w:p w14:paraId="746DA229" w14:textId="77777777" w:rsidR="00EB663D" w:rsidRPr="00C032DE" w:rsidRDefault="00EB663D" w:rsidP="00EB663D">
      <w:pPr>
        <w:pStyle w:val="Ingenafstand"/>
        <w:spacing w:line="480" w:lineRule="auto"/>
        <w:rPr>
          <w:lang w:val="en-GB"/>
        </w:rPr>
      </w:pPr>
    </w:p>
    <w:p w14:paraId="2CF2F44F" w14:textId="77777777" w:rsidR="00EB663D" w:rsidRPr="00C032DE" w:rsidRDefault="00EB663D" w:rsidP="00EB663D">
      <w:pPr>
        <w:pStyle w:val="Ingenafstand"/>
        <w:spacing w:line="480" w:lineRule="auto"/>
        <w:ind w:left="360"/>
        <w:rPr>
          <w:lang w:val="en-GB"/>
        </w:rPr>
      </w:pPr>
      <w:r>
        <w:rPr>
          <w:sz w:val="24"/>
          <w:vertAlign w:val="superscript"/>
          <w:lang w:val="en-GB"/>
        </w:rPr>
        <w:t xml:space="preserve">d </w:t>
      </w:r>
      <w:r w:rsidRPr="00C032DE">
        <w:rPr>
          <w:sz w:val="24"/>
          <w:lang w:val="en-GB"/>
        </w:rPr>
        <w:t xml:space="preserve">Multidisciplinary Pain Centre, </w:t>
      </w:r>
      <w:r w:rsidRPr="001B6E88">
        <w:rPr>
          <w:sz w:val="24"/>
          <w:lang w:val="en-GB"/>
        </w:rPr>
        <w:t xml:space="preserve">Department of </w:t>
      </w:r>
      <w:proofErr w:type="spellStart"/>
      <w:r w:rsidRPr="001B6E88">
        <w:rPr>
          <w:sz w:val="24"/>
          <w:lang w:val="en-GB"/>
        </w:rPr>
        <w:t>Anesthesia</w:t>
      </w:r>
      <w:proofErr w:type="spellEnd"/>
      <w:r w:rsidRPr="001B6E88">
        <w:rPr>
          <w:sz w:val="24"/>
          <w:lang w:val="en-GB"/>
        </w:rPr>
        <w:t>, Pain and Respiratory Support</w:t>
      </w:r>
      <w:r>
        <w:rPr>
          <w:sz w:val="24"/>
          <w:lang w:val="en-GB"/>
        </w:rPr>
        <w:t xml:space="preserve">, </w:t>
      </w:r>
      <w:r w:rsidRPr="001B6E88">
        <w:rPr>
          <w:sz w:val="24"/>
          <w:lang w:val="en-GB"/>
        </w:rPr>
        <w:t>Neuroscience Center</w:t>
      </w:r>
      <w:r>
        <w:rPr>
          <w:sz w:val="24"/>
          <w:lang w:val="en-GB"/>
        </w:rPr>
        <w:t xml:space="preserve">, </w:t>
      </w:r>
      <w:r w:rsidRPr="00C032DE">
        <w:rPr>
          <w:sz w:val="24"/>
          <w:lang w:val="en-GB"/>
        </w:rPr>
        <w:t>Copenhagen University Hospital</w:t>
      </w:r>
      <w:r>
        <w:rPr>
          <w:sz w:val="24"/>
          <w:lang w:val="en-GB"/>
        </w:rPr>
        <w:t xml:space="preserve"> </w:t>
      </w:r>
      <w:r>
        <w:rPr>
          <w:rFonts w:ascii="Source Sans Pro" w:hAnsi="Source Sans Pro"/>
          <w:sz w:val="24"/>
          <w:lang w:val="en-GB"/>
        </w:rPr>
        <w:t>−</w:t>
      </w:r>
      <w:r>
        <w:rPr>
          <w:sz w:val="24"/>
          <w:lang w:val="en-GB"/>
        </w:rPr>
        <w:t xml:space="preserve"> </w:t>
      </w:r>
      <w:r w:rsidRPr="000A3AA0">
        <w:rPr>
          <w:sz w:val="24"/>
          <w:szCs w:val="48"/>
          <w:lang w:val="en-GB"/>
        </w:rPr>
        <w:t>Rigshospitalet</w:t>
      </w:r>
      <w:r w:rsidRPr="00C032DE">
        <w:rPr>
          <w:sz w:val="24"/>
          <w:lang w:val="en-GB"/>
        </w:rPr>
        <w:t>, Copenhagen, Denmark.</w:t>
      </w:r>
    </w:p>
    <w:p w14:paraId="7F934673" w14:textId="77777777" w:rsidR="00EB663D" w:rsidRPr="00C032DE" w:rsidRDefault="00EB663D" w:rsidP="00EB663D">
      <w:pPr>
        <w:pStyle w:val="Ingenafstand"/>
        <w:spacing w:line="480" w:lineRule="auto"/>
        <w:rPr>
          <w:lang w:val="en-GB"/>
        </w:rPr>
      </w:pPr>
    </w:p>
    <w:p w14:paraId="50029C1E" w14:textId="77777777" w:rsidR="00EB663D" w:rsidRPr="00C032DE" w:rsidRDefault="00EB663D" w:rsidP="00EB663D">
      <w:pPr>
        <w:pStyle w:val="Ingenafstand"/>
        <w:spacing w:line="480" w:lineRule="auto"/>
        <w:ind w:left="360"/>
        <w:rPr>
          <w:lang w:val="en-GB"/>
        </w:rPr>
      </w:pPr>
      <w:r>
        <w:rPr>
          <w:sz w:val="24"/>
          <w:vertAlign w:val="superscript"/>
          <w:lang w:val="en-GB"/>
        </w:rPr>
        <w:t xml:space="preserve">e </w:t>
      </w:r>
      <w:r w:rsidRPr="00C032DE">
        <w:rPr>
          <w:sz w:val="24"/>
          <w:lang w:val="en-GB"/>
        </w:rPr>
        <w:t>Department of Clinical Physiology, Nuclear Medicine and PET</w:t>
      </w:r>
      <w:r>
        <w:rPr>
          <w:sz w:val="24"/>
          <w:lang w:val="en-GB"/>
        </w:rPr>
        <w:t xml:space="preserve"> and Cluster for Molecular Imaging</w:t>
      </w:r>
      <w:r w:rsidRPr="00C032DE">
        <w:rPr>
          <w:sz w:val="24"/>
          <w:lang w:val="en-GB"/>
        </w:rPr>
        <w:t>, Copenhagen University Hospital</w:t>
      </w:r>
      <w:r>
        <w:rPr>
          <w:sz w:val="24"/>
          <w:lang w:val="en-GB"/>
        </w:rPr>
        <w:t xml:space="preserve"> </w:t>
      </w:r>
      <w:r>
        <w:rPr>
          <w:rFonts w:ascii="Source Sans Pro" w:hAnsi="Source Sans Pro"/>
          <w:sz w:val="24"/>
          <w:lang w:val="en-GB"/>
        </w:rPr>
        <w:t>–</w:t>
      </w:r>
      <w:r>
        <w:rPr>
          <w:sz w:val="24"/>
          <w:lang w:val="en-GB"/>
        </w:rPr>
        <w:t xml:space="preserve"> </w:t>
      </w:r>
      <w:r w:rsidRPr="000A3AA0">
        <w:rPr>
          <w:sz w:val="24"/>
          <w:szCs w:val="48"/>
          <w:lang w:val="en-GB"/>
        </w:rPr>
        <w:t>Rigshospitalet</w:t>
      </w:r>
      <w:r>
        <w:rPr>
          <w:sz w:val="24"/>
          <w:szCs w:val="48"/>
          <w:lang w:val="en-GB"/>
        </w:rPr>
        <w:t xml:space="preserve"> and Department of Biomedical Sciences</w:t>
      </w:r>
      <w:r w:rsidRPr="00C032DE">
        <w:rPr>
          <w:sz w:val="24"/>
          <w:lang w:val="en-GB"/>
        </w:rPr>
        <w:t xml:space="preserve">, </w:t>
      </w:r>
      <w:r>
        <w:rPr>
          <w:sz w:val="24"/>
          <w:lang w:val="en-GB"/>
        </w:rPr>
        <w:t xml:space="preserve">University of </w:t>
      </w:r>
      <w:r w:rsidRPr="00C032DE">
        <w:rPr>
          <w:sz w:val="24"/>
          <w:lang w:val="en-GB"/>
        </w:rPr>
        <w:t>Copenhagen, Denmark.</w:t>
      </w:r>
    </w:p>
    <w:p w14:paraId="0F2C0BEF" w14:textId="77777777" w:rsidR="00EB663D" w:rsidRPr="00C032DE" w:rsidRDefault="00EB663D" w:rsidP="00EB663D">
      <w:pPr>
        <w:pStyle w:val="Ingenafstand"/>
        <w:spacing w:line="480" w:lineRule="auto"/>
        <w:rPr>
          <w:lang w:val="en-GB"/>
        </w:rPr>
      </w:pPr>
    </w:p>
    <w:p w14:paraId="27D28BEB" w14:textId="77777777" w:rsidR="00EB663D" w:rsidRPr="00C032DE" w:rsidRDefault="00EB663D" w:rsidP="00EB663D">
      <w:pPr>
        <w:pStyle w:val="Ingenafstand"/>
        <w:spacing w:line="480" w:lineRule="auto"/>
        <w:ind w:left="360"/>
        <w:rPr>
          <w:lang w:val="en-GB"/>
        </w:rPr>
      </w:pPr>
      <w:r>
        <w:rPr>
          <w:sz w:val="24"/>
          <w:vertAlign w:val="superscript"/>
          <w:lang w:val="en-GB"/>
        </w:rPr>
        <w:lastRenderedPageBreak/>
        <w:t xml:space="preserve">f </w:t>
      </w:r>
      <w:r w:rsidRPr="00C032DE">
        <w:rPr>
          <w:sz w:val="24"/>
          <w:lang w:val="en-GB"/>
        </w:rPr>
        <w:t>Department of Cardiology and Radiology, Copenhagen University Hospital</w:t>
      </w:r>
      <w:r>
        <w:rPr>
          <w:sz w:val="24"/>
          <w:lang w:val="en-GB"/>
        </w:rPr>
        <w:t xml:space="preserve"> </w:t>
      </w:r>
      <w:r>
        <w:rPr>
          <w:rFonts w:ascii="Source Sans Pro" w:hAnsi="Source Sans Pro"/>
          <w:sz w:val="24"/>
          <w:lang w:val="en-GB"/>
        </w:rPr>
        <w:t>−</w:t>
      </w:r>
      <w:r>
        <w:rPr>
          <w:sz w:val="24"/>
          <w:lang w:val="en-GB"/>
        </w:rPr>
        <w:t xml:space="preserve"> </w:t>
      </w:r>
      <w:r w:rsidRPr="000A3AA0">
        <w:rPr>
          <w:sz w:val="24"/>
          <w:szCs w:val="48"/>
          <w:lang w:val="en-GB"/>
        </w:rPr>
        <w:t>Rigshospitalet</w:t>
      </w:r>
      <w:r w:rsidRPr="00C032DE">
        <w:rPr>
          <w:sz w:val="24"/>
          <w:lang w:val="en-GB"/>
        </w:rPr>
        <w:t>, Copenhagen, Denmark.</w:t>
      </w:r>
    </w:p>
    <w:p w14:paraId="534E83C5" w14:textId="77777777" w:rsidR="00EB663D" w:rsidRPr="002E2AAD" w:rsidRDefault="00EB663D" w:rsidP="00EB663D">
      <w:pPr>
        <w:pStyle w:val="Ingenafstand"/>
        <w:spacing w:line="480" w:lineRule="auto"/>
        <w:ind w:left="360"/>
        <w:rPr>
          <w:lang w:val="en-GB"/>
        </w:rPr>
      </w:pPr>
      <w:r>
        <w:rPr>
          <w:rStyle w:val="Hyperlink"/>
          <w:color w:val="auto"/>
          <w:sz w:val="24"/>
          <w:u w:val="none"/>
          <w:vertAlign w:val="superscript"/>
          <w:lang w:val="en-GB"/>
        </w:rPr>
        <w:t>g</w:t>
      </w:r>
      <w:r w:rsidRPr="00EA3454">
        <w:rPr>
          <w:rStyle w:val="Hyperlink"/>
          <w:color w:val="auto"/>
          <w:sz w:val="24"/>
          <w:u w:val="none"/>
          <w:lang w:val="en-GB"/>
        </w:rPr>
        <w:t xml:space="preserve"> Department of Neuroanaesthesiology, The Neuroscience Centre,</w:t>
      </w:r>
      <w:r w:rsidRPr="00D662E5">
        <w:rPr>
          <w:rStyle w:val="Hyperlink"/>
          <w:color w:val="auto"/>
          <w:sz w:val="24"/>
          <w:u w:val="none"/>
          <w:lang w:val="en-GB"/>
        </w:rPr>
        <w:t xml:space="preserve"> C</w:t>
      </w:r>
      <w:r w:rsidRPr="00C032DE">
        <w:rPr>
          <w:sz w:val="24"/>
          <w:lang w:val="en-GB"/>
        </w:rPr>
        <w:t>openhagen University Hospital</w:t>
      </w:r>
      <w:r>
        <w:rPr>
          <w:sz w:val="24"/>
          <w:lang w:val="en-GB"/>
        </w:rPr>
        <w:t xml:space="preserve"> </w:t>
      </w:r>
      <w:r>
        <w:rPr>
          <w:rFonts w:ascii="Source Sans Pro" w:hAnsi="Source Sans Pro"/>
          <w:sz w:val="24"/>
          <w:lang w:val="en-GB"/>
        </w:rPr>
        <w:t>−</w:t>
      </w:r>
      <w:r>
        <w:rPr>
          <w:sz w:val="24"/>
          <w:lang w:val="en-GB"/>
        </w:rPr>
        <w:t xml:space="preserve"> </w:t>
      </w:r>
      <w:r w:rsidRPr="000A3AA0">
        <w:rPr>
          <w:sz w:val="24"/>
          <w:szCs w:val="48"/>
          <w:lang w:val="en-GB"/>
        </w:rPr>
        <w:t>Rigshospitalet</w:t>
      </w:r>
      <w:r w:rsidRPr="00C032DE">
        <w:rPr>
          <w:sz w:val="24"/>
          <w:lang w:val="en-GB"/>
        </w:rPr>
        <w:t>, Copenhagen, Denmark.</w:t>
      </w:r>
    </w:p>
    <w:p w14:paraId="06220EC3" w14:textId="77777777" w:rsidR="00EB663D" w:rsidRPr="00EA3454" w:rsidRDefault="00EB663D" w:rsidP="00EB663D">
      <w:pPr>
        <w:pStyle w:val="Ingenafstand"/>
        <w:spacing w:line="480" w:lineRule="auto"/>
        <w:ind w:left="720"/>
        <w:rPr>
          <w:lang w:val="en-GB"/>
        </w:rPr>
      </w:pPr>
    </w:p>
    <w:p w14:paraId="639CFB6C" w14:textId="77777777" w:rsidR="00EB663D" w:rsidRPr="00C032DE" w:rsidRDefault="00EB663D" w:rsidP="00EB663D">
      <w:pPr>
        <w:pStyle w:val="Ingenafstand"/>
        <w:spacing w:line="480" w:lineRule="auto"/>
        <w:ind w:left="360"/>
        <w:rPr>
          <w:lang w:val="en-GB"/>
        </w:rPr>
      </w:pPr>
      <w:r>
        <w:rPr>
          <w:sz w:val="24"/>
          <w:vertAlign w:val="superscript"/>
          <w:lang w:val="en-GB"/>
        </w:rPr>
        <w:t xml:space="preserve">h </w:t>
      </w:r>
      <w:r w:rsidRPr="00C032DE">
        <w:rPr>
          <w:sz w:val="24"/>
          <w:lang w:val="en-GB"/>
        </w:rPr>
        <w:t xml:space="preserve">Department of </w:t>
      </w:r>
      <w:r>
        <w:rPr>
          <w:sz w:val="24"/>
          <w:lang w:val="en-GB"/>
        </w:rPr>
        <w:t xml:space="preserve">Regional Health Research, The Faculty of Health Sciences, </w:t>
      </w:r>
      <w:r w:rsidRPr="00C032DE">
        <w:rPr>
          <w:sz w:val="24"/>
          <w:lang w:val="en-GB"/>
        </w:rPr>
        <w:t>University</w:t>
      </w:r>
      <w:r>
        <w:rPr>
          <w:sz w:val="24"/>
          <w:lang w:val="en-GB"/>
        </w:rPr>
        <w:t xml:space="preserve"> of Southern Denmark, Odense, </w:t>
      </w:r>
      <w:r w:rsidRPr="00C032DE">
        <w:rPr>
          <w:sz w:val="24"/>
          <w:lang w:val="en-GB"/>
        </w:rPr>
        <w:t>Denmark.</w:t>
      </w:r>
    </w:p>
    <w:p w14:paraId="18663B00" w14:textId="77777777" w:rsidR="00EB663D" w:rsidRPr="00EA3454" w:rsidRDefault="00EB663D" w:rsidP="00EB663D">
      <w:pPr>
        <w:spacing w:line="480" w:lineRule="auto"/>
        <w:rPr>
          <w:rFonts w:ascii="Calisto MT" w:hAnsi="Calisto MT" w:cs="Times New Roman"/>
          <w:b/>
          <w:bCs/>
          <w:lang w:val="en-GB"/>
        </w:rPr>
      </w:pPr>
      <w:r w:rsidRPr="00EA3454">
        <w:rPr>
          <w:rFonts w:ascii="Calisto MT" w:hAnsi="Calisto MT" w:cs="Times New Roman"/>
          <w:b/>
          <w:bCs/>
          <w:lang w:val="en-GB"/>
        </w:rPr>
        <w:t>Correspondence:</w:t>
      </w:r>
    </w:p>
    <w:p w14:paraId="24F21D88" w14:textId="77777777" w:rsidR="00EB663D" w:rsidRPr="00DD1267" w:rsidRDefault="00EB663D" w:rsidP="00EB663D">
      <w:pPr>
        <w:spacing w:line="480" w:lineRule="auto"/>
        <w:rPr>
          <w:lang w:val="en-GB"/>
        </w:rPr>
      </w:pPr>
      <w:r w:rsidRPr="00C032DE">
        <w:rPr>
          <w:lang w:val="en-GB"/>
        </w:rPr>
        <w:t>Christian Lildal Carranza, MD, E-MBA, mail: christian@thoraxkir.dk</w:t>
      </w:r>
      <w:r>
        <w:rPr>
          <w:lang w:val="en-GB"/>
        </w:rPr>
        <w:t>, phone: +45 35451488</w:t>
      </w:r>
    </w:p>
    <w:p w14:paraId="40E34065" w14:textId="7CACE3D0" w:rsidR="00EB663D" w:rsidRPr="00EB663D" w:rsidRDefault="00EB663D" w:rsidP="00EB663D">
      <w:pPr>
        <w:pStyle w:val="Ingenafstand"/>
        <w:spacing w:line="480" w:lineRule="auto"/>
      </w:pPr>
      <w:r w:rsidRPr="00687285">
        <w:rPr>
          <w:sz w:val="24"/>
          <w:lang w:val="en-GB"/>
        </w:rPr>
        <w:t xml:space="preserve">Department of Cardio-thoracic Surgery, The Heart Centre, Copenhagen University Hospital </w:t>
      </w:r>
      <w:r w:rsidRPr="00687285">
        <w:rPr>
          <w:rFonts w:ascii="Source Sans Pro" w:hAnsi="Source Sans Pro"/>
          <w:sz w:val="24"/>
          <w:lang w:val="en-GB"/>
        </w:rPr>
        <w:t>−</w:t>
      </w:r>
      <w:r w:rsidRPr="00687285">
        <w:rPr>
          <w:sz w:val="24"/>
          <w:lang w:val="en-GB"/>
        </w:rPr>
        <w:t xml:space="preserve"> </w:t>
      </w:r>
      <w:r w:rsidRPr="00687285">
        <w:rPr>
          <w:sz w:val="24"/>
          <w:szCs w:val="48"/>
          <w:lang w:val="en-GB"/>
        </w:rPr>
        <w:t>Rigshospitalet</w:t>
      </w:r>
      <w:r w:rsidRPr="00687285">
        <w:rPr>
          <w:sz w:val="24"/>
          <w:lang w:val="en-GB"/>
        </w:rPr>
        <w:t xml:space="preserve">, </w:t>
      </w:r>
      <w:proofErr w:type="spellStart"/>
      <w:r w:rsidRPr="00112A1F">
        <w:rPr>
          <w:sz w:val="24"/>
        </w:rPr>
        <w:t>Blegdamsvej</w:t>
      </w:r>
      <w:proofErr w:type="spellEnd"/>
      <w:r w:rsidRPr="00112A1F">
        <w:rPr>
          <w:sz w:val="24"/>
        </w:rPr>
        <w:t xml:space="preserve"> 9, DK-2100 Copenhagen Ø, Denmark.</w:t>
      </w:r>
    </w:p>
    <w:bookmarkEnd w:id="0"/>
    <w:p w14:paraId="25ECD84E" w14:textId="77777777" w:rsidR="00EB663D" w:rsidRPr="00EB663D" w:rsidRDefault="00EB663D" w:rsidP="00EB663D"/>
    <w:p w14:paraId="54D1C8A6" w14:textId="23D286FC" w:rsidR="0034742D" w:rsidRDefault="00A5297C" w:rsidP="00FF1C6E">
      <w:pPr>
        <w:pStyle w:val="Overskrift2"/>
        <w:rPr>
          <w:lang w:val="en-GB"/>
        </w:rPr>
      </w:pPr>
      <w:bookmarkStart w:id="1" w:name="_Toc244254029"/>
      <w:r w:rsidRPr="00FF1C6E">
        <w:rPr>
          <w:rFonts w:ascii="Calisto MT" w:hAnsi="Calisto MT"/>
        </w:rPr>
        <w:t xml:space="preserve">NEO </w:t>
      </w:r>
      <w:r w:rsidR="00695904">
        <w:rPr>
          <w:rFonts w:ascii="Calisto MT" w:hAnsi="Calisto MT"/>
        </w:rPr>
        <w:t>T</w:t>
      </w:r>
      <w:r w:rsidRPr="00FF1C6E">
        <w:rPr>
          <w:rFonts w:ascii="Calisto MT" w:hAnsi="Calisto MT"/>
        </w:rPr>
        <w:t>rial 1</w:t>
      </w:r>
      <w:r w:rsidR="00607ED9">
        <w:rPr>
          <w:rFonts w:ascii="Calisto MT" w:hAnsi="Calisto MT"/>
        </w:rPr>
        <w:t xml:space="preserve"> outcomes</w:t>
      </w:r>
    </w:p>
    <w:p w14:paraId="2937E66A" w14:textId="19663237" w:rsidR="009872A5" w:rsidRPr="0037435A" w:rsidRDefault="005D04D5" w:rsidP="007447BE">
      <w:pPr>
        <w:pStyle w:val="Overskrift3"/>
      </w:pPr>
      <w:r>
        <w:t>P</w:t>
      </w:r>
      <w:r w:rsidR="009872A5" w:rsidRPr="0037435A">
        <w:t>rimary outcome</w:t>
      </w:r>
    </w:p>
    <w:p w14:paraId="608F2D59" w14:textId="38521FEB" w:rsidR="009872A5" w:rsidRPr="0037435A" w:rsidRDefault="009872A5" w:rsidP="009872A5">
      <w:pPr>
        <w:pStyle w:val="Overskrift4"/>
        <w:rPr>
          <w:rFonts w:ascii="Calisto MT" w:hAnsi="Calisto MT" w:cs="Times New Roman"/>
        </w:rPr>
      </w:pPr>
      <w:r w:rsidRPr="0037435A">
        <w:rPr>
          <w:rFonts w:ascii="Calisto MT" w:hAnsi="Calisto MT" w:cs="Times New Roman"/>
        </w:rPr>
        <w:t>Hand function questionnair</w:t>
      </w:r>
      <w:r w:rsidR="007F3965">
        <w:rPr>
          <w:rFonts w:ascii="Calisto MT" w:hAnsi="Calisto MT" w:cs="Times New Roman"/>
        </w:rPr>
        <w:t>e</w:t>
      </w:r>
    </w:p>
    <w:p w14:paraId="6FCB9C0D" w14:textId="1DF9BE16" w:rsidR="009872A5" w:rsidRPr="0037435A" w:rsidRDefault="009872A5" w:rsidP="009872A5">
      <w:pPr>
        <w:jc w:val="both"/>
        <w:rPr>
          <w:rFonts w:ascii="Calisto MT" w:hAnsi="Calisto MT" w:cs="Times New Roman"/>
          <w:lang w:val="en-GB"/>
        </w:rPr>
      </w:pPr>
      <w:r w:rsidRPr="0037435A">
        <w:rPr>
          <w:rFonts w:ascii="Calisto MT" w:hAnsi="Calisto MT" w:cs="Times New Roman"/>
          <w:lang w:val="en-GB"/>
        </w:rPr>
        <w:t xml:space="preserve">Sum score of hand function questionnaire </w:t>
      </w:r>
      <w:r w:rsidR="007F3965">
        <w:rPr>
          <w:rFonts w:ascii="Calisto MT" w:hAnsi="Calisto MT" w:cs="Times New Roman"/>
          <w:lang w:val="en-GB"/>
        </w:rPr>
        <w:t xml:space="preserve">(Table </w:t>
      </w:r>
      <w:r w:rsidR="00693E81">
        <w:rPr>
          <w:rFonts w:ascii="Calisto MT" w:hAnsi="Calisto MT" w:cs="Times New Roman"/>
          <w:lang w:val="en-GB"/>
        </w:rPr>
        <w:t>3</w:t>
      </w:r>
      <w:r w:rsidR="007F3965">
        <w:rPr>
          <w:rFonts w:ascii="Calisto MT" w:hAnsi="Calisto MT" w:cs="Times New Roman"/>
          <w:lang w:val="en-GB"/>
        </w:rPr>
        <w:t xml:space="preserve">) </w:t>
      </w:r>
      <w:r w:rsidRPr="0037435A">
        <w:rPr>
          <w:rFonts w:ascii="Calisto MT" w:hAnsi="Calisto MT" w:cs="Times New Roman"/>
          <w:lang w:val="en-GB"/>
        </w:rPr>
        <w:t xml:space="preserve">items 2 through </w:t>
      </w:r>
      <w:r w:rsidR="00062844">
        <w:rPr>
          <w:rFonts w:ascii="Calisto MT" w:hAnsi="Calisto MT" w:cs="Times New Roman"/>
          <w:lang w:val="en-GB"/>
        </w:rPr>
        <w:t>8</w:t>
      </w:r>
      <w:r w:rsidR="003754B8">
        <w:rPr>
          <w:rFonts w:ascii="Calisto MT" w:hAnsi="Calisto MT" w:cs="Times New Roman"/>
          <w:lang w:val="en-GB"/>
        </w:rPr>
        <w:fldChar w:fldCharType="begin"/>
      </w:r>
      <w:r w:rsidR="00E81341">
        <w:rPr>
          <w:rFonts w:ascii="Calisto MT" w:hAnsi="Calisto MT" w:cs="Times New Roman"/>
          <w:lang w:val="en-GB"/>
        </w:rPr>
        <w:instrText xml:space="preserve"> ADDIN ZOTERO_ITEM CSL_CITATION {"citationID":"arirk56o90","properties":{"formattedCitation":"\\super 1\\nosupersub{}","plainCitation":"1","noteIndex":0},"citationItems":[{"id":579,"uris":["http://zotero.org/users/766374/items/8EXZ295U"],"itemData":{"id":579,"type":"article-journal","abstract":"OBJECTIVE\n\nThe radial artery (RA) has gained popularity as a conduit for coronary artery bypass surgery despite a paucity of patient-centered analysis of long-term quality of life after its removal. We sought to characterize forearm function and symptoms after RA harvest and compare these with those associated with saphenous vein (SV) removal.\n\n\nMETHODS\n\nA total of 408 patients from an RA trial completed a questionnaire up to 14 years after primary coronary artery bypass surgery. The survey included 7 statements concerning hand and forearm symptoms or limitations in daily life and 4 questions on concerns associated with arm or leg scars. A total of 230 patients had received an RA graft (RA group). Responses were graded in order of severity from 0 to 7, with greater than 3 (mild concern) being regarded as a significant symptom. Mean response to each question and total scores were compared with the non-RA harvest group. Comparisons were also made with responses to the same questionnaire completed preoperatively and 3 months postoperatively. In patients who had both RA and SV removal, we compared the impact of a forearm scar on quality of life with that of a leg scar.\n\n\nRESULTS\n\nThe mean duration of follow-up was 9.3 years (range, 4-14 years), and the response rate was 83%. In the RA group, 92% to 99% reported no significant symptoms, with the most frequent concerns relating to pain and numbness (8% each), but this was not significantly higher than in those who had not had an RA harvested. In the RA group, the mean scores for scar appearance and discomfort were 0.95 and 0.93, respectively (where 1 = no concern), suggesting satisfactory cosmesis and no impact on function. Symptom severity was significantly worse in 6 of 7 questions when compared with preoperative responses and in 4 of 7 items compared with 3-month follow-up, indicating a general deterioration in function over long-term follow-up. In those who had both the RA and SV harvested, patients reported more scar discomfort associated with SV harvest at 3 months (1.69 vs 1.34, P &lt; .001) and in the present questionnaire (1.21 vs 0.97, P = .002). Concerns with scar appearance were no different between the arm and leg.\n\n\nCONCLUSIONS\n\nRA harvesting is associated with high patient satisfaction and less scar discomfort than SV removal. Overall, functionality declines with time, and a small proportion of patients seem to experience forearm pain and numbness. However, this is not different than in those without artery removal and may therefore be unrelated to the effects of surgery.","archive":"RA","archive_location":"Neurology","container-title":"The Journal of thoracic and cardiovascular surgery","DOI":"10.1016/j.jtcvs.2012.01.052","ISSN":"1097-685X","issue":"2","journalAbbreviation":"J. Thorac. Cardiovasc. Surg.","note":"PMID: 22364894","page":"412-419","source":"NCBI PubMed","title":"Long-term impact of radial artery harvest on forearm function and symptoms: A comparison with leg vein","title-short":"Long-term impact of radial artery harvest on forearm function and symptoms","volume":"145","author":[{"family":"Zhu","given":"Ying Yan"},{"family":"Hayward","given":"Philip A R"},{"family":"Hadinata","given":"Ignatius E"},{"family":"Matalanis","given":"George"},{"family":"Buxton","given":"Brian F"},{"family":"Stewart","given":"Andrew G"},{"family":"Hare","given":"David L"}],"issued":{"date-parts":[["2013",2]]}}}],"schema":"https://github.com/citation-style-language/schema/raw/master/csl-citation.json"} </w:instrText>
      </w:r>
      <w:r w:rsidR="003754B8">
        <w:rPr>
          <w:rFonts w:ascii="Calisto MT" w:hAnsi="Calisto MT" w:cs="Times New Roman"/>
          <w:lang w:val="en-GB"/>
        </w:rPr>
        <w:fldChar w:fldCharType="separate"/>
      </w:r>
      <w:r w:rsidR="00E81341" w:rsidRPr="00E81341">
        <w:rPr>
          <w:rFonts w:ascii="Calisto MT" w:hAnsi="Calisto MT" w:cs="Times New Roman"/>
          <w:vertAlign w:val="superscript"/>
        </w:rPr>
        <w:t>1</w:t>
      </w:r>
      <w:r w:rsidR="003754B8">
        <w:rPr>
          <w:rFonts w:ascii="Calisto MT" w:hAnsi="Calisto MT" w:cs="Times New Roman"/>
          <w:lang w:val="en-GB"/>
        </w:rPr>
        <w:fldChar w:fldCharType="end"/>
      </w:r>
      <w:r w:rsidR="003754B8">
        <w:rPr>
          <w:rFonts w:ascii="Calisto MT" w:hAnsi="Calisto MT" w:cs="Times New Roman"/>
          <w:lang w:val="en-GB"/>
        </w:rPr>
        <w:t>.</w:t>
      </w:r>
      <w:r w:rsidRPr="0037435A">
        <w:rPr>
          <w:rFonts w:ascii="Calisto MT" w:hAnsi="Calisto MT" w:cs="Times New Roman"/>
          <w:lang w:val="en-GB"/>
        </w:rPr>
        <w:t xml:space="preserve"> The mean values in the ERAH group will be compared </w:t>
      </w:r>
      <w:r w:rsidR="00695904">
        <w:rPr>
          <w:rFonts w:ascii="Calisto MT" w:hAnsi="Calisto MT" w:cs="Times New Roman"/>
          <w:lang w:val="en-GB"/>
        </w:rPr>
        <w:t>with</w:t>
      </w:r>
      <w:r w:rsidRPr="0037435A">
        <w:rPr>
          <w:rFonts w:ascii="Calisto MT" w:hAnsi="Calisto MT" w:cs="Times New Roman"/>
          <w:lang w:val="en-GB"/>
        </w:rPr>
        <w:t xml:space="preserve"> the mean value in the ORAH group at </w:t>
      </w:r>
      <w:r w:rsidR="007F3965">
        <w:rPr>
          <w:rFonts w:ascii="Calisto MT" w:hAnsi="Calisto MT" w:cs="Times New Roman"/>
          <w:lang w:val="en-GB"/>
        </w:rPr>
        <w:t>three</w:t>
      </w:r>
      <w:r w:rsidRPr="0037435A">
        <w:rPr>
          <w:rFonts w:ascii="Calisto MT" w:hAnsi="Calisto MT" w:cs="Times New Roman"/>
          <w:lang w:val="en-GB"/>
        </w:rPr>
        <w:t xml:space="preserve"> months after surgery.</w:t>
      </w:r>
      <w:r w:rsidR="00921523">
        <w:rPr>
          <w:rFonts w:ascii="Calisto MT" w:hAnsi="Calisto MT" w:cs="Times New Roman"/>
          <w:lang w:val="en-GB"/>
        </w:rPr>
        <w:t xml:space="preserve"> Data consists of number from </w:t>
      </w:r>
      <w:r w:rsidR="00960637">
        <w:rPr>
          <w:rFonts w:ascii="Calisto MT" w:hAnsi="Calisto MT" w:cs="Times New Roman"/>
          <w:lang w:val="en-GB"/>
        </w:rPr>
        <w:t>5 to 49</w:t>
      </w:r>
      <w:r w:rsidR="00695904">
        <w:rPr>
          <w:rFonts w:ascii="Calisto MT" w:hAnsi="Calisto MT" w:cs="Times New Roman"/>
          <w:lang w:val="en-GB"/>
        </w:rPr>
        <w:t xml:space="preserve"> points</w:t>
      </w:r>
      <w:r w:rsidR="00960637">
        <w:rPr>
          <w:rFonts w:ascii="Calisto MT" w:hAnsi="Calisto MT" w:cs="Times New Roman"/>
          <w:lang w:val="en-GB"/>
        </w:rPr>
        <w:t xml:space="preserve"> with 49 </w:t>
      </w:r>
      <w:r w:rsidR="00921523">
        <w:rPr>
          <w:rFonts w:ascii="Calisto MT" w:hAnsi="Calisto MT" w:cs="Times New Roman"/>
          <w:lang w:val="en-GB"/>
        </w:rPr>
        <w:t xml:space="preserve">indicating worst outcome. </w:t>
      </w:r>
    </w:p>
    <w:p w14:paraId="19FE47F2" w14:textId="563A9E0F" w:rsidR="007F3965" w:rsidRDefault="009872A5" w:rsidP="009872A5">
      <w:pPr>
        <w:jc w:val="both"/>
        <w:rPr>
          <w:rFonts w:ascii="Calisto MT" w:hAnsi="Calisto MT" w:cs="Times New Roman"/>
          <w:lang w:val="en-GB"/>
        </w:rPr>
      </w:pPr>
      <w:r w:rsidRPr="0037435A">
        <w:rPr>
          <w:rFonts w:ascii="Calisto MT" w:hAnsi="Calisto MT" w:cs="Times New Roman"/>
          <w:lang w:val="en-GB"/>
        </w:rPr>
        <w:t>The hand function questionnaire has been proposed by the RAPCO study as a tool to evaluate quality of life impact by radial artery harvest</w:t>
      </w:r>
      <w:r w:rsidR="00E81341">
        <w:rPr>
          <w:rFonts w:ascii="Calisto MT" w:hAnsi="Calisto MT" w:cs="Times New Roman"/>
          <w:lang w:val="en-GB"/>
        </w:rPr>
        <w:fldChar w:fldCharType="begin"/>
      </w:r>
      <w:r w:rsidR="00BF53DB">
        <w:rPr>
          <w:rFonts w:ascii="Calisto MT" w:hAnsi="Calisto MT" w:cs="Times New Roman"/>
          <w:lang w:val="en-GB"/>
        </w:rPr>
        <w:instrText xml:space="preserve"> ADDIN ZOTERO_ITEM CSL_CITATION {"citationID":"a1flachaul","properties":{"formattedCitation":"\\super 1\\nosupersub{}","plainCitation":"1","noteIndex":0},"citationItems":[{"id":579,"uris":["http://zotero.org/users/766374/items/8EXZ295U"],"itemData":{"id":579,"type":"article-journal","abstract":"OBJECTIVE\n\nThe radial artery (RA) has gained popularity as a conduit for coronary artery bypass surgery despite a paucity of patient-centered analysis of long-term quality of life after its removal. We sought to characterize forearm function and symptoms after RA harvest and compare these with those associated with saphenous vein (SV) removal.\n\n\nMETHODS\n\nA total of 408 patients from an RA trial completed a questionnaire up to 14 years after primary coronary artery bypass surgery. The survey included 7 statements concerning hand and forearm symptoms or limitations in daily life and 4 questions on concerns associated with arm or leg scars. A total of 230 patients had received an RA graft (RA group). Responses were graded in order of severity from 0 to 7, with greater than 3 (mild concern) being regarded as a significant symptom. Mean response to each question and total scores were compared with the non-RA harvest group. Comparisons were also made with responses to the same questionnaire completed preoperatively and 3 months postoperatively. In patients who had both RA and SV removal, we compared the impact of a forearm scar on quality of life with that of a leg scar.\n\n\nRESULTS\n\nThe mean duration of follow-up was 9.3 years (range, 4-14 years), and the response rate was 83%. In the RA group, 92% to 99% reported no significant symptoms, with the most frequent concerns relating to pain and numbness (8% each), but this was not significantly higher than in those who had not had an RA harvested. In the RA group, the mean scores for scar appearance and discomfort were 0.95 and 0.93, respectively (where 1 = no concern), suggesting satisfactory cosmesis and no impact on function. Symptom severity was significantly worse in 6 of 7 questions when compared with preoperative responses and in 4 of 7 items compared with 3-month follow-up, indicating a general deterioration in function over long-term follow-up. In those who had both the RA and SV harvested, patients reported more scar discomfort associated with SV harvest at 3 months (1.69 vs 1.34, P &lt; .001) and in the present questionnaire (1.21 vs 0.97, P = .002). Concerns with scar appearance were no different between the arm and leg.\n\n\nCONCLUSIONS\n\nRA harvesting is associated with high patient satisfaction and less scar discomfort than SV removal. Overall, functionality declines with time, and a small proportion of patients seem to experience forearm pain and numbness. However, this is not different than in those without artery removal and may therefore be unrelated to the effects of surgery.","archive":"RA","archive_location":"Neurology","container-title":"The Journal of thoracic and cardiovascular surgery","DOI":"10.1016/j.jtcvs.2012.01.052","ISSN":"1097-685X","issue":"2","journalAbbreviation":"J. Thorac. Cardiovasc. Surg.","note":"PMID: 22364894","page":"412-419","source":"NCBI PubMed","title":"Long-term impact of radial artery harvest on forearm function and symptoms: A comparison with leg vein","title-short":"Long-term impact of radial artery harvest on forearm function and symptoms","volume":"145","author":[{"family":"Zhu","given":"Ying Yan"},{"family":"Hayward","given":"Philip A R"},{"family":"Hadinata","given":"Ignatius E"},{"family":"Matalanis","given":"George"},{"family":"Buxton","given":"Brian F"},{"family":"Stewart","given":"Andrew G"},{"family":"Hare","given":"David L"}],"issued":{"date-parts":[["2013",2]]}}}],"schema":"https://github.com/citation-style-language/schema/raw/master/csl-citation.json"} </w:instrText>
      </w:r>
      <w:r w:rsidR="00E81341">
        <w:rPr>
          <w:rFonts w:ascii="Calisto MT" w:hAnsi="Calisto MT" w:cs="Times New Roman"/>
          <w:lang w:val="en-GB"/>
        </w:rPr>
        <w:fldChar w:fldCharType="separate"/>
      </w:r>
      <w:r w:rsidR="00BF53DB" w:rsidRPr="00BF53DB">
        <w:rPr>
          <w:rFonts w:ascii="Calisto MT" w:hAnsi="Calisto MT" w:cs="Times New Roman"/>
          <w:vertAlign w:val="superscript"/>
        </w:rPr>
        <w:t>1</w:t>
      </w:r>
      <w:r w:rsidR="00E81341">
        <w:rPr>
          <w:rFonts w:ascii="Calisto MT" w:hAnsi="Calisto MT" w:cs="Times New Roman"/>
          <w:lang w:val="en-GB"/>
        </w:rPr>
        <w:fldChar w:fldCharType="end"/>
      </w:r>
      <w:r w:rsidRPr="0037435A">
        <w:rPr>
          <w:rFonts w:ascii="Calisto MT" w:hAnsi="Calisto MT" w:cs="Times New Roman"/>
          <w:lang w:val="en-GB"/>
        </w:rPr>
        <w:t>. This outcome will be non-blinded. The trial nurse assigned to the NEO trial will record the responses of the participants. Source data will be the completed questionnaire.</w:t>
      </w:r>
    </w:p>
    <w:p w14:paraId="5661F2C0" w14:textId="394DD345" w:rsidR="00845855" w:rsidRDefault="002157CF" w:rsidP="00845855">
      <w:pPr>
        <w:pStyle w:val="Overskrift6"/>
      </w:pPr>
      <w:r>
        <w:t>Sample size</w:t>
      </w:r>
      <w:r w:rsidR="00845855">
        <w:t xml:space="preserve"> estimations for primary outcome</w:t>
      </w:r>
    </w:p>
    <w:p w14:paraId="42429FC7" w14:textId="5797C917" w:rsidR="00845855" w:rsidRDefault="00845855" w:rsidP="00845855">
      <w:pPr>
        <w:jc w:val="both"/>
        <w:rPr>
          <w:rFonts w:ascii="Calisto MT" w:hAnsi="Calisto MT" w:cs="Times New Roman"/>
          <w:lang w:val="en-GB"/>
        </w:rPr>
      </w:pPr>
      <w:r w:rsidRPr="0037435A">
        <w:rPr>
          <w:rFonts w:ascii="Calisto MT" w:hAnsi="Calisto MT" w:cs="Times New Roman"/>
          <w:lang w:val="en-GB"/>
        </w:rPr>
        <w:t xml:space="preserve">In </w:t>
      </w:r>
      <w:r>
        <w:rPr>
          <w:rFonts w:ascii="Calisto MT" w:hAnsi="Calisto MT" w:cs="Times New Roman"/>
          <w:lang w:val="en-GB"/>
        </w:rPr>
        <w:t xml:space="preserve">NEO </w:t>
      </w:r>
      <w:r w:rsidR="00695904">
        <w:rPr>
          <w:rFonts w:ascii="Calisto MT" w:hAnsi="Calisto MT" w:cs="Times New Roman"/>
          <w:lang w:val="en-GB"/>
        </w:rPr>
        <w:t>T</w:t>
      </w:r>
      <w:r>
        <w:rPr>
          <w:rFonts w:ascii="Calisto MT" w:hAnsi="Calisto MT" w:cs="Times New Roman"/>
          <w:lang w:val="en-GB"/>
        </w:rPr>
        <w:t>rial 1</w:t>
      </w:r>
      <w:r w:rsidR="00695904">
        <w:rPr>
          <w:rFonts w:ascii="Calisto MT" w:hAnsi="Calisto MT" w:cs="Times New Roman"/>
          <w:lang w:val="en-GB"/>
        </w:rPr>
        <w:t>,</w:t>
      </w:r>
      <w:r w:rsidRPr="0037435A">
        <w:rPr>
          <w:rFonts w:ascii="Calisto MT" w:hAnsi="Calisto MT" w:cs="Times New Roman"/>
          <w:lang w:val="en-GB"/>
        </w:rPr>
        <w:t xml:space="preserve"> we are comparing endoscopic (experimental) with open (control) technique when harvesting the radial artery. </w:t>
      </w:r>
      <w:r>
        <w:rPr>
          <w:rFonts w:ascii="Calisto MT" w:hAnsi="Calisto MT" w:cs="Times New Roman"/>
          <w:lang w:val="en-GB"/>
        </w:rPr>
        <w:t>Used i</w:t>
      </w:r>
      <w:r w:rsidRPr="0037435A">
        <w:rPr>
          <w:rFonts w:ascii="Calisto MT" w:hAnsi="Calisto MT" w:cs="Times New Roman"/>
          <w:lang w:val="en-GB"/>
        </w:rPr>
        <w:t xml:space="preserve">n a previous </w:t>
      </w:r>
      <w:r>
        <w:rPr>
          <w:rFonts w:ascii="Calisto MT" w:hAnsi="Calisto MT" w:cs="Times New Roman"/>
          <w:lang w:val="en-GB"/>
        </w:rPr>
        <w:t>trial</w:t>
      </w:r>
      <w:r w:rsidRPr="0037435A">
        <w:rPr>
          <w:rFonts w:ascii="Calisto MT" w:hAnsi="Calisto MT" w:cs="Times New Roman"/>
          <w:lang w:val="en-GB"/>
        </w:rPr>
        <w:t xml:space="preserve">, the </w:t>
      </w:r>
      <w:r>
        <w:rPr>
          <w:rFonts w:ascii="Calisto MT" w:hAnsi="Calisto MT" w:cs="Times New Roman"/>
          <w:lang w:val="en-GB"/>
        </w:rPr>
        <w:t xml:space="preserve">data for each of the two groups, when assessing the score on the hand function questionnaire, </w:t>
      </w:r>
      <w:r w:rsidRPr="0037435A">
        <w:rPr>
          <w:rFonts w:ascii="Calisto MT" w:hAnsi="Calisto MT" w:cs="Times New Roman"/>
          <w:lang w:val="en-GB"/>
        </w:rPr>
        <w:t>was normally distributed with a standard deviation of 8</w:t>
      </w:r>
      <w:r w:rsidR="00BF53DB">
        <w:rPr>
          <w:rFonts w:ascii="Calisto MT" w:hAnsi="Calisto MT" w:cs="Times New Roman"/>
          <w:lang w:val="en-GB"/>
        </w:rPr>
        <w:fldChar w:fldCharType="begin"/>
      </w:r>
      <w:r w:rsidR="00BD125E">
        <w:rPr>
          <w:rFonts w:ascii="Calisto MT" w:hAnsi="Calisto MT" w:cs="Times New Roman"/>
          <w:lang w:val="en-GB"/>
        </w:rPr>
        <w:instrText xml:space="preserve"> ADDIN ZOTERO_ITEM CSL_CITATION {"citationID":"a1q2ukf1ds5","properties":{"formattedCitation":"\\super 1\\nosupersub{}","plainCitation":"1","noteIndex":0},"citationItems":[{"id":579,"uris":["http://zotero.org/users/766374/items/8EXZ295U"],"itemData":{"id":579,"type":"article-journal","abstract":"OBJECTIVE\n\nThe radial artery (RA) has gained popularity as a conduit for coronary artery bypass surgery despite a paucity of patient-centered analysis of long-term quality of life after its removal. We sought to characterize forearm function and symptoms after RA harvest and compare these with those associated with saphenous vein (SV) removal.\n\n\nMETHODS\n\nA total of 408 patients from an RA trial completed a questionnaire up to 14 years after primary coronary artery bypass surgery. The survey included 7 statements concerning hand and forearm symptoms or limitations in daily life and 4 questions on concerns associated with arm or leg scars. A total of 230 patients had received an RA graft (RA group). Responses were graded in order of severity from 0 to 7, with greater than 3 (mild concern) being regarded as a significant symptom. Mean response to each question and total scores were compared with the non-RA harvest group. Comparisons were also made with responses to the same questionnaire completed preoperatively and 3 months postoperatively. In patients who had both RA and SV removal, we compared the impact of a forearm scar on quality of life with that of a leg scar.\n\n\nRESULTS\n\nThe mean duration of follow-up was 9.3 years (range, 4-14 years), and the response rate was 83%. In the RA group, 92% to 99% reported no significant symptoms, with the most frequent concerns relating to pain and numbness (8% each), but this was not significantly higher than in those who had not had an RA harvested. In the RA group, the mean scores for scar appearance and discomfort were 0.95 and 0.93, respectively (where 1 = no concern), suggesting satisfactory cosmesis and no impact on function. Symptom severity was significantly worse in 6 of 7 questions when compared with preoperative responses and in 4 of 7 items compared with 3-month follow-up, indicating a general deterioration in function over long-term follow-up. In those who had both the RA and SV harvested, patients reported more scar discomfort associated with SV harvest at 3 months (1.69 vs 1.34, P &lt; .001) and in the present questionnaire (1.21 vs 0.97, P = .002). Concerns with scar appearance were no different between the arm and leg.\n\n\nCONCLUSIONS\n\nRA harvesting is associated with high patient satisfaction and less scar discomfort than SV removal. Overall, functionality declines with time, and a small proportion of patients seem to experience forearm pain and numbness. However, this is not different than in those without artery removal and may therefore be unrelated to the effects of surgery.","archive":"RA","archive_location":"Neurology","container-title":"The Journal of thoracic and cardiovascular surgery","DOI":"10.1016/j.jtcvs.2012.01.052","ISSN":"1097-685X","issue":"2","journalAbbreviation":"J. Thorac. Cardiovasc. Surg.","note":"PMID: 22364894","page":"412-419","source":"NCBI PubMed","title":"Long-term impact of radial artery harvest on forearm function and symptoms: A comparison with leg vein","title-short":"Long-term impact of radial artery harvest on forearm function and symptoms","volume":"145","author":[{"family":"Zhu","given":"Ying Yan"},{"family":"Hayward","given":"Philip A R"},{"family":"Hadinata","given":"Ignatius E"},{"family":"Matalanis","given":"George"},{"family":"Buxton","given":"Brian F"},{"family":"Stewart","given":"Andrew G"},{"family":"Hare","given":"David L"}],"issued":{"date-parts":[["2013",2]]}}}],"schema":"https://github.com/citation-style-language/schema/raw/master/csl-citation.json"} </w:instrText>
      </w:r>
      <w:r w:rsidR="00BF53DB">
        <w:rPr>
          <w:rFonts w:ascii="Calisto MT" w:hAnsi="Calisto MT" w:cs="Times New Roman"/>
          <w:lang w:val="en-GB"/>
        </w:rPr>
        <w:fldChar w:fldCharType="separate"/>
      </w:r>
      <w:r w:rsidR="00BD125E" w:rsidRPr="00BD125E">
        <w:rPr>
          <w:rFonts w:ascii="Calisto MT" w:hAnsi="Calisto MT" w:cs="Times New Roman"/>
          <w:vertAlign w:val="superscript"/>
        </w:rPr>
        <w:t>1</w:t>
      </w:r>
      <w:r w:rsidR="00BF53DB">
        <w:rPr>
          <w:rFonts w:ascii="Calisto MT" w:hAnsi="Calisto MT" w:cs="Times New Roman"/>
          <w:lang w:val="en-GB"/>
        </w:rPr>
        <w:fldChar w:fldCharType="end"/>
      </w:r>
      <w:r w:rsidRPr="0037435A">
        <w:rPr>
          <w:rFonts w:ascii="Calisto MT" w:hAnsi="Calisto MT" w:cs="Times New Roman"/>
          <w:lang w:val="en-GB"/>
        </w:rPr>
        <w:t xml:space="preserve">. If the true difference in the experimental and control means is 3, we </w:t>
      </w:r>
      <w:r>
        <w:rPr>
          <w:rFonts w:ascii="Calisto MT" w:hAnsi="Calisto MT" w:cs="Times New Roman"/>
          <w:lang w:val="en-GB"/>
        </w:rPr>
        <w:t xml:space="preserve">estimated that we would </w:t>
      </w:r>
      <w:r w:rsidRPr="0037435A">
        <w:rPr>
          <w:rFonts w:ascii="Calisto MT" w:hAnsi="Calisto MT" w:cs="Times New Roman"/>
          <w:lang w:val="en-GB"/>
        </w:rPr>
        <w:t xml:space="preserve">need to study 150 experimental participants and 150 control participants to be able to reject the null hypothesis that the population means of the </w:t>
      </w:r>
      <w:r w:rsidRPr="0037435A">
        <w:rPr>
          <w:rFonts w:ascii="Calisto MT" w:hAnsi="Calisto MT" w:cs="Times New Roman"/>
          <w:lang w:val="en-GB"/>
        </w:rPr>
        <w:lastRenderedPageBreak/>
        <w:t>experimental and control groups are equal with probability (power) 90%</w:t>
      </w:r>
      <w:r>
        <w:rPr>
          <w:rFonts w:ascii="Calisto MT" w:hAnsi="Calisto MT" w:cs="Times New Roman"/>
          <w:lang w:val="en-GB"/>
        </w:rPr>
        <w:fldChar w:fldCharType="begin"/>
      </w:r>
      <w:r w:rsidR="00E81341">
        <w:rPr>
          <w:rFonts w:ascii="Calisto MT" w:hAnsi="Calisto MT" w:cs="Times New Roman"/>
          <w:lang w:val="en-GB"/>
        </w:rPr>
        <w:instrText xml:space="preserve"> ADDIN ZOTERO_ITEM CSL_CITATION {"citationID":"ab9m6flpg3","properties":{"formattedCitation":"\\super 2\\nosupersub{}","plainCitation":"2","noteIndex":0},"citationItems":[{"id":12774,"uris":["http://zotero.org/users/766374/items/9CCKRKXD"],"itemData":{"id":12774,"type":"article-journal","abstract":"BACKGROUND: Coronary artery bypass grafting using the radial artery has, since the 1990s, gone through a revival. Observational studies have indicated better long-term patency when using radial arteries. Therefore, radial artery might be preferred especially in younger patients where long time patency is important. During the last 10 years different endoscopic techniques to harvest the radial artery have evolved. Endoscopic radial artery harvest only requires a small incision near the wrist in contrast to open harvest, which requires an incision from the elbow to the wrist. However, it is unknown whether the endoscopic technique results in fewer complications or a graft patency comparable to open harvest. When the radial artery has been harvested, there are two ways to use the radial artery as a graft. One way is sewing it onto the aorta and another is sewing it onto the mammary artery. It is unknown which technique is the superior revascularisation technique.\nMETHODS/DESIGN: The NEO Trial is a randomised clinical trial with a 2</w:instrText>
      </w:r>
      <w:r w:rsidR="00E81341">
        <w:rPr>
          <w:rFonts w:ascii="Times New Roman" w:hAnsi="Times New Roman" w:cs="Times New Roman"/>
          <w:lang w:val="en-GB"/>
        </w:rPr>
        <w:instrText> </w:instrText>
      </w:r>
      <w:r w:rsidR="00E81341">
        <w:rPr>
          <w:rFonts w:ascii="Calisto MT" w:hAnsi="Calisto MT" w:cs="Times New Roman"/>
          <w:lang w:val="en-GB"/>
        </w:rPr>
        <w:instrText>×</w:instrText>
      </w:r>
      <w:r w:rsidR="00E81341">
        <w:rPr>
          <w:rFonts w:ascii="Times New Roman" w:hAnsi="Times New Roman" w:cs="Times New Roman"/>
          <w:lang w:val="en-GB"/>
        </w:rPr>
        <w:instrText> </w:instrText>
      </w:r>
      <w:r w:rsidR="00E81341">
        <w:rPr>
          <w:rFonts w:ascii="Calisto MT" w:hAnsi="Calisto MT" w:cs="Times New Roman"/>
          <w:lang w:val="en-GB"/>
        </w:rPr>
        <w:instrText>2 factorial design. We plan to randomise 300 participants into four intervention groups: (1) mammario-radial endoscopic group; (2) aorto-radial endoscopic group; (3) mammario-radial open surgery group; and (4) aorto-radial open surgery group.The hand function will be assessed by a questionnaire, a clinical examination, the change in cutaneous sensibility, and the measurement of both sensory and motor nerve conduction velocity at 3 months postoperatively. All the postoperative complications will be registered, and we will evaluate muscular function, scar appearance, vascular supply to the hand, and the graft patency including the patency of the central radial artery anastomosis. A patency evaluation by multi-slice computer tomography will be done at one year postoperatively.We expect the nerve conduction studies and the standardised neurological examinations to be able to discriminate differences in hand function comparing endoscopic to open harvest of the radial artery. The trial also aims to show if there is any patency difference between mammario-radial compared to aorto-radial revascularisation techniques but this objective is exploratory.\nTRIAL REGISTRATION: ClinicalTrials.gov identifier: NCT01848886.Danish Ethics committee number: H-3-2012-116.Danish Data Protection Agency: 2007-58-0015/jr.n:30-0838.","container-title":"Trials","DOI":"10.1186/1745-6215-15-135","ISSN":"1745-6215","journalAbbreviation":"Trials","language":"eng","note":"PMID: 24754891\nPMCID: PMC4033613","page":"135","source":"PubMed","title":"Endoscopic versus open radial artery harvest and mammario-radial versus aorto-radial grafting in patients undergoing coronary artery bypass surgery: protocol for the 2</w:instrText>
      </w:r>
      <w:r w:rsidR="00E81341">
        <w:rPr>
          <w:rFonts w:ascii="Times New Roman" w:hAnsi="Times New Roman" w:cs="Times New Roman"/>
          <w:lang w:val="en-GB"/>
        </w:rPr>
        <w:instrText> </w:instrText>
      </w:r>
      <w:r w:rsidR="00E81341">
        <w:rPr>
          <w:rFonts w:ascii="Calisto MT" w:hAnsi="Calisto MT" w:cs="Times New Roman"/>
          <w:lang w:val="en-GB"/>
        </w:rPr>
        <w:instrText>×</w:instrText>
      </w:r>
      <w:r w:rsidR="00E81341">
        <w:rPr>
          <w:rFonts w:ascii="Times New Roman" w:hAnsi="Times New Roman" w:cs="Times New Roman"/>
          <w:lang w:val="en-GB"/>
        </w:rPr>
        <w:instrText> </w:instrText>
      </w:r>
      <w:r w:rsidR="00E81341">
        <w:rPr>
          <w:rFonts w:ascii="Calisto MT" w:hAnsi="Calisto MT" w:cs="Times New Roman"/>
          <w:lang w:val="en-GB"/>
        </w:rPr>
        <w:instrText xml:space="preserve">2 factorial designed randomised NEO trial","title-short":"Endoscopic versus open radial artery harvest and mammario-radial versus aorto-radial grafting in patients undergoing coronary artery bypass surgery","volume":"15","author":[{"family":"Carranza","given":"Christian L."},{"family":"Ballegaard","given":"Martin"},{"family":"Werner","given":"Mads U."},{"family":"Hasbak","given":"Philip"},{"family":"Kjær","given":"Andreas"},{"family":"Kofoed","given":"Klaus F."},{"family":"Lindschou","given":"Jane"},{"family":"Jakobsen","given":"Janus Christian"},{"family":"Gluud","given":"Christian"},{"family":"Olsen","given":"Peter Skov"},{"family":"Steinbrüchel","given":"Daniel A."}],"issued":{"date-parts":[["2014"]]}}}],"schema":"https://github.com/citation-style-language/schema/raw/master/csl-citation.json"} </w:instrText>
      </w:r>
      <w:r>
        <w:rPr>
          <w:rFonts w:ascii="Calisto MT" w:hAnsi="Calisto MT" w:cs="Times New Roman"/>
          <w:lang w:val="en-GB"/>
        </w:rPr>
        <w:fldChar w:fldCharType="separate"/>
      </w:r>
      <w:r w:rsidR="00E81341" w:rsidRPr="00E81341">
        <w:rPr>
          <w:rFonts w:ascii="Calisto MT" w:hAnsi="Calisto MT" w:cs="Times New Roman"/>
          <w:vertAlign w:val="superscript"/>
        </w:rPr>
        <w:t>2</w:t>
      </w:r>
      <w:r>
        <w:rPr>
          <w:rFonts w:ascii="Calisto MT" w:hAnsi="Calisto MT" w:cs="Times New Roman"/>
          <w:lang w:val="en-GB"/>
        </w:rPr>
        <w:fldChar w:fldCharType="end"/>
      </w:r>
      <w:r w:rsidRPr="0037435A">
        <w:rPr>
          <w:rFonts w:ascii="Calisto MT" w:hAnsi="Calisto MT" w:cs="Times New Roman"/>
          <w:lang w:val="en-GB"/>
        </w:rPr>
        <w:t>. The type I error probability associated with this test of this null hypothesis is 5%. In total, we thus need to include 300 participants.</w:t>
      </w:r>
    </w:p>
    <w:p w14:paraId="28361DBD" w14:textId="6B98C80F" w:rsidR="007F3965" w:rsidRPr="0037435A" w:rsidRDefault="005D04D5" w:rsidP="007447BE">
      <w:pPr>
        <w:pStyle w:val="Overskrift3"/>
      </w:pPr>
      <w:r>
        <w:t>S</w:t>
      </w:r>
      <w:r w:rsidR="007F3965" w:rsidRPr="0037435A">
        <w:t>econdary outcomes</w:t>
      </w:r>
    </w:p>
    <w:p w14:paraId="3F1F96EE" w14:textId="15555D61" w:rsidR="007F3965" w:rsidRPr="0037435A" w:rsidRDefault="295DE9C3" w:rsidP="007F3965">
      <w:pPr>
        <w:pStyle w:val="Overskrift4"/>
        <w:rPr>
          <w:rFonts w:ascii="Calisto MT" w:hAnsi="Calisto MT"/>
        </w:rPr>
      </w:pPr>
      <w:r w:rsidRPr="295DE9C3">
        <w:rPr>
          <w:rFonts w:ascii="Calisto MT" w:hAnsi="Calisto MT"/>
        </w:rPr>
        <w:t xml:space="preserve">(A) </w:t>
      </w:r>
      <w:r w:rsidR="00CF7B0B" w:rsidRPr="00CF7B0B">
        <w:rPr>
          <w:rFonts w:ascii="Calisto MT" w:hAnsi="Calisto MT"/>
        </w:rPr>
        <w:t>Neurological deficit based on nerve conduction studies</w:t>
      </w:r>
    </w:p>
    <w:p w14:paraId="39EDF5F0" w14:textId="77777777" w:rsidR="007F3965" w:rsidRPr="0037435A" w:rsidRDefault="007F3965" w:rsidP="004855BB">
      <w:pPr>
        <w:jc w:val="both"/>
        <w:rPr>
          <w:lang w:val="en-GB"/>
        </w:rPr>
      </w:pPr>
      <w:r w:rsidRPr="0037435A">
        <w:rPr>
          <w:lang w:val="en-GB"/>
        </w:rPr>
        <w:t>The nerve function will be assessed in joint venture with the Department of Neurophysiology, Rigshospitalet, Copenhagen, Denmark, and is planned as follows:</w:t>
      </w:r>
    </w:p>
    <w:tbl>
      <w:tblPr>
        <w:tblW w:w="5000" w:type="pct"/>
        <w:tblCellMar>
          <w:top w:w="15" w:type="dxa"/>
          <w:left w:w="15" w:type="dxa"/>
          <w:bottom w:w="15" w:type="dxa"/>
          <w:right w:w="15" w:type="dxa"/>
        </w:tblCellMar>
        <w:tblLook w:val="04A0" w:firstRow="1" w:lastRow="0" w:firstColumn="1" w:lastColumn="0" w:noHBand="0" w:noVBand="1"/>
      </w:tblPr>
      <w:tblGrid>
        <w:gridCol w:w="284"/>
        <w:gridCol w:w="9191"/>
      </w:tblGrid>
      <w:tr w:rsidR="007F3965" w:rsidRPr="0037435A" w14:paraId="1E575F4C" w14:textId="77777777" w:rsidTr="0080767D">
        <w:tc>
          <w:tcPr>
            <w:tcW w:w="150" w:type="pct"/>
            <w:hideMark/>
          </w:tcPr>
          <w:p w14:paraId="7900CAFB" w14:textId="77777777" w:rsidR="007F3965" w:rsidRPr="0037435A" w:rsidRDefault="007F3965" w:rsidP="0080767D">
            <w:pPr>
              <w:rPr>
                <w:rFonts w:ascii="Calisto MT" w:hAnsi="Calisto MT"/>
                <w:lang w:val="en-GB"/>
              </w:rPr>
            </w:pPr>
            <w:r w:rsidRPr="0037435A">
              <w:rPr>
                <w:rFonts w:ascii="Calisto MT" w:hAnsi="Calisto MT"/>
                <w:lang w:val="en-GB"/>
              </w:rPr>
              <w:t>1.</w:t>
            </w:r>
          </w:p>
        </w:tc>
        <w:tc>
          <w:tcPr>
            <w:tcW w:w="0" w:type="auto"/>
            <w:vAlign w:val="center"/>
            <w:hideMark/>
          </w:tcPr>
          <w:p w14:paraId="2E77F45F" w14:textId="77777777" w:rsidR="007F3965" w:rsidRPr="0037435A" w:rsidRDefault="007F3965">
            <w:pPr>
              <w:spacing w:line="240" w:lineRule="auto"/>
              <w:rPr>
                <w:rStyle w:val="simple"/>
                <w:rFonts w:ascii="Calisto MT" w:hAnsi="Calisto MT" w:cs="Times New Roman"/>
                <w:lang w:val="en-GB"/>
              </w:rPr>
            </w:pPr>
            <w:r w:rsidRPr="0037435A">
              <w:rPr>
                <w:rStyle w:val="simple"/>
                <w:rFonts w:ascii="Calisto MT" w:eastAsia="Times New Roman" w:hAnsi="Calisto MT" w:cs="Times New Roman"/>
                <w:lang w:val="en-GB"/>
              </w:rPr>
              <w:t>Cutaneous sensibility on both forearms and hands by appraisal of dermatomes. All sensibility modalities are examined:</w:t>
            </w:r>
          </w:p>
          <w:tbl>
            <w:tblPr>
              <w:tblW w:w="5000" w:type="pct"/>
              <w:tblCellMar>
                <w:top w:w="15" w:type="dxa"/>
                <w:left w:w="15" w:type="dxa"/>
                <w:bottom w:w="15" w:type="dxa"/>
                <w:right w:w="15" w:type="dxa"/>
              </w:tblCellMar>
              <w:tblLook w:val="04A0" w:firstRow="1" w:lastRow="0" w:firstColumn="1" w:lastColumn="0" w:noHBand="0" w:noVBand="1"/>
            </w:tblPr>
            <w:tblGrid>
              <w:gridCol w:w="275"/>
              <w:gridCol w:w="8886"/>
            </w:tblGrid>
            <w:tr w:rsidR="007F3965" w:rsidRPr="0037435A" w14:paraId="3BD182BA" w14:textId="77777777" w:rsidTr="0080767D">
              <w:tc>
                <w:tcPr>
                  <w:tcW w:w="150" w:type="pct"/>
                  <w:vAlign w:val="center"/>
                  <w:hideMark/>
                </w:tcPr>
                <w:p w14:paraId="4AE6BDA6" w14:textId="77777777" w:rsidR="007F3965" w:rsidRPr="0037435A" w:rsidRDefault="007F3965">
                  <w:pPr>
                    <w:spacing w:line="240" w:lineRule="auto"/>
                    <w:rPr>
                      <w:lang w:val="en-GB"/>
                    </w:rPr>
                  </w:pPr>
                  <w:r w:rsidRPr="0037435A">
                    <w:rPr>
                      <w:lang w:val="en-GB"/>
                    </w:rPr>
                    <w:t>a.</w:t>
                  </w:r>
                </w:p>
              </w:tc>
              <w:tc>
                <w:tcPr>
                  <w:tcW w:w="0" w:type="auto"/>
                  <w:vAlign w:val="center"/>
                  <w:hideMark/>
                </w:tcPr>
                <w:p w14:paraId="11065AAE"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Cutaneous touch sensibility examined by von Frey filaments.</w:t>
                  </w:r>
                </w:p>
              </w:tc>
            </w:tr>
            <w:tr w:rsidR="007F3965" w:rsidRPr="0037435A" w14:paraId="1A901249" w14:textId="77777777" w:rsidTr="0080767D">
              <w:tc>
                <w:tcPr>
                  <w:tcW w:w="150" w:type="pct"/>
                  <w:vAlign w:val="center"/>
                  <w:hideMark/>
                </w:tcPr>
                <w:p w14:paraId="6F90F847" w14:textId="77777777" w:rsidR="007F3965" w:rsidRPr="0037435A" w:rsidRDefault="007F3965">
                  <w:pPr>
                    <w:spacing w:line="240" w:lineRule="auto"/>
                    <w:rPr>
                      <w:lang w:val="en-GB"/>
                    </w:rPr>
                  </w:pPr>
                  <w:r w:rsidRPr="0037435A">
                    <w:rPr>
                      <w:lang w:val="en-GB"/>
                    </w:rPr>
                    <w:t>b.</w:t>
                  </w:r>
                </w:p>
              </w:tc>
              <w:tc>
                <w:tcPr>
                  <w:tcW w:w="0" w:type="auto"/>
                  <w:vAlign w:val="center"/>
                  <w:hideMark/>
                </w:tcPr>
                <w:p w14:paraId="2791AC69"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Deep pain sensibility examined by pressure algometry.</w:t>
                  </w:r>
                </w:p>
              </w:tc>
            </w:tr>
          </w:tbl>
          <w:p w14:paraId="241A41B4" w14:textId="77777777" w:rsidR="007F3965" w:rsidRPr="0037435A" w:rsidRDefault="007F3965">
            <w:pPr>
              <w:spacing w:line="240" w:lineRule="auto"/>
              <w:rPr>
                <w:rStyle w:val="simple"/>
                <w:rFonts w:ascii="Calisto MT" w:hAnsi="Calisto MT" w:cs="Times New Roman"/>
                <w:lang w:val="en-GB"/>
              </w:rPr>
            </w:pPr>
          </w:p>
        </w:tc>
      </w:tr>
      <w:tr w:rsidR="007F3965" w:rsidRPr="0037435A" w14:paraId="5780C1EA" w14:textId="77777777" w:rsidTr="0080767D">
        <w:tc>
          <w:tcPr>
            <w:tcW w:w="150" w:type="pct"/>
            <w:hideMark/>
          </w:tcPr>
          <w:p w14:paraId="18EFB656" w14:textId="77777777" w:rsidR="007F3965" w:rsidRPr="0037435A" w:rsidRDefault="007F3965" w:rsidP="0080767D">
            <w:pPr>
              <w:rPr>
                <w:rFonts w:ascii="Calisto MT" w:hAnsi="Calisto MT"/>
                <w:lang w:val="en-GB"/>
              </w:rPr>
            </w:pPr>
            <w:r w:rsidRPr="0037435A">
              <w:rPr>
                <w:rFonts w:ascii="Calisto MT" w:hAnsi="Calisto MT"/>
                <w:lang w:val="en-GB"/>
              </w:rPr>
              <w:t>2.</w:t>
            </w:r>
          </w:p>
        </w:tc>
        <w:tc>
          <w:tcPr>
            <w:tcW w:w="0" w:type="auto"/>
            <w:vAlign w:val="center"/>
            <w:hideMark/>
          </w:tcPr>
          <w:p w14:paraId="3F32BEE9" w14:textId="77777777" w:rsidR="007F3965" w:rsidRPr="0037435A" w:rsidRDefault="007F3965">
            <w:pPr>
              <w:spacing w:line="240" w:lineRule="auto"/>
              <w:rPr>
                <w:rStyle w:val="simple"/>
                <w:rFonts w:ascii="Calisto MT" w:hAnsi="Calisto MT" w:cs="Times New Roman"/>
                <w:lang w:val="en-GB"/>
              </w:rPr>
            </w:pPr>
            <w:r w:rsidRPr="0037435A">
              <w:rPr>
                <w:rStyle w:val="simple"/>
                <w:rFonts w:ascii="Calisto MT" w:eastAsia="Times New Roman" w:hAnsi="Calisto MT" w:cs="Times New Roman"/>
                <w:lang w:val="en-GB"/>
              </w:rPr>
              <w:t>Sensory nerve conduction studies performed on both arms:</w:t>
            </w:r>
          </w:p>
          <w:tbl>
            <w:tblPr>
              <w:tblW w:w="5000" w:type="pct"/>
              <w:tblCellMar>
                <w:top w:w="15" w:type="dxa"/>
                <w:left w:w="15" w:type="dxa"/>
                <w:bottom w:w="15" w:type="dxa"/>
                <w:right w:w="15" w:type="dxa"/>
              </w:tblCellMar>
              <w:tblLook w:val="04A0" w:firstRow="1" w:lastRow="0" w:firstColumn="1" w:lastColumn="0" w:noHBand="0" w:noVBand="1"/>
            </w:tblPr>
            <w:tblGrid>
              <w:gridCol w:w="275"/>
              <w:gridCol w:w="8886"/>
            </w:tblGrid>
            <w:tr w:rsidR="007F3965" w:rsidRPr="0037435A" w14:paraId="038D1EC6" w14:textId="77777777" w:rsidTr="0080767D">
              <w:tc>
                <w:tcPr>
                  <w:tcW w:w="150" w:type="pct"/>
                  <w:vAlign w:val="center"/>
                  <w:hideMark/>
                </w:tcPr>
                <w:p w14:paraId="18D2B6EE" w14:textId="77777777" w:rsidR="007F3965" w:rsidRPr="0037435A" w:rsidRDefault="007F3965">
                  <w:pPr>
                    <w:spacing w:line="240" w:lineRule="auto"/>
                    <w:rPr>
                      <w:lang w:val="en-GB"/>
                    </w:rPr>
                  </w:pPr>
                  <w:r w:rsidRPr="0037435A">
                    <w:rPr>
                      <w:lang w:val="en-GB"/>
                    </w:rPr>
                    <w:t>a.</w:t>
                  </w:r>
                </w:p>
              </w:tc>
              <w:tc>
                <w:tcPr>
                  <w:tcW w:w="0" w:type="auto"/>
                  <w:vAlign w:val="center"/>
                  <w:hideMark/>
                </w:tcPr>
                <w:p w14:paraId="66C08A79"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Median nerve (digit 2 – wrist); orthodromic technique.</w:t>
                  </w:r>
                </w:p>
              </w:tc>
            </w:tr>
            <w:tr w:rsidR="007F3965" w:rsidRPr="0037435A" w14:paraId="713A4338" w14:textId="77777777" w:rsidTr="0080767D">
              <w:tc>
                <w:tcPr>
                  <w:tcW w:w="150" w:type="pct"/>
                  <w:vAlign w:val="center"/>
                  <w:hideMark/>
                </w:tcPr>
                <w:p w14:paraId="57E24B19" w14:textId="77777777" w:rsidR="007F3965" w:rsidRPr="0037435A" w:rsidRDefault="007F3965">
                  <w:pPr>
                    <w:spacing w:line="240" w:lineRule="auto"/>
                    <w:rPr>
                      <w:lang w:val="en-GB"/>
                    </w:rPr>
                  </w:pPr>
                  <w:r w:rsidRPr="0037435A">
                    <w:rPr>
                      <w:lang w:val="en-GB"/>
                    </w:rPr>
                    <w:t>b.</w:t>
                  </w:r>
                </w:p>
              </w:tc>
              <w:tc>
                <w:tcPr>
                  <w:tcW w:w="0" w:type="auto"/>
                  <w:vAlign w:val="center"/>
                  <w:hideMark/>
                </w:tcPr>
                <w:p w14:paraId="1F67EEA0"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Ulnar nerve (digit 5 – wrist); orthodromic technique.</w:t>
                  </w:r>
                </w:p>
              </w:tc>
            </w:tr>
            <w:tr w:rsidR="007F3965" w:rsidRPr="0037435A" w14:paraId="77DA732C" w14:textId="77777777" w:rsidTr="0080767D">
              <w:tc>
                <w:tcPr>
                  <w:tcW w:w="150" w:type="pct"/>
                  <w:vAlign w:val="center"/>
                  <w:hideMark/>
                </w:tcPr>
                <w:p w14:paraId="6331A60A" w14:textId="77777777" w:rsidR="007F3965" w:rsidRPr="0037435A" w:rsidRDefault="007F3965">
                  <w:pPr>
                    <w:spacing w:line="240" w:lineRule="auto"/>
                    <w:rPr>
                      <w:lang w:val="en-GB"/>
                    </w:rPr>
                  </w:pPr>
                  <w:r w:rsidRPr="0037435A">
                    <w:rPr>
                      <w:lang w:val="en-GB"/>
                    </w:rPr>
                    <w:t>c.</w:t>
                  </w:r>
                </w:p>
              </w:tc>
              <w:tc>
                <w:tcPr>
                  <w:tcW w:w="0" w:type="auto"/>
                  <w:vAlign w:val="center"/>
                  <w:hideMark/>
                </w:tcPr>
                <w:p w14:paraId="02BBC0A7"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Superficial sensory branch of the radial nerves (forearm – wrist); antidromic technique.</w:t>
                  </w:r>
                </w:p>
              </w:tc>
            </w:tr>
            <w:tr w:rsidR="007F3965" w:rsidRPr="0037435A" w14:paraId="1616DBC4" w14:textId="77777777" w:rsidTr="0080767D">
              <w:tc>
                <w:tcPr>
                  <w:tcW w:w="150" w:type="pct"/>
                  <w:vAlign w:val="center"/>
                  <w:hideMark/>
                </w:tcPr>
                <w:p w14:paraId="12815B25" w14:textId="77777777" w:rsidR="007F3965" w:rsidRPr="0037435A" w:rsidRDefault="007F3965">
                  <w:pPr>
                    <w:spacing w:line="240" w:lineRule="auto"/>
                    <w:rPr>
                      <w:lang w:val="en-GB"/>
                    </w:rPr>
                  </w:pPr>
                  <w:r w:rsidRPr="0037435A">
                    <w:rPr>
                      <w:lang w:val="en-GB"/>
                    </w:rPr>
                    <w:t>d.</w:t>
                  </w:r>
                </w:p>
              </w:tc>
              <w:tc>
                <w:tcPr>
                  <w:tcW w:w="0" w:type="auto"/>
                  <w:vAlign w:val="center"/>
                  <w:hideMark/>
                </w:tcPr>
                <w:p w14:paraId="0792641A"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Lateral antebrachial cutaneous nerve (forearm – elbow); antidromic technique.</w:t>
                  </w:r>
                </w:p>
              </w:tc>
            </w:tr>
            <w:tr w:rsidR="007F3965" w:rsidRPr="0037435A" w14:paraId="10F87DC7" w14:textId="77777777" w:rsidTr="0080767D">
              <w:tc>
                <w:tcPr>
                  <w:tcW w:w="150" w:type="pct"/>
                  <w:vAlign w:val="center"/>
                  <w:hideMark/>
                </w:tcPr>
                <w:p w14:paraId="05F9A907" w14:textId="77777777" w:rsidR="007F3965" w:rsidRPr="0037435A" w:rsidRDefault="007F3965">
                  <w:pPr>
                    <w:spacing w:line="240" w:lineRule="auto"/>
                    <w:rPr>
                      <w:lang w:val="en-GB"/>
                    </w:rPr>
                  </w:pPr>
                  <w:r w:rsidRPr="0037435A">
                    <w:rPr>
                      <w:lang w:val="en-GB"/>
                    </w:rPr>
                    <w:t>e.</w:t>
                  </w:r>
                </w:p>
              </w:tc>
              <w:tc>
                <w:tcPr>
                  <w:tcW w:w="0" w:type="auto"/>
                  <w:vAlign w:val="center"/>
                  <w:hideMark/>
                </w:tcPr>
                <w:p w14:paraId="55D61535"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Medial antebrachial cutaneous nerve (forearm – elbow); antidromic technique.</w:t>
                  </w:r>
                </w:p>
              </w:tc>
            </w:tr>
          </w:tbl>
          <w:p w14:paraId="27FE07DF" w14:textId="77777777" w:rsidR="007F3965" w:rsidRPr="0037435A" w:rsidRDefault="007F3965">
            <w:pPr>
              <w:spacing w:line="240" w:lineRule="auto"/>
              <w:rPr>
                <w:rStyle w:val="simple"/>
                <w:rFonts w:ascii="Calisto MT" w:hAnsi="Calisto MT" w:cs="Times New Roman"/>
                <w:lang w:val="en-GB"/>
              </w:rPr>
            </w:pPr>
          </w:p>
        </w:tc>
      </w:tr>
      <w:tr w:rsidR="007F3965" w:rsidRPr="0037435A" w14:paraId="6339CD63" w14:textId="77777777" w:rsidTr="0080767D">
        <w:tc>
          <w:tcPr>
            <w:tcW w:w="150" w:type="pct"/>
            <w:hideMark/>
          </w:tcPr>
          <w:p w14:paraId="019C07ED" w14:textId="77777777" w:rsidR="007F3965" w:rsidRPr="0037435A" w:rsidRDefault="007F3965" w:rsidP="0080767D">
            <w:pPr>
              <w:rPr>
                <w:rFonts w:ascii="Calisto MT" w:hAnsi="Calisto MT"/>
                <w:lang w:val="en-GB"/>
              </w:rPr>
            </w:pPr>
            <w:r w:rsidRPr="0037435A">
              <w:rPr>
                <w:rFonts w:ascii="Calisto MT" w:hAnsi="Calisto MT"/>
                <w:lang w:val="en-GB"/>
              </w:rPr>
              <w:t>3.</w:t>
            </w:r>
          </w:p>
        </w:tc>
        <w:tc>
          <w:tcPr>
            <w:tcW w:w="0" w:type="auto"/>
            <w:vAlign w:val="center"/>
            <w:hideMark/>
          </w:tcPr>
          <w:p w14:paraId="59E8C160" w14:textId="77777777" w:rsidR="007F3965" w:rsidRPr="0037435A" w:rsidRDefault="007F3965">
            <w:pPr>
              <w:spacing w:line="240" w:lineRule="auto"/>
              <w:rPr>
                <w:rStyle w:val="simple"/>
                <w:rFonts w:ascii="Calisto MT" w:hAnsi="Calisto MT" w:cs="Times New Roman"/>
                <w:lang w:val="en-GB"/>
              </w:rPr>
            </w:pPr>
            <w:r w:rsidRPr="0037435A">
              <w:rPr>
                <w:rStyle w:val="simple"/>
                <w:rFonts w:ascii="Calisto MT" w:eastAsia="Times New Roman" w:hAnsi="Calisto MT" w:cs="Times New Roman"/>
                <w:lang w:val="en-GB"/>
              </w:rPr>
              <w:t>Motor nerve conduction studies on both arms:</w:t>
            </w:r>
          </w:p>
          <w:tbl>
            <w:tblPr>
              <w:tblW w:w="5000" w:type="pct"/>
              <w:tblCellMar>
                <w:top w:w="15" w:type="dxa"/>
                <w:left w:w="15" w:type="dxa"/>
                <w:bottom w:w="15" w:type="dxa"/>
                <w:right w:w="15" w:type="dxa"/>
              </w:tblCellMar>
              <w:tblLook w:val="04A0" w:firstRow="1" w:lastRow="0" w:firstColumn="1" w:lastColumn="0" w:noHBand="0" w:noVBand="1"/>
            </w:tblPr>
            <w:tblGrid>
              <w:gridCol w:w="275"/>
              <w:gridCol w:w="8886"/>
            </w:tblGrid>
            <w:tr w:rsidR="007F3965" w:rsidRPr="0037435A" w14:paraId="7FD7A970" w14:textId="77777777" w:rsidTr="0080767D">
              <w:tc>
                <w:tcPr>
                  <w:tcW w:w="150" w:type="pct"/>
                  <w:vAlign w:val="center"/>
                  <w:hideMark/>
                </w:tcPr>
                <w:p w14:paraId="514F5525" w14:textId="77777777" w:rsidR="007F3965" w:rsidRPr="0037435A" w:rsidRDefault="007F3965">
                  <w:pPr>
                    <w:spacing w:line="240" w:lineRule="auto"/>
                    <w:rPr>
                      <w:lang w:val="en-GB"/>
                    </w:rPr>
                  </w:pPr>
                  <w:r w:rsidRPr="0037435A">
                    <w:rPr>
                      <w:lang w:val="en-GB"/>
                    </w:rPr>
                    <w:t>a.</w:t>
                  </w:r>
                </w:p>
              </w:tc>
              <w:tc>
                <w:tcPr>
                  <w:tcW w:w="0" w:type="auto"/>
                  <w:vAlign w:val="center"/>
                  <w:hideMark/>
                </w:tcPr>
                <w:p w14:paraId="6B824681" w14:textId="66B586D1" w:rsidR="007F3965" w:rsidRPr="0037435A" w:rsidRDefault="007F3965">
                  <w:pPr>
                    <w:spacing w:line="240" w:lineRule="auto"/>
                    <w:rPr>
                      <w:lang w:val="en-GB"/>
                    </w:rPr>
                  </w:pPr>
                  <w:r w:rsidRPr="0037435A">
                    <w:rPr>
                      <w:rStyle w:val="simple"/>
                      <w:rFonts w:ascii="Calisto MT" w:eastAsia="Times New Roman" w:hAnsi="Calisto MT" w:cs="Times New Roman"/>
                      <w:lang w:val="en-GB"/>
                    </w:rPr>
                    <w:t>Median nerve (wrist – abductor pol</w:t>
                  </w:r>
                  <w:r w:rsidR="00D845C3">
                    <w:rPr>
                      <w:rStyle w:val="simple"/>
                      <w:rFonts w:ascii="Calisto MT" w:eastAsia="Times New Roman" w:hAnsi="Calisto MT" w:cs="Times New Roman"/>
                      <w:lang w:val="en-GB"/>
                    </w:rPr>
                    <w:t>l</w:t>
                  </w:r>
                  <w:r w:rsidRPr="0037435A">
                    <w:rPr>
                      <w:rStyle w:val="simple"/>
                      <w:rFonts w:ascii="Calisto MT" w:eastAsia="Times New Roman" w:hAnsi="Calisto MT" w:cs="Times New Roman"/>
                      <w:lang w:val="en-GB"/>
                    </w:rPr>
                    <w:t>icis brevis muscle (APB), elbow – APB).</w:t>
                  </w:r>
                </w:p>
              </w:tc>
            </w:tr>
            <w:tr w:rsidR="007F3965" w:rsidRPr="0037435A" w14:paraId="7F227758" w14:textId="77777777" w:rsidTr="0080767D">
              <w:tc>
                <w:tcPr>
                  <w:tcW w:w="150" w:type="pct"/>
                  <w:vAlign w:val="center"/>
                  <w:hideMark/>
                </w:tcPr>
                <w:p w14:paraId="0F8C2128" w14:textId="77777777" w:rsidR="007F3965" w:rsidRPr="0037435A" w:rsidRDefault="007F3965">
                  <w:pPr>
                    <w:spacing w:line="240" w:lineRule="auto"/>
                    <w:rPr>
                      <w:lang w:val="en-GB"/>
                    </w:rPr>
                  </w:pPr>
                  <w:r w:rsidRPr="0037435A">
                    <w:rPr>
                      <w:lang w:val="en-GB"/>
                    </w:rPr>
                    <w:t>b.</w:t>
                  </w:r>
                </w:p>
              </w:tc>
              <w:tc>
                <w:tcPr>
                  <w:tcW w:w="0" w:type="auto"/>
                  <w:vAlign w:val="center"/>
                  <w:hideMark/>
                </w:tcPr>
                <w:p w14:paraId="0DE0AB90" w14:textId="77777777" w:rsidR="007F3965" w:rsidRPr="0037435A" w:rsidRDefault="007F3965">
                  <w:pPr>
                    <w:spacing w:line="240" w:lineRule="auto"/>
                    <w:rPr>
                      <w:lang w:val="en-GB"/>
                    </w:rPr>
                  </w:pPr>
                  <w:r w:rsidRPr="0037435A">
                    <w:rPr>
                      <w:rStyle w:val="simple"/>
                      <w:rFonts w:ascii="Calisto MT" w:eastAsia="Times New Roman" w:hAnsi="Calisto MT" w:cs="Times New Roman"/>
                      <w:lang w:val="en-GB"/>
                    </w:rPr>
                    <w:t xml:space="preserve">Ulnar nerve (wrist – abductor </w:t>
                  </w:r>
                  <w:proofErr w:type="spellStart"/>
                  <w:r w:rsidRPr="0037435A">
                    <w:rPr>
                      <w:rStyle w:val="simple"/>
                      <w:rFonts w:ascii="Calisto MT" w:eastAsia="Times New Roman" w:hAnsi="Calisto MT" w:cs="Times New Roman"/>
                      <w:lang w:val="en-GB"/>
                    </w:rPr>
                    <w:t>digiti</w:t>
                  </w:r>
                  <w:proofErr w:type="spellEnd"/>
                  <w:r w:rsidRPr="0037435A">
                    <w:rPr>
                      <w:rStyle w:val="simple"/>
                      <w:rFonts w:ascii="Calisto MT" w:eastAsia="Times New Roman" w:hAnsi="Calisto MT" w:cs="Times New Roman"/>
                      <w:lang w:val="en-GB"/>
                    </w:rPr>
                    <w:t xml:space="preserve"> </w:t>
                  </w:r>
                  <w:proofErr w:type="spellStart"/>
                  <w:r w:rsidRPr="0037435A">
                    <w:rPr>
                      <w:rStyle w:val="simple"/>
                      <w:rFonts w:ascii="Calisto MT" w:eastAsia="Times New Roman" w:hAnsi="Calisto MT" w:cs="Times New Roman"/>
                      <w:lang w:val="en-GB"/>
                    </w:rPr>
                    <w:t>minimi</w:t>
                  </w:r>
                  <w:proofErr w:type="spellEnd"/>
                  <w:r w:rsidRPr="0037435A">
                    <w:rPr>
                      <w:rStyle w:val="simple"/>
                      <w:rFonts w:ascii="Calisto MT" w:eastAsia="Times New Roman" w:hAnsi="Calisto MT" w:cs="Times New Roman"/>
                      <w:lang w:val="en-GB"/>
                    </w:rPr>
                    <w:t xml:space="preserve"> muscle).</w:t>
                  </w:r>
                </w:p>
              </w:tc>
            </w:tr>
          </w:tbl>
          <w:p w14:paraId="68496879" w14:textId="77777777" w:rsidR="007F3965" w:rsidRPr="0037435A" w:rsidRDefault="007F3965">
            <w:pPr>
              <w:spacing w:line="240" w:lineRule="auto"/>
              <w:rPr>
                <w:rStyle w:val="simple"/>
                <w:rFonts w:ascii="Calisto MT" w:hAnsi="Calisto MT" w:cs="Times New Roman"/>
                <w:lang w:val="en-GB"/>
              </w:rPr>
            </w:pPr>
          </w:p>
        </w:tc>
      </w:tr>
      <w:tr w:rsidR="0056791B" w:rsidRPr="0037435A" w14:paraId="58D894AB" w14:textId="77777777" w:rsidTr="0056791B">
        <w:tc>
          <w:tcPr>
            <w:tcW w:w="150" w:type="pct"/>
            <w:hideMark/>
          </w:tcPr>
          <w:p w14:paraId="72918BE2" w14:textId="719664B4" w:rsidR="0056791B" w:rsidRPr="0037435A" w:rsidRDefault="0056791B" w:rsidP="00874FB8">
            <w:pPr>
              <w:rPr>
                <w:rFonts w:ascii="Calisto MT" w:hAnsi="Calisto MT"/>
                <w:lang w:val="en-GB"/>
              </w:rPr>
            </w:pPr>
            <w:r>
              <w:rPr>
                <w:rFonts w:ascii="Calisto MT" w:hAnsi="Calisto MT"/>
                <w:lang w:val="en-GB"/>
              </w:rPr>
              <w:t>4</w:t>
            </w:r>
            <w:r w:rsidRPr="0037435A">
              <w:rPr>
                <w:rFonts w:ascii="Calisto MT" w:hAnsi="Calisto MT"/>
                <w:lang w:val="en-GB"/>
              </w:rPr>
              <w:t>.</w:t>
            </w:r>
          </w:p>
        </w:tc>
        <w:tc>
          <w:tcPr>
            <w:tcW w:w="0" w:type="auto"/>
            <w:vAlign w:val="center"/>
            <w:hideMark/>
          </w:tcPr>
          <w:p w14:paraId="54B04FE4" w14:textId="50EC6B77" w:rsidR="0056791B" w:rsidRPr="0056791B" w:rsidRDefault="00505867">
            <w:pPr>
              <w:spacing w:line="240" w:lineRule="auto"/>
              <w:rPr>
                <w:rStyle w:val="simple"/>
                <w:rFonts w:ascii="Calisto MT" w:eastAsia="Times New Roman" w:hAnsi="Calisto MT" w:cs="Times New Roman"/>
                <w:lang w:val="en-GB"/>
              </w:rPr>
            </w:pPr>
            <w:r>
              <w:rPr>
                <w:rStyle w:val="simple"/>
                <w:rFonts w:ascii="Calisto MT" w:eastAsia="Times New Roman" w:hAnsi="Calisto MT" w:cs="Times New Roman"/>
                <w:lang w:val="en-GB"/>
              </w:rPr>
              <w:t xml:space="preserve">Control </w:t>
            </w:r>
            <w:r w:rsidR="0056791B" w:rsidRPr="0037435A">
              <w:rPr>
                <w:rStyle w:val="simple"/>
                <w:rFonts w:ascii="Calisto MT" w:eastAsia="Times New Roman" w:hAnsi="Calisto MT" w:cs="Times New Roman"/>
                <w:lang w:val="en-GB"/>
              </w:rPr>
              <w:t xml:space="preserve">nerve conduction studies on </w:t>
            </w:r>
            <w:r>
              <w:rPr>
                <w:rStyle w:val="simple"/>
                <w:rFonts w:ascii="Calisto MT" w:eastAsia="Times New Roman" w:hAnsi="Calisto MT" w:cs="Times New Roman"/>
                <w:lang w:val="en-GB"/>
              </w:rPr>
              <w:t>legs</w:t>
            </w:r>
            <w:r w:rsidR="0056791B" w:rsidRPr="0037435A">
              <w:rPr>
                <w:rStyle w:val="simple"/>
                <w:rFonts w:ascii="Calisto MT" w:eastAsia="Times New Roman" w:hAnsi="Calisto MT" w:cs="Times New Roman"/>
                <w:lang w:val="en-GB"/>
              </w:rPr>
              <w:t>:</w:t>
            </w:r>
          </w:p>
          <w:tbl>
            <w:tblPr>
              <w:tblW w:w="5000" w:type="pct"/>
              <w:tblCellMar>
                <w:top w:w="15" w:type="dxa"/>
                <w:left w:w="15" w:type="dxa"/>
                <w:bottom w:w="15" w:type="dxa"/>
                <w:right w:w="15" w:type="dxa"/>
              </w:tblCellMar>
              <w:tblLook w:val="04A0" w:firstRow="1" w:lastRow="0" w:firstColumn="1" w:lastColumn="0" w:noHBand="0" w:noVBand="1"/>
            </w:tblPr>
            <w:tblGrid>
              <w:gridCol w:w="275"/>
              <w:gridCol w:w="8886"/>
            </w:tblGrid>
            <w:tr w:rsidR="0056791B" w:rsidRPr="0037435A" w14:paraId="0771E9D5" w14:textId="77777777" w:rsidTr="00505867">
              <w:trPr>
                <w:trHeight w:val="70"/>
              </w:trPr>
              <w:tc>
                <w:tcPr>
                  <w:tcW w:w="150" w:type="pct"/>
                  <w:vAlign w:val="center"/>
                  <w:hideMark/>
                </w:tcPr>
                <w:p w14:paraId="0AF5C229" w14:textId="77777777" w:rsidR="0056791B" w:rsidRPr="0037435A" w:rsidRDefault="0056791B">
                  <w:pPr>
                    <w:spacing w:line="240" w:lineRule="auto"/>
                    <w:rPr>
                      <w:lang w:val="en-GB"/>
                    </w:rPr>
                  </w:pPr>
                  <w:r w:rsidRPr="0037435A">
                    <w:rPr>
                      <w:lang w:val="en-GB"/>
                    </w:rPr>
                    <w:t>a.</w:t>
                  </w:r>
                </w:p>
              </w:tc>
              <w:tc>
                <w:tcPr>
                  <w:tcW w:w="0" w:type="auto"/>
                  <w:vAlign w:val="center"/>
                  <w:hideMark/>
                </w:tcPr>
                <w:p w14:paraId="11265AB1" w14:textId="7F255545" w:rsidR="0056791B" w:rsidRPr="0037435A" w:rsidRDefault="002157CF">
                  <w:pPr>
                    <w:spacing w:line="240" w:lineRule="auto"/>
                    <w:rPr>
                      <w:lang w:val="en-GB"/>
                    </w:rPr>
                  </w:pPr>
                  <w:r>
                    <w:rPr>
                      <w:rStyle w:val="simple"/>
                      <w:rFonts w:ascii="Calisto MT" w:eastAsia="Times New Roman" w:hAnsi="Calisto MT" w:cs="Times New Roman"/>
                      <w:lang w:val="en-GB"/>
                    </w:rPr>
                    <w:t>S</w:t>
                  </w:r>
                  <w:proofErr w:type="spellStart"/>
                  <w:r>
                    <w:rPr>
                      <w:rStyle w:val="simple"/>
                      <w:rFonts w:ascii="Calisto MT" w:hAnsi="Calisto MT" w:cs="Times New Roman"/>
                    </w:rPr>
                    <w:t>ural</w:t>
                  </w:r>
                  <w:proofErr w:type="spellEnd"/>
                  <w:r>
                    <w:rPr>
                      <w:rStyle w:val="simple"/>
                      <w:rFonts w:ascii="Calisto MT" w:hAnsi="Calisto MT" w:cs="Times New Roman"/>
                    </w:rPr>
                    <w:t xml:space="preserve"> nerve</w:t>
                  </w:r>
                  <w:r w:rsidR="0056791B">
                    <w:rPr>
                      <w:rStyle w:val="simple"/>
                      <w:rFonts w:eastAsia="Times New Roman" w:cs="Times New Roman"/>
                    </w:rPr>
                    <w:t xml:space="preserve"> d</w:t>
                  </w:r>
                  <w:r w:rsidR="00505867">
                    <w:rPr>
                      <w:rStyle w:val="simple"/>
                      <w:rFonts w:eastAsia="Times New Roman" w:cs="Times New Roman"/>
                    </w:rPr>
                    <w:t>exter, sensory nerve conduction study;</w:t>
                  </w:r>
                  <w:r w:rsidR="0056791B" w:rsidRPr="0037435A">
                    <w:rPr>
                      <w:rStyle w:val="simple"/>
                      <w:rFonts w:ascii="Calisto MT" w:eastAsia="Times New Roman" w:hAnsi="Calisto MT" w:cs="Times New Roman"/>
                      <w:lang w:val="en-GB"/>
                    </w:rPr>
                    <w:t xml:space="preserve"> </w:t>
                  </w:r>
                  <w:r w:rsidR="00505867">
                    <w:rPr>
                      <w:rStyle w:val="simple"/>
                      <w:rFonts w:ascii="Calisto MT" w:eastAsia="Times New Roman" w:hAnsi="Calisto MT" w:cs="Times New Roman"/>
                      <w:lang w:val="en-GB"/>
                    </w:rPr>
                    <w:t>antidromic technique.</w:t>
                  </w:r>
                </w:p>
              </w:tc>
            </w:tr>
            <w:tr w:rsidR="0056791B" w:rsidRPr="0037435A" w14:paraId="4EDF2937" w14:textId="77777777" w:rsidTr="00874FB8">
              <w:tc>
                <w:tcPr>
                  <w:tcW w:w="150" w:type="pct"/>
                  <w:vAlign w:val="center"/>
                  <w:hideMark/>
                </w:tcPr>
                <w:p w14:paraId="38244654" w14:textId="77777777" w:rsidR="0056791B" w:rsidRPr="0037435A" w:rsidRDefault="0056791B">
                  <w:pPr>
                    <w:spacing w:line="240" w:lineRule="auto"/>
                    <w:rPr>
                      <w:lang w:val="en-GB"/>
                    </w:rPr>
                  </w:pPr>
                  <w:r w:rsidRPr="0037435A">
                    <w:rPr>
                      <w:lang w:val="en-GB"/>
                    </w:rPr>
                    <w:t>b.</w:t>
                  </w:r>
                </w:p>
              </w:tc>
              <w:tc>
                <w:tcPr>
                  <w:tcW w:w="0" w:type="auto"/>
                  <w:vAlign w:val="center"/>
                  <w:hideMark/>
                </w:tcPr>
                <w:p w14:paraId="62AAD5F6" w14:textId="22A1E330" w:rsidR="0056791B" w:rsidRPr="0037435A" w:rsidRDefault="002157CF">
                  <w:pPr>
                    <w:spacing w:line="240" w:lineRule="auto"/>
                    <w:rPr>
                      <w:lang w:val="en-GB"/>
                    </w:rPr>
                  </w:pPr>
                  <w:r>
                    <w:rPr>
                      <w:rStyle w:val="simple"/>
                      <w:rFonts w:ascii="Calisto MT" w:eastAsia="Times New Roman" w:hAnsi="Calisto MT" w:cs="Times New Roman"/>
                      <w:lang w:val="en-GB"/>
                    </w:rPr>
                    <w:t>P</w:t>
                  </w:r>
                  <w:proofErr w:type="spellStart"/>
                  <w:r>
                    <w:rPr>
                      <w:rStyle w:val="simple"/>
                      <w:rFonts w:ascii="Calisto MT" w:hAnsi="Calisto MT" w:cs="Times New Roman"/>
                    </w:rPr>
                    <w:t>eroneal</w:t>
                  </w:r>
                  <w:proofErr w:type="spellEnd"/>
                  <w:r>
                    <w:rPr>
                      <w:rStyle w:val="simple"/>
                      <w:rFonts w:ascii="Calisto MT" w:hAnsi="Calisto MT" w:cs="Times New Roman"/>
                    </w:rPr>
                    <w:t xml:space="preserve"> nerve</w:t>
                  </w:r>
                  <w:r w:rsidR="00505867">
                    <w:rPr>
                      <w:rStyle w:val="simple"/>
                      <w:rFonts w:eastAsia="Times New Roman" w:cs="Times New Roman"/>
                    </w:rPr>
                    <w:t xml:space="preserve"> dexter</w:t>
                  </w:r>
                  <w:r w:rsidR="00505867">
                    <w:rPr>
                      <w:rStyle w:val="simple"/>
                      <w:rFonts w:ascii="Calisto MT" w:eastAsia="Times New Roman" w:hAnsi="Calisto MT" w:cs="Times New Roman"/>
                      <w:lang w:val="en-GB"/>
                    </w:rPr>
                    <w:t>, motor nerve conduction study</w:t>
                  </w:r>
                </w:p>
              </w:tc>
            </w:tr>
          </w:tbl>
          <w:p w14:paraId="623CFD91" w14:textId="77777777" w:rsidR="0056791B" w:rsidRPr="0056791B" w:rsidRDefault="0056791B">
            <w:pPr>
              <w:spacing w:line="240" w:lineRule="auto"/>
              <w:rPr>
                <w:rStyle w:val="simple"/>
                <w:rFonts w:ascii="Calisto MT" w:eastAsia="Times New Roman" w:hAnsi="Calisto MT" w:cs="Times New Roman"/>
                <w:lang w:val="en-GB"/>
              </w:rPr>
            </w:pPr>
          </w:p>
        </w:tc>
      </w:tr>
    </w:tbl>
    <w:p w14:paraId="3B892A3A" w14:textId="3488A26F" w:rsidR="007F3965" w:rsidRPr="0037435A" w:rsidRDefault="007F3965" w:rsidP="004855BB">
      <w:pPr>
        <w:jc w:val="both"/>
        <w:rPr>
          <w:lang w:val="en-GB"/>
        </w:rPr>
      </w:pPr>
      <w:r w:rsidRPr="0037435A">
        <w:rPr>
          <w:lang w:val="en-GB"/>
        </w:rPr>
        <w:t>Neurophysiology technicians will perform the nerve conduction studies and the trial nurse will perform the quantitative sensory testing.</w:t>
      </w:r>
    </w:p>
    <w:p w14:paraId="7E918889" w14:textId="4FC5F2EF" w:rsidR="007F3965" w:rsidRPr="0037435A" w:rsidRDefault="007F3965" w:rsidP="004855BB">
      <w:pPr>
        <w:jc w:val="both"/>
        <w:rPr>
          <w:lang w:val="en-GB"/>
        </w:rPr>
      </w:pPr>
      <w:r w:rsidRPr="0037435A">
        <w:rPr>
          <w:lang w:val="en-GB"/>
        </w:rPr>
        <w:t xml:space="preserve">The outcome measure will be a composite of the 9 different tests performed. </w:t>
      </w:r>
      <w:bookmarkStart w:id="2" w:name="_Hlk95135300"/>
      <w:r w:rsidR="002157CF">
        <w:rPr>
          <w:lang w:val="en-GB"/>
        </w:rPr>
        <w:t>When</w:t>
      </w:r>
      <w:r w:rsidRPr="0037435A">
        <w:rPr>
          <w:lang w:val="en-GB"/>
        </w:rPr>
        <w:t xml:space="preserve"> </w:t>
      </w:r>
      <w:r w:rsidR="002157CF">
        <w:rPr>
          <w:u w:val="single"/>
          <w:lang w:val="en-GB"/>
        </w:rPr>
        <w:t>&gt;</w:t>
      </w:r>
      <w:r w:rsidR="002157CF">
        <w:rPr>
          <w:lang w:val="en-GB"/>
        </w:rPr>
        <w:t xml:space="preserve"> 1</w:t>
      </w:r>
      <w:r w:rsidRPr="0037435A">
        <w:rPr>
          <w:lang w:val="en-GB"/>
        </w:rPr>
        <w:t xml:space="preserve"> of these tests deteriorates significantly from preoperative values, the conclusion will be that neurological damage has taken place. </w:t>
      </w:r>
      <w:bookmarkEnd w:id="2"/>
      <w:r w:rsidRPr="0037435A">
        <w:rPr>
          <w:lang w:val="en-GB"/>
        </w:rPr>
        <w:t>The patients will undergo full examination preoperatively and at 3 months.</w:t>
      </w:r>
      <w:r w:rsidR="005B2476">
        <w:rPr>
          <w:lang w:val="en-GB"/>
        </w:rPr>
        <w:t xml:space="preserve"> Both arms are tested but only a significant change in the operated arm will be registered as related to the intervention as long as there is no damage on </w:t>
      </w:r>
      <w:r w:rsidR="005B2476">
        <w:rPr>
          <w:lang w:val="en-GB"/>
        </w:rPr>
        <w:lastRenderedPageBreak/>
        <w:t xml:space="preserve">the non-operated arm. </w:t>
      </w:r>
      <w:r w:rsidR="004855BB">
        <w:rPr>
          <w:lang w:val="en-GB"/>
        </w:rPr>
        <w:t>Otherwise,</w:t>
      </w:r>
      <w:r w:rsidR="005B2476">
        <w:rPr>
          <w:lang w:val="en-GB"/>
        </w:rPr>
        <w:t xml:space="preserve"> the participant will be registered with </w:t>
      </w:r>
      <w:r w:rsidR="00560071">
        <w:rPr>
          <w:lang w:val="en-GB"/>
        </w:rPr>
        <w:t xml:space="preserve">possible </w:t>
      </w:r>
      <w:r w:rsidR="005B2476">
        <w:rPr>
          <w:lang w:val="en-GB"/>
        </w:rPr>
        <w:t>systemic neurological damage.</w:t>
      </w:r>
    </w:p>
    <w:tbl>
      <w:tblPr>
        <w:tblW w:w="4996" w:type="pct"/>
        <w:tblLayout w:type="fixed"/>
        <w:tblCellMar>
          <w:top w:w="15" w:type="dxa"/>
          <w:left w:w="15" w:type="dxa"/>
          <w:bottom w:w="15" w:type="dxa"/>
          <w:right w:w="15" w:type="dxa"/>
        </w:tblCellMar>
        <w:tblLook w:val="04A0" w:firstRow="1" w:lastRow="0" w:firstColumn="1" w:lastColumn="0" w:noHBand="0" w:noVBand="1"/>
      </w:tblPr>
      <w:tblGrid>
        <w:gridCol w:w="9467"/>
      </w:tblGrid>
      <w:tr w:rsidR="004E7BD7" w:rsidRPr="0037435A" w14:paraId="1EEBDAD0" w14:textId="77777777" w:rsidTr="004C36CA">
        <w:tc>
          <w:tcPr>
            <w:tcW w:w="5000" w:type="pct"/>
            <w:vAlign w:val="center"/>
            <w:hideMark/>
          </w:tcPr>
          <w:p w14:paraId="083B2248" w14:textId="1E05BFC5" w:rsidR="005B2476" w:rsidRDefault="005B2476" w:rsidP="004E7BD7">
            <w:pPr>
              <w:ind w:right="-745"/>
              <w:jc w:val="both"/>
              <w:rPr>
                <w:rFonts w:ascii="Calisto MT" w:eastAsia="Times New Roman" w:hAnsi="Calisto MT" w:cs="Times New Roman"/>
                <w:lang w:val="en-GB"/>
              </w:rPr>
            </w:pPr>
            <w:r>
              <w:rPr>
                <w:rFonts w:ascii="Calisto MT" w:eastAsia="Times New Roman" w:hAnsi="Calisto MT" w:cs="Times New Roman"/>
                <w:lang w:val="en-GB"/>
              </w:rPr>
              <w:t>The three different exam types are as follows:</w:t>
            </w:r>
          </w:p>
          <w:p w14:paraId="53DC2BE6" w14:textId="3FB97545" w:rsidR="005B2476" w:rsidRDefault="00B87EE7" w:rsidP="004E7BD7">
            <w:pPr>
              <w:ind w:left="284" w:right="-33"/>
              <w:jc w:val="both"/>
            </w:pPr>
            <w:r>
              <w:rPr>
                <w:rFonts w:ascii="Calisto MT" w:eastAsia="Times New Roman" w:hAnsi="Calisto MT" w:cs="Times New Roman"/>
                <w:lang w:val="en-GB"/>
              </w:rPr>
              <w:t xml:space="preserve">• </w:t>
            </w:r>
            <w:r w:rsidR="00D845C3">
              <w:t>v</w:t>
            </w:r>
            <w:r w:rsidR="00D845C3" w:rsidRPr="001E7B59">
              <w:t xml:space="preserve">on </w:t>
            </w:r>
            <w:r w:rsidRPr="001E7B59">
              <w:t xml:space="preserve">Frey filaments: measurement unit is </w:t>
            </w:r>
            <w:proofErr w:type="spellStart"/>
            <w:r w:rsidRPr="001E7B59">
              <w:t>milliNewton</w:t>
            </w:r>
            <w:proofErr w:type="spellEnd"/>
            <w:r w:rsidRPr="001E7B59">
              <w:t xml:space="preserve"> (</w:t>
            </w:r>
            <w:proofErr w:type="spellStart"/>
            <w:r w:rsidRPr="001E7B59">
              <w:t>mN</w:t>
            </w:r>
            <w:proofErr w:type="spellEnd"/>
            <w:r w:rsidRPr="001E7B59">
              <w:t xml:space="preserve">). The filaments are individually calibrated to a tolerance range of ±10% of its nominal force. The </w:t>
            </w:r>
            <w:r w:rsidR="00D845C3">
              <w:t>standard</w:t>
            </w:r>
            <w:r w:rsidR="00D845C3" w:rsidRPr="001E7B59">
              <w:t xml:space="preserve"> </w:t>
            </w:r>
            <w:r w:rsidRPr="001E7B59">
              <w:t xml:space="preserve">set includes 12 </w:t>
            </w:r>
            <w:r w:rsidR="00D845C3">
              <w:t>mono</w:t>
            </w:r>
            <w:r w:rsidRPr="001E7B59">
              <w:t xml:space="preserve">filaments (corresponding to 12 successively increasing nominal values) in the range of 0.25 to 512 </w:t>
            </w:r>
            <w:proofErr w:type="spellStart"/>
            <w:r w:rsidRPr="001E7B59">
              <w:t>mN</w:t>
            </w:r>
            <w:proofErr w:type="spellEnd"/>
            <w:r w:rsidRPr="001E7B59">
              <w:t xml:space="preserve"> with the force increasing by a factor of two from filament to filament. </w:t>
            </w:r>
          </w:p>
          <w:p w14:paraId="39697CF7" w14:textId="735BECB4" w:rsidR="00B87EE7" w:rsidRPr="0037435A" w:rsidRDefault="00B87EE7" w:rsidP="001E7B59">
            <w:pPr>
              <w:ind w:left="284" w:right="-745"/>
              <w:jc w:val="both"/>
              <w:rPr>
                <w:rFonts w:ascii="Calisto MT" w:eastAsia="Times New Roman" w:hAnsi="Calisto MT" w:cs="Times New Roman"/>
                <w:lang w:val="en-GB"/>
              </w:rPr>
            </w:pPr>
          </w:p>
        </w:tc>
      </w:tr>
      <w:tr w:rsidR="004E7BD7" w:rsidRPr="0037435A" w14:paraId="10DF2383" w14:textId="77777777" w:rsidTr="004C36CA">
        <w:tc>
          <w:tcPr>
            <w:tcW w:w="5000" w:type="pct"/>
            <w:vAlign w:val="center"/>
            <w:hideMark/>
          </w:tcPr>
          <w:p w14:paraId="35202BED" w14:textId="00B2A4E8" w:rsidR="00B87EE7" w:rsidRDefault="005B2476" w:rsidP="004E7BD7">
            <w:pPr>
              <w:ind w:right="-33"/>
              <w:jc w:val="both"/>
            </w:pPr>
            <w:r w:rsidRPr="00ED166E">
              <w:t>A significant clinical deterioration is from one nominal value to ≥1 nominal value assessed as mean values at f</w:t>
            </w:r>
            <w:r w:rsidR="004E7BD7">
              <w:t>ive</w:t>
            </w:r>
            <w:r w:rsidRPr="00ED166E">
              <w:t xml:space="preserve"> sites on the hand and forearm.</w:t>
            </w:r>
            <w:r w:rsidR="004E7BD7">
              <w:t xml:space="preserve"> </w:t>
            </w:r>
            <w:r w:rsidR="004E7BD7">
              <w:rPr>
                <w:lang w:val="en-GB"/>
              </w:rPr>
              <w:t xml:space="preserve">Both arms are tested but only a significant change in the operated arm will be registered as related to the intervention as long as there is no damage on the </w:t>
            </w:r>
            <w:r w:rsidR="00D845C3">
              <w:rPr>
                <w:lang w:val="en-GB"/>
              </w:rPr>
              <w:t xml:space="preserve">control, the </w:t>
            </w:r>
            <w:r w:rsidR="004E7BD7">
              <w:rPr>
                <w:lang w:val="en-GB"/>
              </w:rPr>
              <w:t>non-operated arm. Otherwise, the participant will be registered with</w:t>
            </w:r>
            <w:r w:rsidR="00560071">
              <w:rPr>
                <w:lang w:val="en-GB"/>
              </w:rPr>
              <w:t xml:space="preserve"> possible</w:t>
            </w:r>
            <w:r w:rsidR="004E7BD7">
              <w:rPr>
                <w:lang w:val="en-GB"/>
              </w:rPr>
              <w:t xml:space="preserve"> systemic neurological damage.</w:t>
            </w:r>
            <w:r w:rsidR="004E7BD7">
              <w:t xml:space="preserve"> The five sites are as follows:</w:t>
            </w:r>
          </w:p>
          <w:p w14:paraId="75D3126E" w14:textId="247BE5A7" w:rsidR="004C36CA" w:rsidRDefault="004C36CA" w:rsidP="001E7B59">
            <w:pPr>
              <w:pStyle w:val="Listeafsnit"/>
              <w:numPr>
                <w:ilvl w:val="0"/>
                <w:numId w:val="16"/>
              </w:numPr>
              <w:spacing w:line="240" w:lineRule="auto"/>
              <w:ind w:right="-33"/>
              <w:jc w:val="both"/>
              <w:rPr>
                <w:rFonts w:ascii="Calisto MT" w:eastAsia="Times New Roman" w:hAnsi="Calisto MT"/>
              </w:rPr>
            </w:pPr>
            <w:r>
              <w:rPr>
                <w:rFonts w:ascii="Calisto MT" w:eastAsia="Times New Roman" w:hAnsi="Calisto MT"/>
              </w:rPr>
              <w:t>Thenar</w:t>
            </w:r>
            <w:r w:rsidR="002157CF">
              <w:rPr>
                <w:rFonts w:ascii="Calisto MT" w:eastAsia="Times New Roman" w:hAnsi="Calisto MT"/>
              </w:rPr>
              <w:t xml:space="preserve"> (lateral part)</w:t>
            </w:r>
          </w:p>
          <w:p w14:paraId="683AC457" w14:textId="19F0577B" w:rsidR="004C36CA" w:rsidRDefault="004C36CA" w:rsidP="001E7B59">
            <w:pPr>
              <w:pStyle w:val="Listeafsnit"/>
              <w:numPr>
                <w:ilvl w:val="0"/>
                <w:numId w:val="16"/>
              </w:numPr>
              <w:spacing w:line="240" w:lineRule="auto"/>
              <w:ind w:right="-33"/>
              <w:jc w:val="both"/>
              <w:rPr>
                <w:rFonts w:ascii="Calisto MT" w:eastAsia="Times New Roman" w:hAnsi="Calisto MT"/>
              </w:rPr>
            </w:pPr>
            <w:r>
              <w:rPr>
                <w:rFonts w:ascii="Calisto MT" w:eastAsia="Times New Roman" w:hAnsi="Calisto MT"/>
              </w:rPr>
              <w:t xml:space="preserve">Palmar base of </w:t>
            </w:r>
            <w:proofErr w:type="spellStart"/>
            <w:r>
              <w:rPr>
                <w:rFonts w:ascii="Calisto MT" w:eastAsia="Times New Roman" w:hAnsi="Calisto MT"/>
              </w:rPr>
              <w:t>digiti</w:t>
            </w:r>
            <w:proofErr w:type="spellEnd"/>
            <w:r>
              <w:rPr>
                <w:rFonts w:ascii="Calisto MT" w:eastAsia="Times New Roman" w:hAnsi="Calisto MT"/>
              </w:rPr>
              <w:t xml:space="preserve"> manus III</w:t>
            </w:r>
          </w:p>
          <w:p w14:paraId="5CE9DD01" w14:textId="068C23B3" w:rsidR="004E7BD7" w:rsidRDefault="004C36CA" w:rsidP="001E7B59">
            <w:pPr>
              <w:pStyle w:val="Listeafsnit"/>
              <w:numPr>
                <w:ilvl w:val="0"/>
                <w:numId w:val="16"/>
              </w:numPr>
              <w:spacing w:line="240" w:lineRule="auto"/>
              <w:ind w:right="-33"/>
              <w:jc w:val="both"/>
              <w:rPr>
                <w:rFonts w:ascii="Calisto MT" w:eastAsia="Times New Roman" w:hAnsi="Calisto MT"/>
              </w:rPr>
            </w:pPr>
            <w:r>
              <w:rPr>
                <w:rFonts w:ascii="Calisto MT" w:eastAsia="Times New Roman" w:hAnsi="Calisto MT"/>
              </w:rPr>
              <w:t xml:space="preserve">Palmar base of </w:t>
            </w:r>
            <w:proofErr w:type="spellStart"/>
            <w:r>
              <w:rPr>
                <w:rFonts w:ascii="Calisto MT" w:eastAsia="Times New Roman" w:hAnsi="Calisto MT"/>
              </w:rPr>
              <w:t>digiti</w:t>
            </w:r>
            <w:proofErr w:type="spellEnd"/>
            <w:r>
              <w:rPr>
                <w:rFonts w:ascii="Calisto MT" w:eastAsia="Times New Roman" w:hAnsi="Calisto MT"/>
              </w:rPr>
              <w:t xml:space="preserve"> manus V</w:t>
            </w:r>
          </w:p>
          <w:p w14:paraId="18578430" w14:textId="29B16321" w:rsidR="004C36CA" w:rsidRDefault="004C36CA" w:rsidP="001E7B59">
            <w:pPr>
              <w:pStyle w:val="Listeafsnit"/>
              <w:numPr>
                <w:ilvl w:val="0"/>
                <w:numId w:val="16"/>
              </w:numPr>
              <w:spacing w:line="240" w:lineRule="auto"/>
              <w:ind w:right="-33"/>
              <w:jc w:val="both"/>
              <w:rPr>
                <w:rFonts w:ascii="Calisto MT" w:eastAsia="Times New Roman" w:hAnsi="Calisto MT"/>
              </w:rPr>
            </w:pPr>
            <w:r>
              <w:rPr>
                <w:rFonts w:ascii="Calisto MT" w:eastAsia="Times New Roman" w:hAnsi="Calisto MT"/>
              </w:rPr>
              <w:t>Lateral part of the antebrachium</w:t>
            </w:r>
          </w:p>
          <w:p w14:paraId="4D63F977" w14:textId="5C09DAC7" w:rsidR="00B87EE7" w:rsidRPr="001E7B59" w:rsidRDefault="004C36CA" w:rsidP="001E7B59">
            <w:pPr>
              <w:pStyle w:val="Listeafsnit"/>
              <w:numPr>
                <w:ilvl w:val="0"/>
                <w:numId w:val="16"/>
              </w:numPr>
              <w:spacing w:line="240" w:lineRule="auto"/>
              <w:ind w:right="-33"/>
              <w:jc w:val="both"/>
              <w:rPr>
                <w:rFonts w:ascii="Calisto MT" w:eastAsia="Times New Roman" w:hAnsi="Calisto MT"/>
              </w:rPr>
            </w:pPr>
            <w:r>
              <w:rPr>
                <w:rFonts w:ascii="Calisto MT" w:eastAsia="Times New Roman" w:hAnsi="Calisto MT"/>
              </w:rPr>
              <w:t>Medial part of the antebrachium</w:t>
            </w:r>
          </w:p>
          <w:p w14:paraId="0A3E3E0D" w14:textId="3F2459B8" w:rsidR="00B87EE7" w:rsidRPr="0037435A" w:rsidRDefault="00B87EE7" w:rsidP="001E7B59">
            <w:pPr>
              <w:ind w:left="284" w:right="-33"/>
              <w:jc w:val="both"/>
              <w:rPr>
                <w:rFonts w:ascii="Calisto MT" w:eastAsia="Times New Roman" w:hAnsi="Calisto MT" w:cs="Times New Roman"/>
                <w:lang w:val="en-GB"/>
              </w:rPr>
            </w:pPr>
            <w:r>
              <w:rPr>
                <w:rFonts w:ascii="Calisto MT" w:eastAsia="Times New Roman" w:hAnsi="Calisto MT" w:cs="Times New Roman"/>
                <w:lang w:val="en-GB"/>
              </w:rPr>
              <w:t xml:space="preserve">• </w:t>
            </w:r>
            <w:r w:rsidRPr="0037435A">
              <w:rPr>
                <w:rFonts w:ascii="Calisto MT" w:eastAsia="Times New Roman" w:hAnsi="Calisto MT" w:cs="Times New Roman"/>
                <w:lang w:val="en-GB"/>
              </w:rPr>
              <w:t>Algometry test: A pressure algometer (application surface 1 cm</w:t>
            </w:r>
            <w:r w:rsidRPr="0037435A">
              <w:rPr>
                <w:rFonts w:ascii="Calisto MT" w:eastAsia="Times New Roman" w:hAnsi="Calisto MT" w:cs="Times New Roman"/>
                <w:vertAlign w:val="superscript"/>
                <w:lang w:val="en-GB"/>
              </w:rPr>
              <w:t>2</w:t>
            </w:r>
            <w:r w:rsidRPr="0037435A">
              <w:rPr>
                <w:rFonts w:ascii="Calisto MT" w:eastAsia="Times New Roman" w:hAnsi="Calisto MT" w:cs="Times New Roman"/>
                <w:lang w:val="en-GB"/>
              </w:rPr>
              <w:t>) is placed over the palmar base of metacarpal II on the donor arm and pressure is applied</w:t>
            </w:r>
            <w:r w:rsidR="00D845C3">
              <w:rPr>
                <w:rFonts w:ascii="Calisto MT" w:eastAsia="Times New Roman" w:hAnsi="Calisto MT" w:cs="Times New Roman"/>
                <w:lang w:val="en-GB"/>
              </w:rPr>
              <w:t xml:space="preserve"> (20</w:t>
            </w:r>
            <w:r w:rsidR="00432023">
              <w:rPr>
                <w:rFonts w:ascii="Calisto MT" w:eastAsia="Times New Roman" w:hAnsi="Calisto MT" w:cs="Times New Roman"/>
                <w:lang w:val="en-GB"/>
              </w:rPr>
              <w:t xml:space="preserve"> to </w:t>
            </w:r>
            <w:r w:rsidR="00D845C3">
              <w:rPr>
                <w:rFonts w:ascii="Calisto MT" w:eastAsia="Times New Roman" w:hAnsi="Calisto MT" w:cs="Times New Roman"/>
                <w:lang w:val="en-GB"/>
              </w:rPr>
              <w:t xml:space="preserve">40 </w:t>
            </w:r>
            <w:proofErr w:type="spellStart"/>
            <w:r w:rsidR="00D845C3" w:rsidRPr="0037435A">
              <w:rPr>
                <w:rFonts w:ascii="Calisto MT" w:eastAsia="Times New Roman" w:hAnsi="Calisto MT" w:cs="Times New Roman"/>
                <w:lang w:val="en-GB"/>
              </w:rPr>
              <w:t>kiloPasca</w:t>
            </w:r>
            <w:r w:rsidR="00D845C3">
              <w:rPr>
                <w:rFonts w:ascii="Calisto MT" w:eastAsia="Times New Roman" w:hAnsi="Calisto MT" w:cs="Times New Roman"/>
                <w:lang w:val="en-GB"/>
              </w:rPr>
              <w:t>l</w:t>
            </w:r>
            <w:proofErr w:type="spellEnd"/>
            <w:r w:rsidR="00D845C3">
              <w:rPr>
                <w:rFonts w:ascii="Calisto MT" w:eastAsia="Times New Roman" w:hAnsi="Calisto MT" w:cs="Times New Roman"/>
                <w:lang w:val="en-GB"/>
              </w:rPr>
              <w:t xml:space="preserve"> (kPa)/s)</w:t>
            </w:r>
            <w:r w:rsidRPr="0037435A">
              <w:rPr>
                <w:rFonts w:ascii="Calisto MT" w:eastAsia="Times New Roman" w:hAnsi="Calisto MT" w:cs="Times New Roman"/>
                <w:lang w:val="en-GB"/>
              </w:rPr>
              <w:t xml:space="preserve"> until the pain threshold is reached. Corresponding control-assessments are made contralaterally over the palmar base of metacarpal II. The test is validated for pain assessments over tender-points in normal muscles</w:t>
            </w:r>
            <w:r w:rsidR="000F1A59">
              <w:rPr>
                <w:rFonts w:ascii="Calisto MT" w:eastAsia="Times New Roman" w:hAnsi="Calisto MT" w:cs="Times New Roman"/>
                <w:lang w:val="en-GB"/>
              </w:rPr>
              <w:fldChar w:fldCharType="begin"/>
            </w:r>
            <w:r w:rsidR="00BD125E">
              <w:rPr>
                <w:rFonts w:ascii="Calisto MT" w:eastAsia="Times New Roman" w:hAnsi="Calisto MT" w:cs="Times New Roman"/>
                <w:lang w:val="en-GB"/>
              </w:rPr>
              <w:instrText xml:space="preserve"> ADDIN ZOTERO_ITEM CSL_CITATION {"citationID":"a1uin8ha4v6","properties":{"formattedCitation":"\\super 3\\nosupersub{}","plainCitation":"3","noteIndex":0},"citationItems":[{"id":548,"uris":["http://zotero.org/users/766374/items/J2NIZPTQ"],"itemData":{"id":548,"type":"article-journal","abstract":"Pressure threshold is the minimal pressure (force) which induces pain. The pressure threshold meter (PTM) is a force gauge with a rubber disc of 1 cm2 surface. The instrument has been proven to be useful in clinical practice for quantification of deep muscle tenderness. Trigger points, fibrositis, myalgic spots, activity of arthritis as well as assessment of sensitivity to pain can be diagnosed by PTM. This study therefore established standards for pressure threshold as well as the reproducibility and validity of measurement in 24 male and 26 female normal volunteers at 9 sites. Muscles frequently afflicted by trigger points were examined. The deltoid was chosen as a reference since it is rarely a site for trigger points. Comparison of corresponding muscles on opposite sides failed to demonstrate significant differences (except for 1 muscle in females). These identical results obtained over muscles of opposite sides proved the excellent reproducibility and validity of pressure threshold measurement. Results serve as a reference for clinical diagnosis of abnormal tenderness and for documentation of treatment results. The sensitivity of individual muscles varies. Therefore the results presented should be kept in mind when diagnosis of pathological tenderness by palpation is attempted.","archive":"Neurologi","archive_location":"Measurement","container-title":"Pain","ISSN":"0304-3959","issue":"1","journalAbbreviation":"Pain","note":"PMID: 3614975","page":"115-126","source":"NCBI PubMed","title":"Pressure algometry over normal muscles. Standard values, validity and reproducibility of pressure threshold","volume":"30","author":[{"family":"Fischer","given":"A A"}],"issued":{"date-parts":[["1987",7]]}}}],"schema":"https://github.com/citation-style-language/schema/raw/master/csl-citation.json"} </w:instrText>
            </w:r>
            <w:r w:rsidR="000F1A59">
              <w:rPr>
                <w:rFonts w:ascii="Calisto MT" w:eastAsia="Times New Roman" w:hAnsi="Calisto MT" w:cs="Times New Roman"/>
                <w:lang w:val="en-GB"/>
              </w:rPr>
              <w:fldChar w:fldCharType="separate"/>
            </w:r>
            <w:r w:rsidR="00BD125E" w:rsidRPr="00BD125E">
              <w:rPr>
                <w:rFonts w:ascii="Calisto MT" w:hAnsi="Calisto MT" w:cs="Times New Roman"/>
                <w:vertAlign w:val="superscript"/>
              </w:rPr>
              <w:t>3</w:t>
            </w:r>
            <w:r w:rsidR="000F1A59">
              <w:rPr>
                <w:rFonts w:ascii="Calisto MT" w:eastAsia="Times New Roman" w:hAnsi="Calisto MT" w:cs="Times New Roman"/>
                <w:lang w:val="en-GB"/>
              </w:rPr>
              <w:fldChar w:fldCharType="end"/>
            </w:r>
            <w:r w:rsidRPr="0037435A">
              <w:rPr>
                <w:rFonts w:ascii="Calisto MT" w:eastAsia="Times New Roman" w:hAnsi="Calisto MT" w:cs="Times New Roman"/>
                <w:lang w:val="en-GB"/>
              </w:rPr>
              <w:t xml:space="preserve">. </w:t>
            </w:r>
          </w:p>
        </w:tc>
      </w:tr>
      <w:tr w:rsidR="004E7BD7" w:rsidRPr="0037435A" w14:paraId="58859913" w14:textId="77777777" w:rsidTr="004C36CA">
        <w:tc>
          <w:tcPr>
            <w:tcW w:w="5000" w:type="pct"/>
            <w:vAlign w:val="center"/>
            <w:hideMark/>
          </w:tcPr>
          <w:p w14:paraId="0828CC79" w14:textId="049FC287" w:rsidR="004E7BD7" w:rsidRDefault="005B2476" w:rsidP="004E7BD7">
            <w:pPr>
              <w:ind w:right="-33"/>
              <w:jc w:val="both"/>
              <w:rPr>
                <w:rFonts w:ascii="Calisto MT" w:eastAsia="Times New Roman" w:hAnsi="Calisto MT" w:cs="Times New Roman"/>
                <w:lang w:val="en-GB"/>
              </w:rPr>
            </w:pPr>
            <w:r w:rsidRPr="0037435A">
              <w:rPr>
                <w:rFonts w:ascii="Calisto MT" w:eastAsia="Times New Roman" w:hAnsi="Calisto MT" w:cs="Times New Roman"/>
                <w:lang w:val="en-GB"/>
              </w:rPr>
              <w:t>A significant deterioration is a change in pressure pain threshold of ≥</w:t>
            </w:r>
            <w:r w:rsidR="00432023">
              <w:rPr>
                <w:rFonts w:ascii="Calisto MT" w:eastAsia="Times New Roman" w:hAnsi="Calisto MT" w:cs="Times New Roman"/>
                <w:lang w:val="en-GB"/>
              </w:rPr>
              <w:t xml:space="preserve"> </w:t>
            </w:r>
            <w:r w:rsidRPr="0037435A">
              <w:rPr>
                <w:rFonts w:ascii="Calisto MT" w:eastAsia="Times New Roman" w:hAnsi="Calisto MT" w:cs="Times New Roman"/>
                <w:lang w:val="en-GB"/>
              </w:rPr>
              <w:t>50 kPa (if the measurement is &lt;</w:t>
            </w:r>
            <w:r w:rsidR="00432023">
              <w:rPr>
                <w:rFonts w:ascii="Calisto MT" w:eastAsia="Times New Roman" w:hAnsi="Calisto MT" w:cs="Times New Roman"/>
                <w:lang w:val="en-GB"/>
              </w:rPr>
              <w:t xml:space="preserve"> </w:t>
            </w:r>
            <w:r w:rsidRPr="0037435A">
              <w:rPr>
                <w:rFonts w:ascii="Calisto MT" w:eastAsia="Times New Roman" w:hAnsi="Calisto MT" w:cs="Times New Roman"/>
                <w:lang w:val="en-GB"/>
              </w:rPr>
              <w:t>150 kPa) or ≥</w:t>
            </w:r>
            <w:r w:rsidR="00432023">
              <w:rPr>
                <w:rFonts w:ascii="Calisto MT" w:eastAsia="Times New Roman" w:hAnsi="Calisto MT" w:cs="Times New Roman"/>
                <w:lang w:val="en-GB"/>
              </w:rPr>
              <w:t xml:space="preserve"> </w:t>
            </w:r>
            <w:r w:rsidRPr="0037435A">
              <w:rPr>
                <w:rFonts w:ascii="Calisto MT" w:eastAsia="Times New Roman" w:hAnsi="Calisto MT" w:cs="Times New Roman"/>
                <w:lang w:val="en-GB"/>
              </w:rPr>
              <w:t>100 kPa (if the measurement is ≥</w:t>
            </w:r>
            <w:r w:rsidR="00432023">
              <w:rPr>
                <w:rFonts w:ascii="Calisto MT" w:eastAsia="Times New Roman" w:hAnsi="Calisto MT" w:cs="Times New Roman"/>
                <w:lang w:val="en-GB"/>
              </w:rPr>
              <w:t xml:space="preserve"> </w:t>
            </w:r>
            <w:r w:rsidRPr="0037435A">
              <w:rPr>
                <w:rFonts w:ascii="Calisto MT" w:eastAsia="Times New Roman" w:hAnsi="Calisto MT" w:cs="Times New Roman"/>
                <w:lang w:val="en-GB"/>
              </w:rPr>
              <w:t>150 kPa).</w:t>
            </w:r>
            <w:r w:rsidR="00560071">
              <w:rPr>
                <w:rFonts w:ascii="Calisto MT" w:eastAsia="Times New Roman" w:hAnsi="Calisto MT" w:cs="Times New Roman"/>
                <w:lang w:val="en-GB"/>
              </w:rPr>
              <w:t xml:space="preserve"> If </w:t>
            </w:r>
            <w:r w:rsidR="00D845C3">
              <w:rPr>
                <w:rFonts w:ascii="Calisto MT" w:eastAsia="Times New Roman" w:hAnsi="Calisto MT" w:cs="Times New Roman"/>
                <w:lang w:val="en-GB"/>
              </w:rPr>
              <w:t>a s</w:t>
            </w:r>
            <w:r w:rsidR="00560071">
              <w:rPr>
                <w:rFonts w:ascii="Calisto MT" w:eastAsia="Times New Roman" w:hAnsi="Calisto MT" w:cs="Times New Roman"/>
                <w:lang w:val="en-GB"/>
              </w:rPr>
              <w:t>ignificant deterioration also occurs in non-donor arm the patient will be registered with possible systemic neurological damage.</w:t>
            </w:r>
          </w:p>
          <w:p w14:paraId="59D4EC99" w14:textId="11C6B6C6" w:rsidR="005B2476" w:rsidRPr="0037435A" w:rsidRDefault="004E7BD7" w:rsidP="004E7BD7">
            <w:pPr>
              <w:ind w:left="284" w:right="-33"/>
              <w:jc w:val="both"/>
              <w:rPr>
                <w:rFonts w:ascii="Calisto MT" w:eastAsia="Times New Roman" w:hAnsi="Calisto MT" w:cs="Times New Roman"/>
                <w:lang w:val="en-GB"/>
              </w:rPr>
            </w:pPr>
            <w:r>
              <w:rPr>
                <w:rFonts w:ascii="Calisto MT" w:eastAsia="Times New Roman" w:hAnsi="Calisto MT" w:cs="Times New Roman"/>
                <w:lang w:val="en-GB"/>
              </w:rPr>
              <w:t xml:space="preserve">• </w:t>
            </w:r>
            <w:r w:rsidR="00B87EE7" w:rsidRPr="0037435A">
              <w:rPr>
                <w:rFonts w:ascii="Calisto MT" w:eastAsia="Times New Roman" w:hAnsi="Calisto MT" w:cs="Times New Roman"/>
                <w:lang w:val="en-GB"/>
              </w:rPr>
              <w:t>Sensory nerve conduction study: The peripheral nerves are activated using a surface stimulation electrode and the resulting sensory nerve action potential (SNAP) is recorded with surface electrodes over the nerve at a point more distal than or proximal to the stimulation point. The latency and amplitude of the SNAP is measured and the conduction velocity is calculated using the distance between stimulation and recording point. The results are compared to national multi-centre age-controlled norma</w:t>
            </w:r>
            <w:r w:rsidR="006F298B">
              <w:rPr>
                <w:rFonts w:ascii="Calisto MT" w:eastAsia="Times New Roman" w:hAnsi="Calisto MT" w:cs="Times New Roman"/>
                <w:lang w:val="en-GB"/>
              </w:rPr>
              <w:t>tive</w:t>
            </w:r>
            <w:r w:rsidR="00B87EE7" w:rsidRPr="0037435A">
              <w:rPr>
                <w:rFonts w:ascii="Calisto MT" w:eastAsia="Times New Roman" w:hAnsi="Calisto MT" w:cs="Times New Roman"/>
                <w:lang w:val="en-GB"/>
              </w:rPr>
              <w:t xml:space="preserve"> values and reported as z-scores.</w:t>
            </w:r>
          </w:p>
        </w:tc>
      </w:tr>
      <w:tr w:rsidR="004E7BD7" w:rsidRPr="0037435A" w14:paraId="7A9FB74E" w14:textId="77777777" w:rsidTr="004C36CA">
        <w:tc>
          <w:tcPr>
            <w:tcW w:w="5000" w:type="pct"/>
            <w:vAlign w:val="center"/>
            <w:hideMark/>
          </w:tcPr>
          <w:p w14:paraId="0FC10313" w14:textId="61AAE804" w:rsidR="00B87EE7" w:rsidRPr="0037435A" w:rsidRDefault="00B87EE7" w:rsidP="004E7BD7">
            <w:pPr>
              <w:ind w:left="284" w:right="-33"/>
              <w:jc w:val="both"/>
              <w:rPr>
                <w:rFonts w:ascii="Calisto MT" w:eastAsia="Times New Roman" w:hAnsi="Calisto MT" w:cs="Times New Roman"/>
                <w:lang w:val="en-GB"/>
              </w:rPr>
            </w:pPr>
            <w:r>
              <w:rPr>
                <w:rFonts w:ascii="Calisto MT" w:eastAsia="Times New Roman" w:hAnsi="Calisto MT" w:cs="Times New Roman"/>
                <w:lang w:val="en-GB"/>
              </w:rPr>
              <w:t xml:space="preserve">• </w:t>
            </w:r>
            <w:r w:rsidRPr="0037435A">
              <w:rPr>
                <w:rFonts w:ascii="Calisto MT" w:eastAsia="Times New Roman" w:hAnsi="Calisto MT" w:cs="Times New Roman"/>
                <w:lang w:val="en-GB"/>
              </w:rPr>
              <w:t>Motor nerve conduction studies: The compound motor action potential (</w:t>
            </w:r>
            <w:proofErr w:type="spellStart"/>
            <w:r w:rsidRPr="0037435A">
              <w:rPr>
                <w:rFonts w:ascii="Calisto MT" w:eastAsia="Times New Roman" w:hAnsi="Calisto MT" w:cs="Times New Roman"/>
                <w:lang w:val="en-GB"/>
              </w:rPr>
              <w:t>cMAP</w:t>
            </w:r>
            <w:proofErr w:type="spellEnd"/>
            <w:r w:rsidRPr="0037435A">
              <w:rPr>
                <w:rFonts w:ascii="Calisto MT" w:eastAsia="Times New Roman" w:hAnsi="Calisto MT" w:cs="Times New Roman"/>
                <w:lang w:val="en-GB"/>
              </w:rPr>
              <w:t xml:space="preserve">) is recorded from the muscle belly using surface electrodes in a pseudomonopolar configuration. The active electrode is positioned over the motor point of the muscle belly and the reference electrode is positioned at a nearby inactive site according to the laboratory procedures. The electrodes are readjusted to result in a </w:t>
            </w:r>
            <w:proofErr w:type="spellStart"/>
            <w:r w:rsidRPr="0037435A">
              <w:rPr>
                <w:rFonts w:ascii="Calisto MT" w:eastAsia="Times New Roman" w:hAnsi="Calisto MT" w:cs="Times New Roman"/>
                <w:lang w:val="en-GB"/>
              </w:rPr>
              <w:t>cMAP</w:t>
            </w:r>
            <w:proofErr w:type="spellEnd"/>
            <w:r w:rsidRPr="0037435A">
              <w:rPr>
                <w:rFonts w:ascii="Calisto MT" w:eastAsia="Times New Roman" w:hAnsi="Calisto MT" w:cs="Times New Roman"/>
                <w:lang w:val="en-GB"/>
              </w:rPr>
              <w:t xml:space="preserve"> with an initial negative </w:t>
            </w:r>
            <w:r w:rsidRPr="0037435A">
              <w:rPr>
                <w:rFonts w:ascii="Calisto MT" w:eastAsia="Times New Roman" w:hAnsi="Calisto MT" w:cs="Times New Roman"/>
                <w:lang w:val="en-GB"/>
              </w:rPr>
              <w:lastRenderedPageBreak/>
              <w:t xml:space="preserve">deflection and a maximal amplitude. Responses from supramaximal stimulation at the wrist and in the median nerve also at the elbow are recorded. Distal motor latency and amplitude of the maximal </w:t>
            </w:r>
            <w:proofErr w:type="spellStart"/>
            <w:r w:rsidRPr="0037435A">
              <w:rPr>
                <w:rFonts w:ascii="Calisto MT" w:eastAsia="Times New Roman" w:hAnsi="Calisto MT" w:cs="Times New Roman"/>
                <w:lang w:val="en-GB"/>
              </w:rPr>
              <w:t>cMAP</w:t>
            </w:r>
            <w:proofErr w:type="spellEnd"/>
            <w:r w:rsidRPr="0037435A">
              <w:rPr>
                <w:rFonts w:ascii="Calisto MT" w:eastAsia="Times New Roman" w:hAnsi="Calisto MT" w:cs="Times New Roman"/>
                <w:lang w:val="en-GB"/>
              </w:rPr>
              <w:t xml:space="preserve"> is measured and motor nerve conduction velocity is calculated from the distance between stimulation sites. The results are compared to national multi-centre age-controlled norm</w:t>
            </w:r>
            <w:r w:rsidR="006F298B">
              <w:rPr>
                <w:rFonts w:ascii="Calisto MT" w:eastAsia="Times New Roman" w:hAnsi="Calisto MT" w:cs="Times New Roman"/>
                <w:lang w:val="en-GB"/>
              </w:rPr>
              <w:t>ative</w:t>
            </w:r>
            <w:r w:rsidRPr="0037435A">
              <w:rPr>
                <w:rFonts w:ascii="Calisto MT" w:eastAsia="Times New Roman" w:hAnsi="Calisto MT" w:cs="Times New Roman"/>
                <w:lang w:val="en-GB"/>
              </w:rPr>
              <w:t xml:space="preserve"> values and reported as z-scores.</w:t>
            </w:r>
          </w:p>
        </w:tc>
      </w:tr>
    </w:tbl>
    <w:p w14:paraId="4560E943" w14:textId="3F8815F7" w:rsidR="00E31ADA" w:rsidRDefault="00E31ADA" w:rsidP="004E7BD7">
      <w:pPr>
        <w:jc w:val="both"/>
        <w:rPr>
          <w:lang w:val="en-GB"/>
        </w:rPr>
      </w:pPr>
      <w:r w:rsidRPr="004E7BD7">
        <w:lastRenderedPageBreak/>
        <w:t xml:space="preserve">In both sensory and motor nerve conduction studies, significant changes in amplitudes of the responses are defined as a </w:t>
      </w:r>
      <w:r w:rsidR="007447BE">
        <w:t xml:space="preserve">deterioration of any amplitude </w:t>
      </w:r>
      <w:r w:rsidR="00D845C3">
        <w:rPr>
          <w:u w:val="single"/>
        </w:rPr>
        <w:t>&gt;</w:t>
      </w:r>
      <w:r w:rsidR="00D845C3">
        <w:t xml:space="preserve"> </w:t>
      </w:r>
      <w:r w:rsidR="007447BE">
        <w:t>2</w:t>
      </w:r>
      <w:r w:rsidRPr="004E7BD7">
        <w:t xml:space="preserve"> z-score </w:t>
      </w:r>
      <w:r w:rsidR="007447BE">
        <w:t>points</w:t>
      </w:r>
      <w:r w:rsidRPr="004E7BD7">
        <w:t xml:space="preserve">. </w:t>
      </w:r>
      <w:r w:rsidRPr="00ED166E">
        <w:t>Seven neurophysiological exams are clinically related to the intervention, but two supplemental exams (one sensory and one motor) are done on the leg. If a chan</w:t>
      </w:r>
      <w:r>
        <w:t>g</w:t>
      </w:r>
      <w:r w:rsidRPr="00ED166E">
        <w:t xml:space="preserve">e also occurs at these locations the damage will be uncorrelated to the intervention and the participant will be </w:t>
      </w:r>
      <w:r w:rsidR="00560071">
        <w:t>registered with possible systemic neurological damage</w:t>
      </w:r>
      <w:r w:rsidRPr="00ED166E">
        <w:t>.</w:t>
      </w:r>
    </w:p>
    <w:p w14:paraId="302C3CFB" w14:textId="06B9146D" w:rsidR="00845855" w:rsidRPr="0037435A" w:rsidRDefault="007F3965" w:rsidP="004E7BD7">
      <w:pPr>
        <w:jc w:val="both"/>
        <w:rPr>
          <w:lang w:val="en-GB"/>
        </w:rPr>
      </w:pPr>
      <w:r w:rsidRPr="0037435A">
        <w:rPr>
          <w:lang w:val="en-GB"/>
        </w:rPr>
        <w:t>The outcomes will be non-blinded. The neurophysiology technician will not be blinded towards knowledge regarding the use of an endoscopic or open technique, since it will be evident by the scarring. Source data will be the standardised examination datasheet from the Department of Neurophysiology and the case report form (CRF) used by the trial nurse.</w:t>
      </w:r>
      <w:r w:rsidR="00DF011B">
        <w:rPr>
          <w:lang w:val="en-GB"/>
        </w:rPr>
        <w:t xml:space="preserve"> As neurophysiological non velocity testing is </w:t>
      </w:r>
      <w:r w:rsidR="00D845C3">
        <w:rPr>
          <w:lang w:val="en-GB"/>
        </w:rPr>
        <w:t xml:space="preserve">sensitive </w:t>
      </w:r>
      <w:r w:rsidR="00DF011B">
        <w:rPr>
          <w:lang w:val="en-GB"/>
        </w:rPr>
        <w:t xml:space="preserve">to room temperature and </w:t>
      </w:r>
      <w:r w:rsidR="00D845C3">
        <w:rPr>
          <w:lang w:val="en-GB"/>
        </w:rPr>
        <w:t xml:space="preserve">relative </w:t>
      </w:r>
      <w:r w:rsidR="00DF011B">
        <w:rPr>
          <w:lang w:val="en-GB"/>
        </w:rPr>
        <w:t>humidity this is registered in the CRF at every neurophysiological non velocity test visits.</w:t>
      </w:r>
    </w:p>
    <w:p w14:paraId="0650F6EC" w14:textId="5437678A" w:rsidR="007F3965" w:rsidRPr="0037435A" w:rsidRDefault="007F3965" w:rsidP="007F3965">
      <w:pPr>
        <w:pStyle w:val="Overskrift4"/>
        <w:jc w:val="both"/>
        <w:rPr>
          <w:rFonts w:ascii="Calisto MT" w:hAnsi="Calisto MT" w:cs="Times New Roman"/>
        </w:rPr>
      </w:pPr>
      <w:r>
        <w:rPr>
          <w:rFonts w:ascii="Calisto MT" w:hAnsi="Calisto MT" w:cs="Times New Roman"/>
        </w:rPr>
        <w:t xml:space="preserve">(B) </w:t>
      </w:r>
      <w:r w:rsidR="00CF7B0B" w:rsidRPr="00CF7B0B">
        <w:rPr>
          <w:rFonts w:ascii="Calisto MT" w:hAnsi="Calisto MT" w:cs="Times New Roman"/>
        </w:rPr>
        <w:t>Neurological deficit based on clinical examination</w:t>
      </w:r>
    </w:p>
    <w:p w14:paraId="6B1D75CD" w14:textId="102E50D0" w:rsidR="007F3965" w:rsidRDefault="007F3965" w:rsidP="00E31ADA">
      <w:pPr>
        <w:jc w:val="both"/>
        <w:rPr>
          <w:lang w:val="en-GB"/>
        </w:rPr>
      </w:pPr>
      <w:r w:rsidRPr="0037435A">
        <w:rPr>
          <w:lang w:val="en-GB"/>
        </w:rPr>
        <w:t>Change in cutaneous sensibility from baseline to the time point 3 months after surgery. Subjective changes in cutaneous sensibility will be registered using a map of the forearm and hand on which the participant can note changes coded by colour. The change values of the donor arm in the ERAH and ORAH group will be compared.</w:t>
      </w:r>
      <w:r w:rsidR="0090155B">
        <w:rPr>
          <w:lang w:val="en-GB"/>
        </w:rPr>
        <w:t xml:space="preserve"> </w:t>
      </w:r>
      <w:r w:rsidR="004E7BD7">
        <w:rPr>
          <w:lang w:val="en-GB"/>
        </w:rPr>
        <w:t>A significant change is one from no colour to any colour</w:t>
      </w:r>
      <w:r w:rsidR="003E745F">
        <w:rPr>
          <w:lang w:val="en-GB"/>
        </w:rPr>
        <w:t xml:space="preserve"> (figure 2 for spatial </w:t>
      </w:r>
      <w:r w:rsidR="00432023">
        <w:rPr>
          <w:lang w:val="en-GB"/>
        </w:rPr>
        <w:t>dimension</w:t>
      </w:r>
      <w:r w:rsidR="003E745F">
        <w:rPr>
          <w:lang w:val="en-GB"/>
        </w:rPr>
        <w:t>)</w:t>
      </w:r>
      <w:r w:rsidR="004E7BD7">
        <w:rPr>
          <w:lang w:val="en-GB"/>
        </w:rPr>
        <w:t xml:space="preserve">. Mean total colour change between the groups will be reported as well as individual colour changes between the groups. </w:t>
      </w:r>
      <w:r w:rsidR="0090155B">
        <w:rPr>
          <w:lang w:val="en-GB"/>
        </w:rPr>
        <w:t>Colour coding is as follows:</w:t>
      </w:r>
    </w:p>
    <w:p w14:paraId="53B8AB3F" w14:textId="3AC19F63" w:rsidR="0090155B" w:rsidRDefault="0090155B" w:rsidP="004E7BD7">
      <w:pPr>
        <w:pStyle w:val="Listeafsnit"/>
        <w:numPr>
          <w:ilvl w:val="0"/>
          <w:numId w:val="15"/>
        </w:numPr>
        <w:spacing w:line="240" w:lineRule="auto"/>
        <w:jc w:val="both"/>
      </w:pPr>
      <w:r>
        <w:t>No colour = normal sensibility</w:t>
      </w:r>
    </w:p>
    <w:p w14:paraId="310C75A7" w14:textId="453EC4CC" w:rsidR="0090155B" w:rsidRDefault="0090155B" w:rsidP="004E7BD7">
      <w:pPr>
        <w:pStyle w:val="Listeafsnit"/>
        <w:numPr>
          <w:ilvl w:val="0"/>
          <w:numId w:val="15"/>
        </w:numPr>
        <w:spacing w:line="240" w:lineRule="auto"/>
        <w:jc w:val="both"/>
      </w:pPr>
      <w:r>
        <w:t>Blue colour = no sensibility or decrease sensibility</w:t>
      </w:r>
    </w:p>
    <w:p w14:paraId="1410A8CB" w14:textId="4DD64946" w:rsidR="0090155B" w:rsidRDefault="0090155B" w:rsidP="004E7BD7">
      <w:pPr>
        <w:pStyle w:val="Listeafsnit"/>
        <w:numPr>
          <w:ilvl w:val="0"/>
          <w:numId w:val="15"/>
        </w:numPr>
        <w:spacing w:line="240" w:lineRule="auto"/>
        <w:jc w:val="both"/>
      </w:pPr>
      <w:r>
        <w:t xml:space="preserve">Green colour = </w:t>
      </w:r>
      <w:r w:rsidR="004E7BD7">
        <w:t>discomfort or changed sensibility</w:t>
      </w:r>
    </w:p>
    <w:p w14:paraId="5565919F" w14:textId="73E871BF" w:rsidR="004E7BD7" w:rsidRPr="004E7BD7" w:rsidRDefault="0090155B" w:rsidP="004E7BD7">
      <w:pPr>
        <w:pStyle w:val="Listeafsnit"/>
        <w:numPr>
          <w:ilvl w:val="0"/>
          <w:numId w:val="15"/>
        </w:numPr>
        <w:spacing w:line="240" w:lineRule="auto"/>
        <w:jc w:val="both"/>
      </w:pPr>
      <w:r>
        <w:t>Red colour = spontaneous pain sensation</w:t>
      </w:r>
    </w:p>
    <w:p w14:paraId="643D30E8" w14:textId="6F0AB5FD" w:rsidR="007F3965" w:rsidRPr="0037435A" w:rsidRDefault="007F3965" w:rsidP="00E31ADA">
      <w:pPr>
        <w:jc w:val="both"/>
        <w:rPr>
          <w:lang w:val="en-GB"/>
        </w:rPr>
      </w:pPr>
      <w:r w:rsidRPr="0037435A">
        <w:rPr>
          <w:lang w:val="en-GB"/>
        </w:rPr>
        <w:t>The trial nurse will, together with the participants, evaluate the change in cutaneous sensibility using a map of the forearm and hand to mark sensibility changes in the operated forearm and hand. Cutaneous sensibility will also be evaluated on non-donor arm to ensure test reliability and to test for mirror-</w:t>
      </w:r>
      <w:r w:rsidR="00D845C3">
        <w:rPr>
          <w:lang w:val="en-GB"/>
        </w:rPr>
        <w:t>image-</w:t>
      </w:r>
      <w:r w:rsidRPr="0037435A">
        <w:rPr>
          <w:lang w:val="en-GB"/>
        </w:rPr>
        <w:t>defects post-surgery.</w:t>
      </w:r>
      <w:r w:rsidR="0024361C">
        <w:rPr>
          <w:lang w:val="en-GB"/>
        </w:rPr>
        <w:t xml:space="preserve"> The subjective perception intensity necessary to define the four groups of described sensibilities are </w:t>
      </w:r>
      <w:r w:rsidR="00632B60">
        <w:rPr>
          <w:lang w:val="en-GB"/>
        </w:rPr>
        <w:t>patients’</w:t>
      </w:r>
      <w:r w:rsidR="0024361C">
        <w:rPr>
          <w:lang w:val="en-GB"/>
        </w:rPr>
        <w:t xml:space="preserve"> choice.</w:t>
      </w:r>
    </w:p>
    <w:p w14:paraId="1A8A22CE" w14:textId="77777777" w:rsidR="007F3965" w:rsidRPr="0037435A" w:rsidRDefault="007F3965" w:rsidP="00E31ADA">
      <w:pPr>
        <w:jc w:val="both"/>
        <w:rPr>
          <w:lang w:val="en-GB"/>
        </w:rPr>
      </w:pPr>
      <w:r w:rsidRPr="0037435A">
        <w:rPr>
          <w:lang w:val="en-GB"/>
        </w:rPr>
        <w:t>This outcome will be non-blinded. The trial nurse assigned to the NEO trial will be trained by the authors to perform the clinical neurological examinations. Source data will be the CRF used by the trial nurse.</w:t>
      </w:r>
    </w:p>
    <w:p w14:paraId="4065E93D" w14:textId="77777777" w:rsidR="007F3965" w:rsidRPr="0037435A" w:rsidRDefault="007F3965" w:rsidP="007F3965">
      <w:pPr>
        <w:pStyle w:val="Overskrift4"/>
        <w:jc w:val="both"/>
        <w:rPr>
          <w:rFonts w:ascii="Calisto MT" w:hAnsi="Calisto MT"/>
        </w:rPr>
      </w:pPr>
      <w:r>
        <w:rPr>
          <w:rFonts w:ascii="Calisto MT" w:hAnsi="Calisto MT"/>
        </w:rPr>
        <w:lastRenderedPageBreak/>
        <w:t xml:space="preserve">(C) </w:t>
      </w:r>
      <w:r w:rsidRPr="0037435A">
        <w:rPr>
          <w:rFonts w:ascii="Calisto MT" w:hAnsi="Calisto MT"/>
        </w:rPr>
        <w:t>Complications in the donor arm</w:t>
      </w:r>
    </w:p>
    <w:p w14:paraId="20B1B00A" w14:textId="247585D2" w:rsidR="007F3965" w:rsidRPr="0037435A" w:rsidRDefault="007F3965" w:rsidP="00E31ADA">
      <w:pPr>
        <w:jc w:val="both"/>
        <w:rPr>
          <w:lang w:val="en-GB"/>
        </w:rPr>
      </w:pPr>
      <w:r>
        <w:rPr>
          <w:lang w:val="en-GB"/>
        </w:rPr>
        <w:t>O</w:t>
      </w:r>
      <w:r w:rsidRPr="0037435A">
        <w:rPr>
          <w:lang w:val="en-GB"/>
        </w:rPr>
        <w:t>ccurrence of complications at 3 months after surgery. Complications are defined as a composite of haematoma formation, wound dehiscence, or infection registered postoperatively (before discharge) and 3 months after the operation by the trial nurse.</w:t>
      </w:r>
    </w:p>
    <w:p w14:paraId="66B9FC5F" w14:textId="797BEC3C" w:rsidR="009872A5" w:rsidRPr="0037435A" w:rsidRDefault="007F3965" w:rsidP="00FF1C6E">
      <w:pPr>
        <w:jc w:val="both"/>
        <w:rPr>
          <w:lang w:val="en-GB"/>
        </w:rPr>
      </w:pPr>
      <w:r w:rsidRPr="0037435A">
        <w:rPr>
          <w:lang w:val="en-GB"/>
        </w:rPr>
        <w:t>This outcome will be non-blinded. The trial nurse assigned to the NEO trial will register the complications occurring in the operated sites of ERAH and ORAH participants. Source data will be database data from the surgical complication register.</w:t>
      </w:r>
    </w:p>
    <w:p w14:paraId="6BC727A2" w14:textId="404A2529" w:rsidR="009872A5" w:rsidRPr="0037435A" w:rsidRDefault="005D04D5" w:rsidP="007447BE">
      <w:pPr>
        <w:pStyle w:val="Overskrift3"/>
      </w:pPr>
      <w:r>
        <w:t>E</w:t>
      </w:r>
      <w:r w:rsidR="009872A5" w:rsidRPr="0037435A">
        <w:t>xploratory outcomes</w:t>
      </w:r>
    </w:p>
    <w:p w14:paraId="3DB452A2" w14:textId="77777777" w:rsidR="009872A5" w:rsidRPr="0037435A" w:rsidRDefault="009872A5" w:rsidP="009872A5">
      <w:pPr>
        <w:pStyle w:val="Overskrift4"/>
        <w:jc w:val="both"/>
        <w:rPr>
          <w:rFonts w:ascii="Calisto MT" w:hAnsi="Calisto MT"/>
        </w:rPr>
      </w:pPr>
      <w:r>
        <w:rPr>
          <w:rFonts w:ascii="Calisto MT" w:hAnsi="Calisto MT"/>
        </w:rPr>
        <w:t xml:space="preserve">(A) </w:t>
      </w:r>
      <w:r w:rsidRPr="0037435A">
        <w:rPr>
          <w:rFonts w:ascii="Calisto MT" w:hAnsi="Calisto MT"/>
        </w:rPr>
        <w:t>Serious adverse events</w:t>
      </w:r>
    </w:p>
    <w:p w14:paraId="4B9F2CD1" w14:textId="5C7413A5" w:rsidR="00C715E2" w:rsidRPr="0037435A" w:rsidRDefault="009872A5" w:rsidP="00C715E2">
      <w:pPr>
        <w:tabs>
          <w:tab w:val="left" w:pos="272"/>
        </w:tabs>
        <w:jc w:val="both"/>
        <w:rPr>
          <w:rFonts w:ascii="Calisto MT" w:eastAsia="Times New Roman" w:hAnsi="Calisto MT" w:cs="Times New Roman"/>
          <w:lang w:val="en-GB"/>
        </w:rPr>
      </w:pPr>
      <w:r w:rsidRPr="0037435A">
        <w:rPr>
          <w:rFonts w:ascii="Calisto MT" w:eastAsia="Times New Roman" w:hAnsi="Calisto MT" w:cs="Times New Roman"/>
          <w:lang w:val="en-GB"/>
        </w:rPr>
        <w:t>Occurrence of the following serious adverse events at one year after surgery:</w:t>
      </w:r>
      <w:r w:rsidR="00C715E2">
        <w:rPr>
          <w:rFonts w:ascii="Calisto MT" w:eastAsia="Times New Roman" w:hAnsi="Calisto MT" w:cs="Times New Roman"/>
          <w:lang w:val="en-GB"/>
        </w:rPr>
        <w:t xml:space="preserve"> </w:t>
      </w:r>
      <w:r w:rsidRPr="0037435A">
        <w:rPr>
          <w:rFonts w:ascii="Calisto MT" w:eastAsia="Times New Roman" w:hAnsi="Calisto MT" w:cs="Times New Roman"/>
          <w:lang w:val="en-GB"/>
        </w:rPr>
        <w:t>reoperation for bleeding; revascularisation; myocardial infarction; stroke or death</w:t>
      </w:r>
      <w:r w:rsidR="001E3F59">
        <w:rPr>
          <w:rFonts w:ascii="Calisto MT" w:eastAsia="Times New Roman" w:hAnsi="Calisto MT" w:cs="Times New Roman"/>
          <w:lang w:val="en-GB"/>
        </w:rPr>
        <w:t>.</w:t>
      </w:r>
    </w:p>
    <w:p w14:paraId="13C9A6FC" w14:textId="6A828D28" w:rsidR="00C715E2" w:rsidRPr="00C715E2" w:rsidRDefault="00C715E2" w:rsidP="001E7B59">
      <w:pPr>
        <w:tabs>
          <w:tab w:val="left" w:pos="272"/>
        </w:tabs>
        <w:jc w:val="both"/>
        <w:rPr>
          <w:rFonts w:asciiTheme="majorHAnsi" w:hAnsiTheme="majorHAnsi"/>
          <w:lang w:val="en-GB"/>
        </w:rPr>
      </w:pPr>
      <w:r>
        <w:t xml:space="preserve">Data will consist of mentioned events and the </w:t>
      </w:r>
      <w:r w:rsidR="001E7B59">
        <w:t xml:space="preserve">results </w:t>
      </w:r>
      <w:r>
        <w:t xml:space="preserve">will be compared between ERAH versus ORAH groups. </w:t>
      </w:r>
    </w:p>
    <w:p w14:paraId="3A600709" w14:textId="5665A076" w:rsidR="009872A5" w:rsidRPr="0037435A" w:rsidRDefault="009872A5" w:rsidP="009872A5">
      <w:pPr>
        <w:pStyle w:val="NormalWeb"/>
        <w:jc w:val="both"/>
        <w:rPr>
          <w:rFonts w:ascii="Calisto MT" w:hAnsi="Calisto MT"/>
          <w:lang w:val="en-GB"/>
        </w:rPr>
      </w:pPr>
      <w:r w:rsidRPr="0037435A">
        <w:rPr>
          <w:rFonts w:ascii="Calisto MT" w:hAnsi="Calisto MT"/>
          <w:lang w:val="en-GB"/>
        </w:rPr>
        <w:t>This outcome will be blinded. The data will be collected directly from the Danish Patient Register using the participant’s civil registration number.</w:t>
      </w:r>
    </w:p>
    <w:p w14:paraId="10FAB7E5" w14:textId="77777777" w:rsidR="009872A5" w:rsidRPr="0037435A" w:rsidRDefault="009872A5" w:rsidP="009872A5">
      <w:pPr>
        <w:pStyle w:val="Overskrift4"/>
        <w:jc w:val="both"/>
        <w:rPr>
          <w:rFonts w:ascii="Calisto MT" w:hAnsi="Calisto MT"/>
        </w:rPr>
      </w:pPr>
      <w:r>
        <w:rPr>
          <w:rFonts w:ascii="Calisto MT" w:hAnsi="Calisto MT"/>
        </w:rPr>
        <w:t xml:space="preserve">(B) </w:t>
      </w:r>
      <w:r w:rsidRPr="0037435A">
        <w:rPr>
          <w:rFonts w:ascii="Calisto MT" w:hAnsi="Calisto MT"/>
        </w:rPr>
        <w:t>Scar evaluation</w:t>
      </w:r>
    </w:p>
    <w:p w14:paraId="00DDBA0F" w14:textId="10FE1701" w:rsidR="00C715E2" w:rsidRPr="0037435A" w:rsidRDefault="009872A5" w:rsidP="00C715E2">
      <w:pPr>
        <w:jc w:val="both"/>
        <w:rPr>
          <w:rFonts w:ascii="Calisto MT" w:eastAsia="Times New Roman" w:hAnsi="Calisto MT" w:cs="Times New Roman"/>
          <w:lang w:val="en-GB"/>
        </w:rPr>
      </w:pPr>
      <w:r w:rsidRPr="0037435A">
        <w:rPr>
          <w:rFonts w:ascii="Calisto MT" w:eastAsia="Times New Roman" w:hAnsi="Calisto MT" w:cs="Times New Roman"/>
          <w:lang w:val="en-GB"/>
        </w:rPr>
        <w:t>Stony Brooke Scar Evaluation Score</w:t>
      </w:r>
      <w:r w:rsidR="00713281">
        <w:rPr>
          <w:rFonts w:ascii="Calisto MT" w:eastAsia="Times New Roman" w:hAnsi="Calisto MT" w:cs="Times New Roman"/>
          <w:lang w:val="en-GB"/>
        </w:rPr>
        <w:fldChar w:fldCharType="begin"/>
      </w:r>
      <w:r w:rsidR="00BD125E">
        <w:rPr>
          <w:rFonts w:ascii="Calisto MT" w:eastAsia="Times New Roman" w:hAnsi="Calisto MT" w:cs="Times New Roman"/>
          <w:lang w:val="en-GB"/>
        </w:rPr>
        <w:instrText xml:space="preserve"> ADDIN ZOTERO_ITEM CSL_CITATION {"citationID":"aupu0hlvv0","properties":{"formattedCitation":"\\super 4\\nosupersub{}","plainCitation":"4","noteIndex":0},"citationItems":[{"id":251,"uris":["http://zotero.org/users/766374/items/IZRD9TUW"],"itemData":{"id":251,"type":"article-journal","abstract":"BACKGROUND\n\nThe authors previously developed a six-item ordinal wound evaluation scale to measure the short-term cosmetic outcome of wounds 1 week after injury. Although it was never intended to measure long-term outcomes, it has been used to assess scars 3 to 12 months after injury. The authors developed and validated a scar evaluation scale specifically aimed at measuring the long-term appearance of scars.\n\n\nMETHODS\n\nTwo plastic surgeons and one emergency physician, blinded to each other's assessments, viewed photographs of 50 scars resulting from lacerations or surgical incisions. Scars were assigned 0 or 1 point each for the presence or absence of the following: width greater than 2 mm, elevation or depression, discoloration, suture or staple marks, and overall poor appearance. A total cosmetic score was then calculated by adding the individual scores on each of the five categories ranging from 0 (worst) to 5 (best). Scars were also scored on a validated 100-mm visual analogue scale marked \"worst scar\" and \"best scar\" at the low and high ends, respectively. Pairwise interobserver agreement was calculated.\n\n\nRESULTS\n\nInterobserver agreement for the total scores on the scar evaluation scale was 0.73, 0.75, and 0.85 (p &lt; 0.001 for all). Interobserver correlations on the visual analogue scale were 0.83, 0.86, and 0.87 (p &lt; 0.001 for all). Correlations between the total scar evaluation scale and visual analogue scale scores were 0.75, 0.86, and 0.92. Visual analogue scale scores were significantly higher as scar evaluation scale scores increased (analysis of variance, p &lt; 0.001).\n\n\nCONCLUSION\n\nThe authors describe a new long-term scar evaluation scale that is highly reliable and correlated with the cosmetic visual analogue scale, suggesting construct validity.","archive":"Other","archive_location":"Scar","container-title":"Plastic and Reconstructive Surgery","DOI":"10.1097/01.prs.0000287275.15511.10","ISSN":"1529-4242","issue":"7","journalAbbreviation":"Plast. Reconstr. Surg.","note":"PMID: 18090752","page":"1892-1897","source":"NCBI PubMed","title":"Development and validation of a novel scar evaluation scale","volume":"120","author":[{"family":"Singer","given":"Adam J"},{"family":"Arora","given":"Blavantray"},{"family":"Dagum","given":"Alexander"},{"family":"Valentine","given":"Sharon"},{"family":"Hollander","given":"Judd E"}],"issued":{"date-parts":[["2007",12]]}}}],"schema":"https://github.com/citation-style-language/schema/raw/master/csl-citation.json"} </w:instrText>
      </w:r>
      <w:r w:rsidR="00713281">
        <w:rPr>
          <w:rFonts w:ascii="Calisto MT" w:eastAsia="Times New Roman" w:hAnsi="Calisto MT" w:cs="Times New Roman"/>
          <w:lang w:val="en-GB"/>
        </w:rPr>
        <w:fldChar w:fldCharType="separate"/>
      </w:r>
      <w:r w:rsidR="00BD125E" w:rsidRPr="00BD125E">
        <w:rPr>
          <w:rFonts w:ascii="Calisto MT" w:hAnsi="Calisto MT" w:cs="Times New Roman"/>
          <w:vertAlign w:val="superscript"/>
        </w:rPr>
        <w:t>4</w:t>
      </w:r>
      <w:r w:rsidR="00713281">
        <w:rPr>
          <w:rFonts w:ascii="Calisto MT" w:eastAsia="Times New Roman" w:hAnsi="Calisto MT" w:cs="Times New Roman"/>
          <w:lang w:val="en-GB"/>
        </w:rPr>
        <w:fldChar w:fldCharType="end"/>
      </w:r>
      <w:r w:rsidRPr="0037435A">
        <w:rPr>
          <w:rFonts w:ascii="Calisto MT" w:eastAsia="Times New Roman" w:hAnsi="Calisto MT" w:cs="Times New Roman"/>
          <w:lang w:val="en-GB"/>
        </w:rPr>
        <w:t xml:space="preserve"> (Table </w:t>
      </w:r>
      <w:r w:rsidR="00693E81">
        <w:rPr>
          <w:rFonts w:ascii="Calisto MT" w:eastAsia="Times New Roman" w:hAnsi="Calisto MT" w:cs="Times New Roman"/>
          <w:lang w:val="en-GB"/>
        </w:rPr>
        <w:t>4</w:t>
      </w:r>
      <w:r w:rsidRPr="0037435A">
        <w:rPr>
          <w:rFonts w:ascii="Calisto MT" w:eastAsia="Times New Roman" w:hAnsi="Calisto MT" w:cs="Times New Roman"/>
          <w:lang w:val="en-GB"/>
        </w:rPr>
        <w:t xml:space="preserve">) at one year after surgery. </w:t>
      </w:r>
    </w:p>
    <w:p w14:paraId="784A13BD" w14:textId="077011B5" w:rsidR="00845855" w:rsidRDefault="00C715E2" w:rsidP="00C715E2">
      <w:pPr>
        <w:jc w:val="both"/>
      </w:pPr>
      <w:r>
        <w:t xml:space="preserve">Data will consist of scores ranging from </w:t>
      </w:r>
      <w:r w:rsidR="007D000D">
        <w:t>“</w:t>
      </w:r>
      <w:r>
        <w:t>0</w:t>
      </w:r>
      <w:r w:rsidR="007D000D">
        <w:t>”</w:t>
      </w:r>
      <w:r>
        <w:t xml:space="preserve"> to </w:t>
      </w:r>
      <w:r w:rsidR="007D000D">
        <w:t>“</w:t>
      </w:r>
      <w:r>
        <w:t>5</w:t>
      </w:r>
      <w:r w:rsidR="007D000D">
        <w:t>”</w:t>
      </w:r>
      <w:r>
        <w:t xml:space="preserve"> with </w:t>
      </w:r>
      <w:r w:rsidR="007D000D">
        <w:t>“</w:t>
      </w:r>
      <w:r>
        <w:t>0</w:t>
      </w:r>
      <w:r w:rsidR="007D000D">
        <w:t>”</w:t>
      </w:r>
      <w:r>
        <w:t xml:space="preserve"> signifying worst and </w:t>
      </w:r>
      <w:r w:rsidR="007D000D">
        <w:t>“</w:t>
      </w:r>
      <w:r>
        <w:t>5</w:t>
      </w:r>
      <w:r w:rsidR="007D000D">
        <w:t>”</w:t>
      </w:r>
      <w:r>
        <w:t xml:space="preserve"> signifying best scar result. </w:t>
      </w:r>
      <w:r w:rsidRPr="0037435A">
        <w:rPr>
          <w:rFonts w:ascii="Calisto MT" w:eastAsia="Times New Roman" w:hAnsi="Calisto MT" w:cs="Times New Roman"/>
          <w:lang w:val="en-GB"/>
        </w:rPr>
        <w:t>Comparison of mean scores in the ERAH and the ORAH group</w:t>
      </w:r>
      <w:r>
        <w:rPr>
          <w:rFonts w:ascii="Calisto MT" w:eastAsia="Times New Roman" w:hAnsi="Calisto MT" w:cs="Times New Roman"/>
          <w:lang w:val="en-GB"/>
        </w:rPr>
        <w:t xml:space="preserve"> will be done</w:t>
      </w:r>
      <w:r w:rsidRPr="0037435A">
        <w:rPr>
          <w:rFonts w:ascii="Calisto MT" w:eastAsia="Times New Roman" w:hAnsi="Calisto MT" w:cs="Times New Roman"/>
          <w:lang w:val="en-GB"/>
        </w:rPr>
        <w:t>.</w:t>
      </w:r>
    </w:p>
    <w:p w14:paraId="69108878" w14:textId="2BBAF3A4" w:rsidR="00845855" w:rsidRPr="00845855" w:rsidRDefault="009872A5" w:rsidP="00FF1C6E">
      <w:r w:rsidRPr="00845855">
        <w:t>This outcome will be non-blinded. The trial nurse assigned to the NEO trial will be trained in and perform the scar evaluation. The data source will be the CRF.</w:t>
      </w:r>
      <w:r w:rsidR="00FF1C6E" w:rsidRPr="00845855" w:rsidDel="00FF1C6E">
        <w:rPr>
          <w:rStyle w:val="Caption1"/>
          <w:rFonts w:ascii="Calisto MT" w:hAnsi="Calisto MT"/>
          <w:b/>
        </w:rPr>
        <w:t xml:space="preserve"> </w:t>
      </w:r>
    </w:p>
    <w:p w14:paraId="7E05E443" w14:textId="77777777" w:rsidR="009872A5" w:rsidRPr="0037435A" w:rsidRDefault="009872A5" w:rsidP="00845855">
      <w:pPr>
        <w:pStyle w:val="Overskrift4"/>
      </w:pPr>
      <w:r>
        <w:t xml:space="preserve">(C) </w:t>
      </w:r>
      <w:r w:rsidRPr="0037435A">
        <w:t>Handgrip strength</w:t>
      </w:r>
    </w:p>
    <w:p w14:paraId="4312D374" w14:textId="7EC54000" w:rsidR="009872A5" w:rsidRPr="0037435A" w:rsidRDefault="009872A5" w:rsidP="00FF1C6E">
      <w:pPr>
        <w:rPr>
          <w:rFonts w:ascii="Calisto MT" w:hAnsi="Calisto MT"/>
          <w:lang w:val="en-GB"/>
        </w:rPr>
      </w:pPr>
      <w:r w:rsidRPr="0037435A">
        <w:rPr>
          <w:rFonts w:ascii="Calisto MT" w:hAnsi="Calisto MT"/>
          <w:lang w:val="en-GB"/>
        </w:rPr>
        <w:t xml:space="preserve">Maximal handgrip strength one year postoperatively (Table </w:t>
      </w:r>
      <w:r w:rsidR="008E47AF">
        <w:rPr>
          <w:rFonts w:ascii="Calisto MT" w:hAnsi="Calisto MT"/>
          <w:lang w:val="en-GB"/>
        </w:rPr>
        <w:t>5</w:t>
      </w:r>
      <w:r w:rsidRPr="0037435A">
        <w:rPr>
          <w:rFonts w:ascii="Calisto MT" w:hAnsi="Calisto MT"/>
          <w:lang w:val="en-GB"/>
        </w:rPr>
        <w:t>).</w:t>
      </w:r>
    </w:p>
    <w:p w14:paraId="4446DF62" w14:textId="70353A81" w:rsidR="009872A5" w:rsidRPr="0037435A" w:rsidRDefault="009872A5" w:rsidP="009872A5">
      <w:pPr>
        <w:jc w:val="both"/>
        <w:rPr>
          <w:rFonts w:ascii="Calisto MT" w:hAnsi="Calisto MT"/>
          <w:lang w:val="en-GB"/>
        </w:rPr>
      </w:pPr>
      <w:r w:rsidRPr="0037435A">
        <w:rPr>
          <w:rFonts w:ascii="Calisto MT" w:hAnsi="Calisto MT"/>
          <w:lang w:val="en-GB"/>
        </w:rPr>
        <w:t>A hand dynamometer will be used to measure the maximum isometric hand and forearm muscle strength on both hands with the elbows flexed. Three consecutive tests will be done with 15 seconds of recovery time between tests; this test has been validated</w:t>
      </w:r>
      <w:r w:rsidR="00713281">
        <w:rPr>
          <w:rFonts w:ascii="Calisto MT" w:hAnsi="Calisto MT"/>
          <w:lang w:val="en-GB"/>
        </w:rPr>
        <w:fldChar w:fldCharType="begin"/>
      </w:r>
      <w:r w:rsidR="00BD125E">
        <w:rPr>
          <w:rFonts w:ascii="Calisto MT" w:hAnsi="Calisto MT"/>
          <w:lang w:val="en-GB"/>
        </w:rPr>
        <w:instrText xml:space="preserve"> ADDIN ZOTERO_ITEM CSL_CITATION {"citationID":"a1hdj93gjr4","properties":{"formattedCitation":"\\super 5\\nosupersub{}","plainCitation":"5","noteIndex":0},"citationItems":[{"id":550,"uris":["http://zotero.org/users/766374/items/G583TU43"],"itemData":{"id":550,"type":"article-journal","abstract":"BACKGROUND/AIM\n\nGrip strength is useful in clinical practice for the assessment of disease and/or rehabilitation progression. Brief maximal gripping is seldom required in everyday occupations, with repeated or sustained gripping at sub-maximal power more commonly involved. It has been proposed that assessment of both maximal hand-grip force and endurance is utilised. While the suitability of maximal contraction measures has been clearly established, the reliability and validity of other hand-grip indices have not been investigated. This study examined the reliability of various hand-grip indices and their validity in relation to distance walked during the six-minute walk test, a standardised exercise capacity test.\n\n\nMETHODS\n\nSubjects undertook static sub-maximal (50%) and maximal force contraction hand-grip testing from which various indices were derived, and six-minute walk testing from which distance walked was determined. Testing was repeated on three separate occasions for determination of test-retest reliability.\n\n\nRESULTS\n\nPre- and post-fatigue maximal contraction measurements demonstrated excellent test-retest reliability and validity. Conversely, other hand-grip indices were shown to be unreliable and exhibited no relationship with distance walked and hence concurrent validity could not be established.\n\n\nCONCLUSIONS\n\nBased on the results of this study, it is recommended that pre- and post-fatigue maximal contraction may be utilised for the assessment of client ability and progression due to their established validity and test-retest reliability. However, previously proposed measures of fatigue such as endurance (duration of sustained contraction), Strength Decrement Index and work performed (function of endurance and force of contraction) are unreliable and invalid and may have limited use in clinical practice.","archive":"Neurologi","archive_location":"Measurement","container-title":"Australian occupational therapy journal","DOI":"10.1111/j.1440-1630.2010.00888.x","ISSN":"1440-1630","issue":"2","journalAbbreviation":"Aust Occup Ther J","note":"PMID: 21418230","page":"82-87","source":"NCBI PubMed","title":"Reliability and validity of indices of hand-grip strength and endurance","volume":"58","author":[{"family":"Reuter","given":"Stephanie E"},{"family":"Massy-Westropp","given":"Nicola"},{"family":"Evans","given":"Allan M"}],"issued":{"date-parts":[["2011",4]]}}}],"schema":"https://github.com/citation-style-language/schema/raw/master/csl-citation.json"} </w:instrText>
      </w:r>
      <w:r w:rsidR="00713281">
        <w:rPr>
          <w:rFonts w:ascii="Calisto MT" w:hAnsi="Calisto MT"/>
          <w:lang w:val="en-GB"/>
        </w:rPr>
        <w:fldChar w:fldCharType="separate"/>
      </w:r>
      <w:r w:rsidR="00BD125E" w:rsidRPr="00BD125E">
        <w:rPr>
          <w:rFonts w:ascii="Calisto MT" w:hAnsi="Calisto MT" w:cs="Times New Roman"/>
          <w:vertAlign w:val="superscript"/>
        </w:rPr>
        <w:t>5</w:t>
      </w:r>
      <w:r w:rsidR="00713281">
        <w:rPr>
          <w:rFonts w:ascii="Calisto MT" w:hAnsi="Calisto MT"/>
          <w:lang w:val="en-GB"/>
        </w:rPr>
        <w:fldChar w:fldCharType="end"/>
      </w:r>
      <w:r w:rsidRPr="0037435A">
        <w:rPr>
          <w:rFonts w:ascii="Calisto MT" w:hAnsi="Calisto MT"/>
          <w:lang w:val="en-GB"/>
        </w:rPr>
        <w:t xml:space="preserve">. Measuring unit is kilograms and rating of the test is seen in Table </w:t>
      </w:r>
      <w:r w:rsidR="008E47AF">
        <w:rPr>
          <w:rFonts w:ascii="Calisto MT" w:hAnsi="Calisto MT"/>
          <w:lang w:val="en-GB"/>
        </w:rPr>
        <w:t>5</w:t>
      </w:r>
      <w:r w:rsidRPr="0037435A">
        <w:rPr>
          <w:rFonts w:ascii="Calisto MT" w:hAnsi="Calisto MT"/>
          <w:lang w:val="en-GB"/>
        </w:rPr>
        <w:t>.</w:t>
      </w:r>
    </w:p>
    <w:p w14:paraId="2ECCA2D7" w14:textId="22898BA2" w:rsidR="00C715E2" w:rsidRDefault="00C715E2" w:rsidP="00FF1C6E">
      <w:pPr>
        <w:jc w:val="both"/>
        <w:rPr>
          <w:rFonts w:ascii="Calisto MT" w:hAnsi="Calisto MT"/>
          <w:lang w:val="en-GB"/>
        </w:rPr>
      </w:pPr>
      <w:r>
        <w:rPr>
          <w:rFonts w:ascii="Calisto MT" w:hAnsi="Calisto MT"/>
          <w:lang w:val="en-GB"/>
        </w:rPr>
        <w:t>Data will consist of a mean of three tests in both arms. The mean will be rated in seven steps from worst to best. Comparison of mean rates between the ERAH and the ORAH group will be done.</w:t>
      </w:r>
    </w:p>
    <w:p w14:paraId="566948EC" w14:textId="247EC808" w:rsidR="009872A5" w:rsidRPr="0037435A" w:rsidRDefault="009872A5" w:rsidP="00FF1C6E">
      <w:pPr>
        <w:jc w:val="both"/>
        <w:rPr>
          <w:rFonts w:ascii="Calisto MT" w:hAnsi="Calisto MT"/>
          <w:lang w:val="en-GB"/>
        </w:rPr>
      </w:pPr>
      <w:r w:rsidRPr="0037435A">
        <w:rPr>
          <w:rFonts w:ascii="Calisto MT" w:hAnsi="Calisto MT"/>
          <w:lang w:val="en-GB"/>
        </w:rPr>
        <w:t>This outcome will be semi-blinded. An independent health care professional who performs the handgrip strength measurements will be blinded by covering the skin of the donor arm to disguise the harvest technique used. The data source will be the CRF.</w:t>
      </w:r>
    </w:p>
    <w:p w14:paraId="201F5EFA" w14:textId="052D8A57" w:rsidR="009872A5" w:rsidRPr="0037435A" w:rsidRDefault="009872A5" w:rsidP="009872A5">
      <w:pPr>
        <w:pStyle w:val="Overskrift4"/>
        <w:jc w:val="both"/>
        <w:rPr>
          <w:rFonts w:ascii="Calisto MT" w:hAnsi="Calisto MT"/>
        </w:rPr>
      </w:pPr>
      <w:r>
        <w:rPr>
          <w:rFonts w:ascii="Calisto MT" w:hAnsi="Calisto MT"/>
        </w:rPr>
        <w:lastRenderedPageBreak/>
        <w:t xml:space="preserve">(D) </w:t>
      </w:r>
      <w:r w:rsidR="00062AAD" w:rsidRPr="00062AAD">
        <w:rPr>
          <w:rFonts w:ascii="Calisto MT" w:hAnsi="Calisto MT"/>
        </w:rPr>
        <w:t>Muscle power</w:t>
      </w:r>
    </w:p>
    <w:p w14:paraId="20880041" w14:textId="45126677" w:rsidR="00FF1C6E" w:rsidRPr="0037435A" w:rsidRDefault="009872A5" w:rsidP="00C715E2">
      <w:pPr>
        <w:jc w:val="both"/>
        <w:rPr>
          <w:rFonts w:ascii="Calisto MT" w:eastAsia="Times New Roman" w:hAnsi="Calisto MT" w:cs="Times New Roman"/>
          <w:lang w:val="en-GB"/>
        </w:rPr>
      </w:pPr>
      <w:r w:rsidRPr="0037435A">
        <w:rPr>
          <w:rFonts w:ascii="Calisto MT" w:eastAsia="Times New Roman" w:hAnsi="Calisto MT" w:cs="Times New Roman"/>
          <w:lang w:val="en-GB"/>
        </w:rPr>
        <w:t xml:space="preserve">The following muscles will be rated according to the Oxford Scale for grading muscle strength (Table </w:t>
      </w:r>
      <w:r w:rsidR="008E47AF">
        <w:rPr>
          <w:rFonts w:ascii="Calisto MT" w:eastAsia="Times New Roman" w:hAnsi="Calisto MT" w:cs="Times New Roman"/>
          <w:lang w:val="en-GB"/>
        </w:rPr>
        <w:t>6</w:t>
      </w:r>
      <w:r w:rsidRPr="0037435A">
        <w:rPr>
          <w:rFonts w:ascii="Calisto MT" w:eastAsia="Times New Roman" w:hAnsi="Calisto MT" w:cs="Times New Roman"/>
          <w:lang w:val="en-GB"/>
        </w:rPr>
        <w:t xml:space="preserve">) at one year postoperatively: abductor pollicis brevis muscle; abductor </w:t>
      </w:r>
      <w:proofErr w:type="spellStart"/>
      <w:r w:rsidRPr="0037435A">
        <w:rPr>
          <w:rFonts w:ascii="Calisto MT" w:eastAsia="Times New Roman" w:hAnsi="Calisto MT" w:cs="Times New Roman"/>
          <w:lang w:val="en-GB"/>
        </w:rPr>
        <w:t>digiti</w:t>
      </w:r>
      <w:proofErr w:type="spellEnd"/>
      <w:r w:rsidRPr="0037435A">
        <w:rPr>
          <w:rFonts w:ascii="Calisto MT" w:eastAsia="Times New Roman" w:hAnsi="Calisto MT" w:cs="Times New Roman"/>
          <w:lang w:val="en-GB"/>
        </w:rPr>
        <w:t xml:space="preserve"> </w:t>
      </w:r>
      <w:proofErr w:type="spellStart"/>
      <w:r w:rsidRPr="0037435A">
        <w:rPr>
          <w:rFonts w:ascii="Calisto MT" w:eastAsia="Times New Roman" w:hAnsi="Calisto MT" w:cs="Times New Roman"/>
          <w:lang w:val="en-GB"/>
        </w:rPr>
        <w:t>minimi</w:t>
      </w:r>
      <w:proofErr w:type="spellEnd"/>
      <w:r w:rsidRPr="0037435A">
        <w:rPr>
          <w:rFonts w:ascii="Calisto MT" w:eastAsia="Times New Roman" w:hAnsi="Calisto MT" w:cs="Times New Roman"/>
          <w:lang w:val="en-GB"/>
        </w:rPr>
        <w:t xml:space="preserve"> muscle; 1</w:t>
      </w:r>
      <w:r w:rsidRPr="0037435A">
        <w:rPr>
          <w:rFonts w:ascii="Calisto MT" w:eastAsia="Times New Roman" w:hAnsi="Calisto MT" w:cs="Times New Roman"/>
          <w:vertAlign w:val="superscript"/>
          <w:lang w:val="en-GB"/>
        </w:rPr>
        <w:t>st</w:t>
      </w:r>
      <w:r w:rsidRPr="0037435A">
        <w:rPr>
          <w:rFonts w:ascii="Calisto MT" w:eastAsia="Times New Roman" w:hAnsi="Calisto MT" w:cs="Times New Roman"/>
          <w:lang w:val="en-GB"/>
        </w:rPr>
        <w:t xml:space="preserve"> interosseus dorsalis muscle; flexor digitorum </w:t>
      </w:r>
      <w:proofErr w:type="spellStart"/>
      <w:r w:rsidRPr="0037435A">
        <w:rPr>
          <w:rFonts w:ascii="Calisto MT" w:eastAsia="Times New Roman" w:hAnsi="Calisto MT" w:cs="Times New Roman"/>
          <w:lang w:val="en-GB"/>
        </w:rPr>
        <w:t>profundus</w:t>
      </w:r>
      <w:proofErr w:type="spellEnd"/>
      <w:r w:rsidRPr="0037435A">
        <w:rPr>
          <w:rFonts w:ascii="Calisto MT" w:eastAsia="Times New Roman" w:hAnsi="Calisto MT" w:cs="Times New Roman"/>
          <w:lang w:val="en-GB"/>
        </w:rPr>
        <w:t xml:space="preserve"> muscle to finger 2 and 5; and extensor digitorum communis muscle.</w:t>
      </w:r>
    </w:p>
    <w:p w14:paraId="1144CF84" w14:textId="1541C7B5" w:rsidR="00C715E2" w:rsidRDefault="009872A5" w:rsidP="0045405D">
      <w:pPr>
        <w:jc w:val="both"/>
      </w:pPr>
      <w:r w:rsidRPr="00FF1C6E">
        <w:t>The rating scale is sometimes also referred to as ‘Medical Research Council Scale for Muscle Strength’.</w:t>
      </w:r>
      <w:r w:rsidR="00C715E2">
        <w:t xml:space="preserve"> The grading </w:t>
      </w:r>
      <w:r w:rsidR="0003201F">
        <w:t>consists of numbers</w:t>
      </w:r>
      <w:r w:rsidR="00C715E2">
        <w:t xml:space="preserve"> from </w:t>
      </w:r>
      <w:r w:rsidR="00874FB8">
        <w:t>“</w:t>
      </w:r>
      <w:r w:rsidR="00C715E2">
        <w:t>0</w:t>
      </w:r>
      <w:r w:rsidR="00874FB8">
        <w:t>”</w:t>
      </w:r>
      <w:r w:rsidR="00C715E2">
        <w:t xml:space="preserve"> to </w:t>
      </w:r>
      <w:r w:rsidR="007D000D">
        <w:t>“</w:t>
      </w:r>
      <w:r w:rsidR="00C715E2">
        <w:t>5</w:t>
      </w:r>
      <w:r w:rsidR="007D000D">
        <w:t>”</w:t>
      </w:r>
      <w:r w:rsidR="0003201F">
        <w:t xml:space="preserve"> with </w:t>
      </w:r>
      <w:r w:rsidR="007D000D">
        <w:t>“</w:t>
      </w:r>
      <w:r w:rsidR="0003201F">
        <w:t>5</w:t>
      </w:r>
      <w:r w:rsidR="007D000D">
        <w:t>”</w:t>
      </w:r>
      <w:r w:rsidR="0003201F">
        <w:t xml:space="preserve"> being normal strength. A decrease in grading comparing pre-operative with postoperative will be considered a significant change. Thereafter </w:t>
      </w:r>
      <w:r w:rsidR="0080767D">
        <w:t>comparison of total occurrence as well as individual muscle impairment occurrence will be done between the ERAH and ORAH group.</w:t>
      </w:r>
    </w:p>
    <w:p w14:paraId="2D92F67E" w14:textId="632B5ABC" w:rsidR="00FF1C6E" w:rsidRDefault="009872A5" w:rsidP="0045405D">
      <w:pPr>
        <w:jc w:val="both"/>
      </w:pPr>
      <w:r w:rsidRPr="00FF1C6E">
        <w:t>This outcome will be semi-blinded. An independent health care professional will perform the muscle strength evaluation blinded by covering the donor arm to disguise the harvest technique used. The data source will be the CRF.</w:t>
      </w:r>
    </w:p>
    <w:p w14:paraId="135F1723" w14:textId="7EB2E386" w:rsidR="0003201F" w:rsidRPr="0037435A" w:rsidRDefault="009872A5" w:rsidP="0045405D">
      <w:pPr>
        <w:pStyle w:val="Overskrift4"/>
        <w:jc w:val="both"/>
      </w:pPr>
      <w:r>
        <w:t xml:space="preserve">(E) </w:t>
      </w:r>
      <w:r w:rsidRPr="0037435A">
        <w:t>Hand function questionnaire single items</w:t>
      </w:r>
    </w:p>
    <w:p w14:paraId="449F4261" w14:textId="6DF1C9F4" w:rsidR="009872A5" w:rsidRPr="0037435A" w:rsidRDefault="009872A5" w:rsidP="0045405D">
      <w:pPr>
        <w:jc w:val="both"/>
        <w:rPr>
          <w:rFonts w:eastAsia="Times New Roman"/>
          <w:lang w:val="en-GB"/>
        </w:rPr>
      </w:pPr>
      <w:r w:rsidRPr="0037435A">
        <w:rPr>
          <w:rFonts w:eastAsia="Times New Roman"/>
          <w:lang w:val="en-GB"/>
        </w:rPr>
        <w:t xml:space="preserve">Mean score of each of the hand function questionnaire items 2 through </w:t>
      </w:r>
      <w:r w:rsidR="000F2DC9">
        <w:rPr>
          <w:rFonts w:eastAsia="Times New Roman"/>
          <w:lang w:val="en-GB"/>
        </w:rPr>
        <w:t>9</w:t>
      </w:r>
      <w:r w:rsidRPr="0037435A">
        <w:rPr>
          <w:rFonts w:eastAsia="Times New Roman"/>
          <w:lang w:val="en-GB"/>
        </w:rPr>
        <w:t xml:space="preserve"> (Table </w:t>
      </w:r>
      <w:r w:rsidR="008E47AF">
        <w:rPr>
          <w:rFonts w:eastAsia="Times New Roman"/>
          <w:lang w:val="en-GB"/>
        </w:rPr>
        <w:t>3</w:t>
      </w:r>
      <w:r w:rsidRPr="0037435A">
        <w:rPr>
          <w:rFonts w:eastAsia="Times New Roman"/>
          <w:lang w:val="en-GB"/>
        </w:rPr>
        <w:t>). The mean values in the ERAH group will be compared to the mean value in the ORAH group at 3 months after surgery.</w:t>
      </w:r>
      <w:r w:rsidR="0080767D">
        <w:rPr>
          <w:rFonts w:eastAsia="Times New Roman"/>
          <w:lang w:val="en-GB"/>
        </w:rPr>
        <w:t xml:space="preserve"> Individual participant data will consist of a number from 0 to 7 with 7 begin worst outcome. Item 1 consist of dichotomous data (yes or no) and will be reported as such between the ERAH and ORAH group.</w:t>
      </w:r>
    </w:p>
    <w:p w14:paraId="2CC2610D" w14:textId="77777777" w:rsidR="009872A5" w:rsidRPr="0037435A" w:rsidRDefault="009872A5" w:rsidP="009872A5">
      <w:pPr>
        <w:pStyle w:val="Overskrift4"/>
        <w:jc w:val="both"/>
        <w:rPr>
          <w:rFonts w:ascii="Calisto MT" w:hAnsi="Calisto MT"/>
        </w:rPr>
      </w:pPr>
      <w:r>
        <w:rPr>
          <w:rFonts w:ascii="Calisto MT" w:hAnsi="Calisto MT"/>
        </w:rPr>
        <w:t xml:space="preserve">(F) </w:t>
      </w:r>
      <w:r w:rsidRPr="0037435A">
        <w:rPr>
          <w:rFonts w:ascii="Calisto MT" w:hAnsi="Calisto MT"/>
        </w:rPr>
        <w:t>Neurological deficits single tests</w:t>
      </w:r>
    </w:p>
    <w:p w14:paraId="00F4E440" w14:textId="7ECA348C" w:rsidR="0045405D" w:rsidRDefault="009872A5" w:rsidP="0003201F">
      <w:pPr>
        <w:tabs>
          <w:tab w:val="left" w:pos="284"/>
        </w:tabs>
        <w:jc w:val="both"/>
        <w:rPr>
          <w:rFonts w:ascii="Calisto MT" w:eastAsia="Times New Roman" w:hAnsi="Calisto MT" w:cs="Times New Roman"/>
          <w:lang w:val="en-GB"/>
        </w:rPr>
      </w:pPr>
      <w:r w:rsidRPr="0037435A">
        <w:rPr>
          <w:rFonts w:ascii="Calisto MT" w:eastAsia="Times New Roman" w:hAnsi="Calisto MT" w:cs="Times New Roman"/>
          <w:lang w:val="en-GB"/>
        </w:rPr>
        <w:t>Occurrences of neurological deficits at 3 months after surgery. The deterioration of each of the clinical neurological tests is defined as a secondary outcome.</w:t>
      </w:r>
      <w:r w:rsidR="0045405D">
        <w:rPr>
          <w:rFonts w:ascii="Calisto MT" w:eastAsia="Times New Roman" w:hAnsi="Calisto MT" w:cs="Times New Roman"/>
          <w:lang w:val="en-GB"/>
        </w:rPr>
        <w:t xml:space="preserve"> The neurological deficits consist of following types of single tests:</w:t>
      </w:r>
    </w:p>
    <w:p w14:paraId="5C017D3A" w14:textId="699BF6BC" w:rsidR="00E31ADA" w:rsidRDefault="00E31ADA" w:rsidP="00E31ADA">
      <w:pPr>
        <w:ind w:left="426"/>
        <w:jc w:val="both"/>
      </w:pPr>
      <w:r>
        <w:t xml:space="preserve">• </w:t>
      </w:r>
      <w:r w:rsidR="0045405D" w:rsidRPr="00505867">
        <w:rPr>
          <w:u w:val="single"/>
        </w:rPr>
        <w:t>Neurophysiological exam</w:t>
      </w:r>
      <w:r w:rsidR="003E745F">
        <w:rPr>
          <w:u w:val="single"/>
        </w:rPr>
        <w:t>ination</w:t>
      </w:r>
      <w:r w:rsidR="0045405D" w:rsidRPr="00505867">
        <w:rPr>
          <w:u w:val="single"/>
        </w:rPr>
        <w:t>:</w:t>
      </w:r>
      <w:r w:rsidR="0045405D" w:rsidRPr="00E31ADA">
        <w:t xml:space="preserve"> </w:t>
      </w:r>
      <w:r w:rsidR="00505867">
        <w:t>Nine</w:t>
      </w:r>
      <w:r w:rsidR="0045405D" w:rsidRPr="00E31ADA">
        <w:t xml:space="preserve"> different nerves are </w:t>
      </w:r>
      <w:proofErr w:type="spellStart"/>
      <w:r w:rsidR="00456295">
        <w:t>neurophysiologically</w:t>
      </w:r>
      <w:proofErr w:type="spellEnd"/>
      <w:r w:rsidR="00456295">
        <w:t xml:space="preserve"> assessed</w:t>
      </w:r>
      <w:r w:rsidR="00456295" w:rsidRPr="00E31ADA">
        <w:t xml:space="preserve"> </w:t>
      </w:r>
      <w:r w:rsidR="0045405D" w:rsidRPr="00E31ADA">
        <w:t>and a</w:t>
      </w:r>
      <w:r w:rsidR="00456295">
        <w:t>n</w:t>
      </w:r>
      <w:r w:rsidR="0045405D" w:rsidRPr="00E31ADA">
        <w:t xml:space="preserve"> </w:t>
      </w:r>
      <w:r w:rsidR="00456295">
        <w:t>in</w:t>
      </w:r>
      <w:r w:rsidR="0045405D" w:rsidRPr="00E31ADA">
        <w:t xml:space="preserve">crease in z-score </w:t>
      </w:r>
      <w:r w:rsidR="0045405D" w:rsidRPr="003E745F">
        <w:rPr>
          <w:u w:val="single"/>
        </w:rPr>
        <w:t>&gt;</w:t>
      </w:r>
      <w:r w:rsidR="0045405D" w:rsidRPr="00E31ADA">
        <w:t xml:space="preserve">2 is a significant change. </w:t>
      </w:r>
      <w:r w:rsidR="00505867">
        <w:t xml:space="preserve">Seven </w:t>
      </w:r>
      <w:r w:rsidR="00456295">
        <w:t xml:space="preserve">peripheral </w:t>
      </w:r>
      <w:r w:rsidR="00505867">
        <w:t>nerves</w:t>
      </w:r>
      <w:r w:rsidR="00456295">
        <w:t xml:space="preserve"> innervating</w:t>
      </w:r>
      <w:r w:rsidR="00505867">
        <w:t xml:space="preserve"> the arms (clinically relevant outcome) and two </w:t>
      </w:r>
      <w:r w:rsidR="00456295">
        <w:t>innervating</w:t>
      </w:r>
      <w:r w:rsidR="00505867">
        <w:t xml:space="preserve"> the legs (control of possible systemic neurological damage i.e., nonintervention relevant deterioration)</w:t>
      </w:r>
      <w:r w:rsidR="00456295">
        <w:t xml:space="preserve"> are examined</w:t>
      </w:r>
      <w:r w:rsidR="00505867">
        <w:t xml:space="preserve">. </w:t>
      </w:r>
      <w:r w:rsidR="0045405D" w:rsidRPr="00E31ADA">
        <w:t>Total occurrence</w:t>
      </w:r>
      <w:r w:rsidR="00456295">
        <w:t xml:space="preserve"> </w:t>
      </w:r>
      <w:r w:rsidR="0045405D" w:rsidRPr="00E31ADA">
        <w:t xml:space="preserve">of </w:t>
      </w:r>
      <w:r w:rsidR="00456295">
        <w:t xml:space="preserve">nerve </w:t>
      </w:r>
      <w:r w:rsidR="0045405D" w:rsidRPr="00E31ADA">
        <w:t xml:space="preserve">damage as well as individual nerve damage </w:t>
      </w:r>
      <w:r w:rsidR="00505867">
        <w:t xml:space="preserve">(seven test points) </w:t>
      </w:r>
      <w:r w:rsidR="0045405D" w:rsidRPr="00E31ADA">
        <w:t xml:space="preserve">will be reported comparing ERAH group and ORAH group. </w:t>
      </w:r>
    </w:p>
    <w:p w14:paraId="2E80FFE3" w14:textId="4051665D" w:rsidR="0045405D" w:rsidRDefault="00E31ADA" w:rsidP="00062844">
      <w:pPr>
        <w:ind w:left="426"/>
        <w:jc w:val="both"/>
      </w:pPr>
      <w:r w:rsidRPr="00774F1D">
        <w:t xml:space="preserve">• </w:t>
      </w:r>
      <w:r w:rsidR="00456295">
        <w:rPr>
          <w:u w:val="single"/>
        </w:rPr>
        <w:t>v</w:t>
      </w:r>
      <w:r w:rsidR="0045405D" w:rsidRPr="007447BE">
        <w:rPr>
          <w:u w:val="single"/>
        </w:rPr>
        <w:t>on Frey filament exam</w:t>
      </w:r>
      <w:r w:rsidR="003E745F">
        <w:rPr>
          <w:u w:val="single"/>
        </w:rPr>
        <w:t>ination:</w:t>
      </w:r>
      <w:r w:rsidR="0045405D">
        <w:t xml:space="preserve"> </w:t>
      </w:r>
      <w:r w:rsidR="007D000D">
        <w:t>Five different sites are teste</w:t>
      </w:r>
      <w:r w:rsidR="002C2290">
        <w:t xml:space="preserve">d (mentioned earlier) and a nominal change of </w:t>
      </w:r>
      <w:r w:rsidR="002C2290" w:rsidRPr="00ED166E">
        <w:t>≥</w:t>
      </w:r>
      <w:r w:rsidR="00432023">
        <w:t xml:space="preserve"> </w:t>
      </w:r>
      <w:r w:rsidR="002C2290" w:rsidRPr="00ED166E">
        <w:t>1</w:t>
      </w:r>
      <w:r w:rsidR="002C2290">
        <w:t xml:space="preserve"> filament size is a significant change. The range is 12 filament sizes and a mean of five tests performed are the final median force registered. This is done with </w:t>
      </w:r>
      <w:r w:rsidR="008E12BD">
        <w:t>both arms</w:t>
      </w:r>
      <w:r w:rsidR="00774F1D">
        <w:t xml:space="preserve"> and if a significant change takes places in non-operated arm the patient will be excluded </w:t>
      </w:r>
      <w:r w:rsidR="00DF011B">
        <w:t>from intervention related damage</w:t>
      </w:r>
      <w:r w:rsidR="00456295">
        <w:t>,</w:t>
      </w:r>
      <w:r w:rsidR="00DF011B">
        <w:t xml:space="preserve"> but will still be reported as </w:t>
      </w:r>
      <w:r w:rsidR="00456295">
        <w:t xml:space="preserve">a </w:t>
      </w:r>
      <w:r w:rsidR="00DF011B">
        <w:t>possible occurrence of systemic neuropathy in the trial population.</w:t>
      </w:r>
    </w:p>
    <w:p w14:paraId="2F61EC33" w14:textId="0814389B" w:rsidR="00774F1D" w:rsidRDefault="00774F1D" w:rsidP="00062844">
      <w:pPr>
        <w:ind w:left="426"/>
        <w:jc w:val="both"/>
      </w:pPr>
      <w:r>
        <w:t xml:space="preserve">• </w:t>
      </w:r>
      <w:r w:rsidR="00DF011B" w:rsidRPr="007447BE">
        <w:rPr>
          <w:u w:val="single"/>
        </w:rPr>
        <w:t>Algometry test:</w:t>
      </w:r>
      <w:r w:rsidR="00DF011B">
        <w:t xml:space="preserve"> One test </w:t>
      </w:r>
      <w:r w:rsidR="003E745F">
        <w:t xml:space="preserve">at the palmar base of metacarpal II </w:t>
      </w:r>
      <w:r w:rsidR="00DF011B">
        <w:t xml:space="preserve">donor arm as well as same test site on non-operated arm are tested. </w:t>
      </w:r>
    </w:p>
    <w:p w14:paraId="38F1B1CC" w14:textId="1364F61B" w:rsidR="00373BD5" w:rsidRPr="007447BE" w:rsidRDefault="004459A7" w:rsidP="007447BE">
      <w:pPr>
        <w:jc w:val="both"/>
        <w:rPr>
          <w:lang w:val="en-GB"/>
        </w:rPr>
      </w:pPr>
      <w:r w:rsidRPr="0037435A">
        <w:rPr>
          <w:lang w:val="en-GB"/>
        </w:rPr>
        <w:t xml:space="preserve">The outcomes will be non-blinded. The neurophysiology technician will not be blinded towards knowledge regarding the use of an endoscopic or open technique, since it will be </w:t>
      </w:r>
      <w:r w:rsidRPr="0037435A">
        <w:rPr>
          <w:lang w:val="en-GB"/>
        </w:rPr>
        <w:lastRenderedPageBreak/>
        <w:t>evident by the scarring. Source data will be the standardised examination datasheet from the Department of Neurophysiology and the case report form (CRF) used by the trial nurse.</w:t>
      </w:r>
      <w:r>
        <w:rPr>
          <w:lang w:val="en-GB"/>
        </w:rPr>
        <w:t xml:space="preserve"> As neurophysiological non velocity testing is sensible to room temperature and humidity this is registered in the CRF at every neurophysiological non velocity test visits.</w:t>
      </w:r>
    </w:p>
    <w:p w14:paraId="23A751C9" w14:textId="77777777" w:rsidR="009872A5" w:rsidRPr="0037435A" w:rsidRDefault="009872A5" w:rsidP="009872A5">
      <w:pPr>
        <w:pStyle w:val="Overskrift4"/>
        <w:jc w:val="both"/>
        <w:rPr>
          <w:rFonts w:ascii="Calisto MT" w:hAnsi="Calisto MT"/>
        </w:rPr>
      </w:pPr>
      <w:r>
        <w:rPr>
          <w:rFonts w:ascii="Calisto MT" w:hAnsi="Calisto MT"/>
        </w:rPr>
        <w:t xml:space="preserve">(G) </w:t>
      </w:r>
      <w:r w:rsidRPr="0037435A">
        <w:rPr>
          <w:rFonts w:ascii="Calisto MT" w:hAnsi="Calisto MT"/>
        </w:rPr>
        <w:t>MSCT evaluation of graft patency</w:t>
      </w:r>
    </w:p>
    <w:p w14:paraId="64F947BC" w14:textId="3E88B5AE" w:rsidR="009872A5" w:rsidRPr="0037435A" w:rsidRDefault="009872A5" w:rsidP="0003201F">
      <w:pPr>
        <w:tabs>
          <w:tab w:val="left" w:pos="272"/>
        </w:tabs>
        <w:jc w:val="both"/>
        <w:rPr>
          <w:rFonts w:ascii="Calisto MT" w:eastAsia="Times New Roman" w:hAnsi="Calisto MT" w:cs="Times New Roman"/>
          <w:lang w:val="en-GB"/>
        </w:rPr>
      </w:pPr>
      <w:r w:rsidRPr="0037435A">
        <w:rPr>
          <w:rFonts w:ascii="Calisto MT" w:eastAsia="Times New Roman" w:hAnsi="Calisto MT" w:cs="Times New Roman"/>
          <w:lang w:val="en-GB"/>
        </w:rPr>
        <w:t>Patency of the graft at one year after the surgery. The patency will be divided into perfect patency, incomplete patency, string sign, and occluded according to assessment by MSCT, and the ERAH will be compared to the ORAH group</w:t>
      </w:r>
      <w:r w:rsidR="005D04D5">
        <w:rPr>
          <w:rFonts w:ascii="Calisto MT" w:eastAsia="Times New Roman" w:hAnsi="Calisto MT" w:cs="Times New Roman"/>
          <w:lang w:val="en-GB"/>
        </w:rPr>
        <w:t xml:space="preserve"> both in total graft incompleteness (sum of incomplete patency, string sign and occlusion) and by individual results. The NEO Trial 1 part will only look at the anastomosis between the radial artery and the coronaries. </w:t>
      </w:r>
      <w:r w:rsidR="007447BE">
        <w:rPr>
          <w:rFonts w:ascii="Calisto MT" w:eastAsia="Times New Roman" w:hAnsi="Calisto MT" w:cs="Times New Roman"/>
          <w:lang w:val="en-GB"/>
        </w:rPr>
        <w:t>Therefore,</w:t>
      </w:r>
      <w:r w:rsidR="005D04D5">
        <w:rPr>
          <w:rFonts w:ascii="Calisto MT" w:eastAsia="Times New Roman" w:hAnsi="Calisto MT" w:cs="Times New Roman"/>
          <w:lang w:val="en-GB"/>
        </w:rPr>
        <w:t xml:space="preserve"> patients with a malfunctioning </w:t>
      </w:r>
      <w:proofErr w:type="spellStart"/>
      <w:r w:rsidR="005D04D5">
        <w:rPr>
          <w:rFonts w:ascii="Calisto MT" w:eastAsia="Times New Roman" w:hAnsi="Calisto MT" w:cs="Times New Roman"/>
          <w:lang w:val="en-GB"/>
        </w:rPr>
        <w:t>mammario</w:t>
      </w:r>
      <w:proofErr w:type="spellEnd"/>
      <w:r w:rsidR="00456295">
        <w:rPr>
          <w:rFonts w:ascii="Calisto MT" w:eastAsia="Times New Roman" w:hAnsi="Calisto MT" w:cs="Times New Roman"/>
          <w:lang w:val="en-GB"/>
        </w:rPr>
        <w:t>-</w:t>
      </w:r>
      <w:r w:rsidR="005D04D5">
        <w:rPr>
          <w:rFonts w:ascii="Calisto MT" w:eastAsia="Times New Roman" w:hAnsi="Calisto MT" w:cs="Times New Roman"/>
          <w:lang w:val="en-GB"/>
        </w:rPr>
        <w:t>radial anastomosis will be excluded from this analysis.</w:t>
      </w:r>
    </w:p>
    <w:p w14:paraId="4A41EE95" w14:textId="77777777" w:rsidR="009872A5" w:rsidRPr="0037435A" w:rsidRDefault="009872A5" w:rsidP="00062844">
      <w:pPr>
        <w:jc w:val="both"/>
        <w:rPr>
          <w:lang w:val="en-GB"/>
        </w:rPr>
      </w:pPr>
      <w:r w:rsidRPr="0037435A">
        <w:rPr>
          <w:lang w:val="en-GB"/>
        </w:rPr>
        <w:t xml:space="preserve">The MSCT allows for assessment of cardiac structures and both 16-slice and 64-slice scanners have been validated for assessing the graft patency after CABG [57,58]. The patients included in the study are scanned using a 320-slice scanner (Toshiba </w:t>
      </w:r>
      <w:proofErr w:type="spellStart"/>
      <w:r w:rsidRPr="0037435A">
        <w:rPr>
          <w:lang w:val="en-GB"/>
        </w:rPr>
        <w:t>Aquilion</w:t>
      </w:r>
      <w:proofErr w:type="spellEnd"/>
      <w:r w:rsidRPr="0037435A">
        <w:rPr>
          <w:lang w:val="en-GB"/>
        </w:rPr>
        <w:t xml:space="preserve"> ONE, Japan). The scanning protocol is as follows: Gantry rotation time 350 </w:t>
      </w:r>
      <w:proofErr w:type="spellStart"/>
      <w:r w:rsidRPr="0037435A">
        <w:rPr>
          <w:lang w:val="en-GB"/>
        </w:rPr>
        <w:t>ms</w:t>
      </w:r>
      <w:proofErr w:type="spellEnd"/>
      <w:r w:rsidRPr="0037435A">
        <w:rPr>
          <w:lang w:val="en-GB"/>
        </w:rPr>
        <w:t>, detector collimation 0.5 × 320. Tube voltage and current are chosen based on the patient’s body mass index ranging between 100 and 120 kV and between 280 and 500 mA. An intravenous contrast media (</w:t>
      </w:r>
      <w:proofErr w:type="spellStart"/>
      <w:r w:rsidRPr="0037435A">
        <w:rPr>
          <w:lang w:val="en-GB"/>
        </w:rPr>
        <w:t>Visipaque</w:t>
      </w:r>
      <w:proofErr w:type="spellEnd"/>
      <w:r w:rsidRPr="0037435A">
        <w:rPr>
          <w:lang w:val="en-GB"/>
        </w:rPr>
        <w:t xml:space="preserve"> 320 mg/m</w:t>
      </w:r>
      <w:r w:rsidRPr="0037435A">
        <w:rPr>
          <w:caps/>
          <w:lang w:val="en-GB"/>
        </w:rPr>
        <w:t>l</w:t>
      </w:r>
      <w:r w:rsidRPr="0037435A">
        <w:rPr>
          <w:lang w:val="en-GB"/>
        </w:rPr>
        <w:t>, GE Healthcare, UK) is infused using a flow rate of 6 m</w:t>
      </w:r>
      <w:r w:rsidRPr="0037435A">
        <w:rPr>
          <w:caps/>
          <w:lang w:val="en-GB"/>
        </w:rPr>
        <w:t>l</w:t>
      </w:r>
      <w:r w:rsidRPr="0037435A">
        <w:rPr>
          <w:lang w:val="en-GB"/>
        </w:rPr>
        <w:t>/s followed by a saline chaser. The contrast dye volume used is individually calculated according to patient body mass index (100–130 m</w:t>
      </w:r>
      <w:r w:rsidRPr="0037435A">
        <w:rPr>
          <w:caps/>
          <w:lang w:val="en-GB"/>
        </w:rPr>
        <w:t>l</w:t>
      </w:r>
      <w:r w:rsidRPr="0037435A">
        <w:rPr>
          <w:lang w:val="en-GB"/>
        </w:rPr>
        <w:t>). Image interpretation is performed using commercially available software (</w:t>
      </w:r>
      <w:proofErr w:type="spellStart"/>
      <w:r w:rsidRPr="0037435A">
        <w:rPr>
          <w:lang w:val="en-GB"/>
        </w:rPr>
        <w:t>Vitrea</w:t>
      </w:r>
      <w:proofErr w:type="spellEnd"/>
      <w:r w:rsidRPr="0037435A">
        <w:rPr>
          <w:lang w:val="en-GB"/>
        </w:rPr>
        <w:t>, version 3.0.1, Vital Images, USA). Grafts are evaluated by two experts in cardiac MSCT blinded to the patient’s randomisation status in the trial. MSCT is performed at the department of radiology one year after the operation.</w:t>
      </w:r>
    </w:p>
    <w:p w14:paraId="5E6AAA8F" w14:textId="77777777" w:rsidR="009872A5" w:rsidRPr="0037435A" w:rsidRDefault="009872A5" w:rsidP="009872A5">
      <w:pPr>
        <w:pStyle w:val="NormalWeb"/>
        <w:jc w:val="both"/>
        <w:rPr>
          <w:rFonts w:ascii="Calisto MT" w:hAnsi="Calisto MT"/>
          <w:lang w:val="en-GB"/>
        </w:rPr>
      </w:pPr>
      <w:r w:rsidRPr="0037435A">
        <w:rPr>
          <w:rFonts w:ascii="Calisto MT" w:hAnsi="Calisto MT"/>
          <w:lang w:val="en-GB"/>
        </w:rPr>
        <w:t>This outcome will be blinded. Two employees from the Department of Cardiology and Radiology will do the interpretation of MSCT scans for patency, without knowledge of whether the radial artery has been harvested by endoscopic or open techniques.</w:t>
      </w:r>
    </w:p>
    <w:p w14:paraId="3D1E2763" w14:textId="77777777" w:rsidR="009872A5" w:rsidRPr="0037435A" w:rsidRDefault="009872A5" w:rsidP="009872A5">
      <w:pPr>
        <w:pStyle w:val="Overskrift4"/>
        <w:jc w:val="both"/>
        <w:rPr>
          <w:rFonts w:ascii="Calisto MT" w:hAnsi="Calisto MT"/>
        </w:rPr>
      </w:pPr>
      <w:r>
        <w:rPr>
          <w:rFonts w:ascii="Calisto MT" w:hAnsi="Calisto MT"/>
        </w:rPr>
        <w:t xml:space="preserve">(H) </w:t>
      </w:r>
      <w:r w:rsidRPr="0037435A">
        <w:rPr>
          <w:rFonts w:ascii="Calisto MT" w:hAnsi="Calisto MT"/>
        </w:rPr>
        <w:t>Neuropathic pain symptoms and signs</w:t>
      </w:r>
    </w:p>
    <w:p w14:paraId="48D9C8F9" w14:textId="6FDD96F7" w:rsidR="009872A5" w:rsidRPr="0037435A" w:rsidRDefault="009872A5" w:rsidP="0045405D">
      <w:pPr>
        <w:jc w:val="both"/>
        <w:rPr>
          <w:rFonts w:ascii="Calisto MT" w:eastAsia="Times New Roman" w:hAnsi="Calisto MT" w:cs="Times New Roman"/>
          <w:lang w:val="en-GB"/>
        </w:rPr>
      </w:pPr>
      <w:bookmarkStart w:id="3" w:name="_Hlk95131128"/>
      <w:r w:rsidRPr="0037435A">
        <w:rPr>
          <w:rFonts w:ascii="Calisto MT" w:eastAsia="Times New Roman" w:hAnsi="Calisto MT" w:cs="Times New Roman"/>
          <w:lang w:val="en-GB"/>
        </w:rPr>
        <w:t xml:space="preserve">The Leeds assessment of neuropathic symptoms and signs (LANNS) pain </w:t>
      </w:r>
      <w:bookmarkEnd w:id="3"/>
      <w:r w:rsidRPr="0037435A">
        <w:rPr>
          <w:rFonts w:ascii="Calisto MT" w:eastAsia="Times New Roman" w:hAnsi="Calisto MT" w:cs="Times New Roman"/>
          <w:lang w:val="en-GB"/>
        </w:rPr>
        <w:t>scale</w:t>
      </w:r>
      <w:r w:rsidR="00713281">
        <w:rPr>
          <w:rFonts w:ascii="Calisto MT" w:eastAsia="Times New Roman" w:hAnsi="Calisto MT" w:cs="Times New Roman"/>
          <w:lang w:val="en-GB"/>
        </w:rPr>
        <w:fldChar w:fldCharType="begin"/>
      </w:r>
      <w:r w:rsidR="00BD125E">
        <w:rPr>
          <w:rFonts w:ascii="Calisto MT" w:eastAsia="Times New Roman" w:hAnsi="Calisto MT" w:cs="Times New Roman"/>
          <w:lang w:val="en-GB"/>
        </w:rPr>
        <w:instrText xml:space="preserve"> ADDIN ZOTERO_ITEM CSL_CITATION {"citationID":"aa9m3c69u7","properties":{"formattedCitation":"\\super 6\\nosupersub{}","plainCitation":"6","noteIndex":0},"citationItems":[{"id":643,"uris":["http://zotero.org/users/766374/items/5ZNUVCHK"],"itemData":{"id":643,"type":"article-journal","abstract":"This study describes the development and validation of a novel tool for identifying patients in whom neuropathic mechanisms dominate their pain experience. The Leeds assessment of neuropathic symptoms and signs (LANSS) Pain Scale is based on analysis of sensory description and bedside examination of sensory dysfunction, and provides immediate information in clinical settings. It was developed in two populations of chronic pain patients. In the first (n = 60), the use of sensory descriptors and questions were compared in patients with nociceptive and neuropathic pain, combined with an assessment of sensory function. This data was used to derive a seven item pain scale, consisting of grouped sensory description and sensory examination with a simple scoring system. The LANSS Pain Scale was validated in a second group of patients (n = 40) by assessing discriminant ability, internal consistency and agreement by independent raters. Clinical and research applications of the LANSS Pain Scale are discussed.","archive":"Neurologi","archive_location":"Scoring","container-title":"Pain","ISSN":"0304-3959","issue":"1-2","journalAbbreviation":"Pain","note":"PMID: 11323136","page":"147-157","source":"NCBI PubMed","title":"The LANSS Pain Scale: the Leeds assessment of neuropathic symptoms and signs","title-short":"The LANSS Pain Scale","volume":"92","author":[{"family":"Bennett","given":"M"}],"issued":{"date-parts":[["2001",5]]}}}],"schema":"https://github.com/citation-style-language/schema/raw/master/csl-citation.json"} </w:instrText>
      </w:r>
      <w:r w:rsidR="00713281">
        <w:rPr>
          <w:rFonts w:ascii="Calisto MT" w:eastAsia="Times New Roman" w:hAnsi="Calisto MT" w:cs="Times New Roman"/>
          <w:lang w:val="en-GB"/>
        </w:rPr>
        <w:fldChar w:fldCharType="separate"/>
      </w:r>
      <w:r w:rsidR="00BD125E" w:rsidRPr="00BD125E">
        <w:rPr>
          <w:rFonts w:ascii="Calisto MT" w:hAnsi="Calisto MT" w:cs="Times New Roman"/>
          <w:vertAlign w:val="superscript"/>
        </w:rPr>
        <w:t>6</w:t>
      </w:r>
      <w:r w:rsidR="00713281">
        <w:rPr>
          <w:rFonts w:ascii="Calisto MT" w:eastAsia="Times New Roman" w:hAnsi="Calisto MT" w:cs="Times New Roman"/>
          <w:lang w:val="en-GB"/>
        </w:rPr>
        <w:fldChar w:fldCharType="end"/>
      </w:r>
      <w:r w:rsidRPr="0037435A">
        <w:rPr>
          <w:rFonts w:ascii="Calisto MT" w:eastAsia="Times New Roman" w:hAnsi="Calisto MT" w:cs="Times New Roman"/>
          <w:lang w:val="en-GB"/>
        </w:rPr>
        <w:t xml:space="preserve"> at 3 months after surgery (Table </w:t>
      </w:r>
      <w:r w:rsidR="008E47AF">
        <w:rPr>
          <w:rFonts w:ascii="Calisto MT" w:eastAsia="Times New Roman" w:hAnsi="Calisto MT" w:cs="Times New Roman"/>
          <w:lang w:val="en-GB"/>
        </w:rPr>
        <w:t>7</w:t>
      </w:r>
      <w:r w:rsidRPr="0037435A">
        <w:rPr>
          <w:rFonts w:ascii="Calisto MT" w:eastAsia="Times New Roman" w:hAnsi="Calisto MT" w:cs="Times New Roman"/>
          <w:lang w:val="en-GB"/>
        </w:rPr>
        <w:t>). The Danish version of this assessment is tested to have a cut-off value at ≥12.</w:t>
      </w:r>
    </w:p>
    <w:p w14:paraId="65FFC149" w14:textId="1E22DE94" w:rsidR="009872A5" w:rsidRPr="0037435A" w:rsidRDefault="009872A5" w:rsidP="009872A5">
      <w:pPr>
        <w:pStyle w:val="NormalWeb"/>
        <w:jc w:val="both"/>
        <w:rPr>
          <w:rFonts w:ascii="Calisto MT" w:hAnsi="Calisto MT"/>
          <w:lang w:val="en-GB"/>
        </w:rPr>
      </w:pPr>
      <w:r w:rsidRPr="0037435A">
        <w:rPr>
          <w:rFonts w:ascii="Calisto MT" w:hAnsi="Calisto MT"/>
          <w:lang w:val="en-GB"/>
        </w:rPr>
        <w:t>This outcome will be non-blinded. The trial nurse assigned to the NEO trial will record the responses of the participants. The data source will be the CRF.</w:t>
      </w:r>
    </w:p>
    <w:p w14:paraId="7B4B5B80" w14:textId="77777777" w:rsidR="009872A5" w:rsidRPr="0037435A" w:rsidRDefault="009872A5" w:rsidP="009872A5">
      <w:pPr>
        <w:pStyle w:val="Overskrift4"/>
        <w:jc w:val="both"/>
        <w:rPr>
          <w:rFonts w:ascii="Calisto MT" w:hAnsi="Calisto MT"/>
        </w:rPr>
      </w:pPr>
      <w:r>
        <w:rPr>
          <w:rFonts w:ascii="Calisto MT" w:hAnsi="Calisto MT"/>
        </w:rPr>
        <w:t xml:space="preserve">(I) </w:t>
      </w:r>
      <w:r w:rsidRPr="0037435A">
        <w:rPr>
          <w:rFonts w:ascii="Calisto MT" w:hAnsi="Calisto MT"/>
        </w:rPr>
        <w:t>Vascular function</w:t>
      </w:r>
    </w:p>
    <w:p w14:paraId="15024067" w14:textId="69E205B3" w:rsidR="009872A5" w:rsidRPr="0037435A" w:rsidRDefault="009872A5" w:rsidP="009872A5">
      <w:pPr>
        <w:jc w:val="both"/>
        <w:rPr>
          <w:rFonts w:ascii="Calisto MT" w:hAnsi="Calisto MT"/>
          <w:lang w:val="en-GB"/>
        </w:rPr>
      </w:pPr>
      <w:r w:rsidRPr="0037435A">
        <w:rPr>
          <w:rFonts w:ascii="Calisto MT" w:hAnsi="Calisto MT"/>
          <w:lang w:val="en-GB"/>
        </w:rPr>
        <w:t xml:space="preserve">The vascular function will be assessed by single photon emission computed tomography (SPECT) of the hand. The technique used is </w:t>
      </w:r>
      <w:r w:rsidRPr="0037435A">
        <w:rPr>
          <w:rFonts w:ascii="Calisto MT" w:hAnsi="Calisto MT"/>
          <w:vertAlign w:val="superscript"/>
          <w:lang w:val="en-GB"/>
        </w:rPr>
        <w:t>99m</w:t>
      </w:r>
      <w:r w:rsidRPr="0037435A">
        <w:rPr>
          <w:rFonts w:ascii="Calisto MT" w:hAnsi="Calisto MT"/>
          <w:lang w:val="en-GB"/>
        </w:rPr>
        <w:t xml:space="preserve">Technetium </w:t>
      </w:r>
      <w:proofErr w:type="spellStart"/>
      <w:r w:rsidRPr="0037435A">
        <w:rPr>
          <w:rFonts w:ascii="Calisto MT" w:hAnsi="Calisto MT"/>
          <w:lang w:val="en-GB"/>
        </w:rPr>
        <w:t>sestamibi</w:t>
      </w:r>
      <w:proofErr w:type="spellEnd"/>
      <w:r w:rsidRPr="0037435A">
        <w:rPr>
          <w:rFonts w:ascii="Calisto MT" w:hAnsi="Calisto MT"/>
          <w:lang w:val="en-GB"/>
        </w:rPr>
        <w:t xml:space="preserve"> imaging which is commonly known as a ‘MIBI scan’ and is most often used for myocardial perfusion</w:t>
      </w:r>
      <w:r w:rsidR="00713281">
        <w:rPr>
          <w:rFonts w:ascii="Calisto MT" w:hAnsi="Calisto MT"/>
          <w:lang w:val="en-GB"/>
        </w:rPr>
        <w:fldChar w:fldCharType="begin"/>
      </w:r>
      <w:r w:rsidR="00BD125E">
        <w:rPr>
          <w:rFonts w:ascii="Calisto MT" w:hAnsi="Calisto MT"/>
          <w:lang w:val="en-GB"/>
        </w:rPr>
        <w:instrText xml:space="preserve"> ADDIN ZOTERO_ITEM CSL_CITATION {"citationID":"aoikgmcici","properties":{"formattedCitation":"\\super 7\\nosupersub{}","plainCitation":"7","noteIndex":0},"citationItems":[{"id":955,"uris":["http://zotero.org/users/766374/items/ASWXQWRM"],"itemData":{"id":955,"type":"article-journal","abstract":"The European procedural guidelines for radionuclide imaging of myocardial perfusion and viability are presented in 13 sections covering patient information, radiopharmaceuticals, injected activities and dosimetry, stress tests, imaging protocols and acquisition, quality control and reconstruction methods, gated studies and attenuation-scatter compensation, data analysis, reports and image display, and positron emission tomography. If the specific recommendations given could not be based on evidence from original, scientific studies, we tried to express this state-of-art. The guidelines are designed to assist in the practice of performing, interpreting and reporting myocardial perfusion SPET. The guidelines do not discuss clinical indications, benefits or drawbacks of radionuclide myocardial imaging compared to non-nuclear techniques, nor do they cover cost benefit or cost effectiveness.","container-title":"European journal of nuclear medicine and molecular imaging","DOI":"10.1007/s00259-005-1779-y","ISSN":"1619-7070","issue":"7","journalAbbreviation":"Eur. J. Nucl. Med. Mol. Imaging","language":"eng","note":"PMID: 15909197","page":"855-897","source":"NCBI PubMed","title":"EANM/ESC procedural guidelines for myocardial perfusion imaging in nuclear cardiology","volume":"32","author":[{"family":"Hesse","given":"B"},{"family":"Tägil","given":"K"},{"family":"Cuocolo","given":"A"},{"family":"Anagnostopoulos","given":"C"},{"family":"Bardiés","given":"M"},{"family":"Bax","given":"J"},{"family":"Bengel","given":"F"},{"family":"Busemann Sokole","given":"E"},{"family":"Davies","given":"G"},{"family":"Dondi","given":"M"},{"family":"Edenbrandt","given":"L"},{"family":"Franken","given":"P"},{"family":"Kjaer","given":"A"},{"family":"Knuuti","given":"J"},{"family":"Lassmann","given":"M"},{"family":"Ljungberg","given":"M"},{"family":"Marcassa","given":"C"},{"family":"Marie","given":"P Y"},{"family":"McKiddie","given":"F"},{"family":"O'Connor","given":"M"},{"family":"Prvulovich","given":"E"},{"family":"Underwood","given":"R"},{"family":"Eck-Smit","given":"B","non-dropping-particle":"van"},{"literal":"EANM/ESC Group"}],"issued":{"date-parts":[["2005",7]]}}}],"schema":"https://github.com/citation-style-language/schema/raw/master/csl-citation.json"} </w:instrText>
      </w:r>
      <w:r w:rsidR="00713281">
        <w:rPr>
          <w:rFonts w:ascii="Calisto MT" w:hAnsi="Calisto MT"/>
          <w:lang w:val="en-GB"/>
        </w:rPr>
        <w:fldChar w:fldCharType="separate"/>
      </w:r>
      <w:r w:rsidR="00BD125E" w:rsidRPr="00BD125E">
        <w:rPr>
          <w:rFonts w:ascii="Calisto MT" w:hAnsi="Calisto MT" w:cs="Times New Roman"/>
          <w:vertAlign w:val="superscript"/>
        </w:rPr>
        <w:t>7</w:t>
      </w:r>
      <w:r w:rsidR="00713281">
        <w:rPr>
          <w:rFonts w:ascii="Calisto MT" w:hAnsi="Calisto MT"/>
          <w:lang w:val="en-GB"/>
        </w:rPr>
        <w:fldChar w:fldCharType="end"/>
      </w:r>
      <w:r w:rsidRPr="0037435A">
        <w:rPr>
          <w:rFonts w:ascii="Calisto MT" w:hAnsi="Calisto MT"/>
          <w:lang w:val="en-GB"/>
        </w:rPr>
        <w:t xml:space="preserve">. </w:t>
      </w:r>
      <w:r w:rsidRPr="0037435A">
        <w:rPr>
          <w:rFonts w:ascii="Calisto MT" w:hAnsi="Calisto MT"/>
          <w:vertAlign w:val="superscript"/>
          <w:lang w:val="en-GB"/>
        </w:rPr>
        <w:t>99m</w:t>
      </w:r>
      <w:r w:rsidRPr="0037435A">
        <w:rPr>
          <w:rFonts w:ascii="Calisto MT" w:hAnsi="Calisto MT"/>
          <w:lang w:val="en-GB"/>
        </w:rPr>
        <w:t xml:space="preserve">Technetium </w:t>
      </w:r>
      <w:proofErr w:type="spellStart"/>
      <w:r w:rsidRPr="0037435A">
        <w:rPr>
          <w:rFonts w:ascii="Calisto MT" w:hAnsi="Calisto MT"/>
          <w:lang w:val="en-GB"/>
        </w:rPr>
        <w:t>sestamibi</w:t>
      </w:r>
      <w:proofErr w:type="spellEnd"/>
      <w:r w:rsidRPr="0037435A">
        <w:rPr>
          <w:rFonts w:ascii="Calisto MT" w:hAnsi="Calisto MT"/>
          <w:lang w:val="en-GB"/>
        </w:rPr>
        <w:t xml:space="preserve"> is a lipophilic cation which when injected distributes accordingly to the blood perfusion. Using a gamma </w:t>
      </w:r>
      <w:r w:rsidR="005D04D5" w:rsidRPr="0037435A">
        <w:rPr>
          <w:rFonts w:ascii="Calisto MT" w:hAnsi="Calisto MT"/>
          <w:lang w:val="en-GB"/>
        </w:rPr>
        <w:t>camera,</w:t>
      </w:r>
      <w:r w:rsidRPr="0037435A">
        <w:rPr>
          <w:rFonts w:ascii="Calisto MT" w:hAnsi="Calisto MT"/>
          <w:lang w:val="en-GB"/>
        </w:rPr>
        <w:t xml:space="preserve"> it is possible to register the gamma rays emitted by the decay of </w:t>
      </w:r>
      <w:r w:rsidRPr="0037435A">
        <w:rPr>
          <w:rFonts w:ascii="Calisto MT" w:hAnsi="Calisto MT"/>
          <w:vertAlign w:val="superscript"/>
          <w:lang w:val="en-GB"/>
        </w:rPr>
        <w:t>99m</w:t>
      </w:r>
      <w:r w:rsidRPr="0037435A">
        <w:rPr>
          <w:rFonts w:ascii="Calisto MT" w:hAnsi="Calisto MT"/>
          <w:lang w:val="en-GB"/>
        </w:rPr>
        <w:t xml:space="preserve">Technetium </w:t>
      </w:r>
      <w:proofErr w:type="spellStart"/>
      <w:r w:rsidRPr="0037435A">
        <w:rPr>
          <w:rFonts w:ascii="Calisto MT" w:hAnsi="Calisto MT"/>
          <w:lang w:val="en-GB"/>
        </w:rPr>
        <w:t>sestamibi</w:t>
      </w:r>
      <w:proofErr w:type="spellEnd"/>
      <w:r w:rsidRPr="0037435A">
        <w:rPr>
          <w:rFonts w:ascii="Calisto MT" w:hAnsi="Calisto MT"/>
          <w:lang w:val="en-GB"/>
        </w:rPr>
        <w:t>. When injected after stress exercise a possible insufficiently perfused area will be evident.</w:t>
      </w:r>
    </w:p>
    <w:p w14:paraId="126D6F7C" w14:textId="058C0939" w:rsidR="009872A5" w:rsidRPr="0037435A" w:rsidRDefault="009872A5" w:rsidP="009872A5">
      <w:pPr>
        <w:jc w:val="both"/>
        <w:rPr>
          <w:rFonts w:ascii="Calisto MT" w:hAnsi="Calisto MT"/>
          <w:lang w:val="en-GB"/>
        </w:rPr>
      </w:pPr>
      <w:r w:rsidRPr="0037435A">
        <w:rPr>
          <w:rFonts w:ascii="Calisto MT" w:hAnsi="Calisto MT"/>
          <w:lang w:val="en-GB"/>
        </w:rPr>
        <w:lastRenderedPageBreak/>
        <w:t xml:space="preserve">A total of 100 patients will be randomly included in the </w:t>
      </w:r>
      <w:r w:rsidRPr="0037435A">
        <w:rPr>
          <w:rFonts w:ascii="Calisto MT" w:hAnsi="Calisto MT"/>
          <w:vertAlign w:val="superscript"/>
          <w:lang w:val="en-GB"/>
        </w:rPr>
        <w:t>99m</w:t>
      </w:r>
      <w:r w:rsidRPr="0037435A">
        <w:rPr>
          <w:rFonts w:ascii="Calisto MT" w:hAnsi="Calisto MT"/>
          <w:lang w:val="en-GB"/>
        </w:rPr>
        <w:t xml:space="preserve">Technetium </w:t>
      </w:r>
      <w:proofErr w:type="spellStart"/>
      <w:r w:rsidRPr="0037435A">
        <w:rPr>
          <w:rFonts w:ascii="Calisto MT" w:hAnsi="Calisto MT"/>
          <w:lang w:val="en-GB"/>
        </w:rPr>
        <w:t>sestamibi</w:t>
      </w:r>
      <w:proofErr w:type="spellEnd"/>
      <w:r w:rsidRPr="0037435A">
        <w:rPr>
          <w:rFonts w:ascii="Calisto MT" w:hAnsi="Calisto MT"/>
          <w:lang w:val="en-GB"/>
        </w:rPr>
        <w:t xml:space="preserve"> imaging examination of the hand; 50 patients will come from each of the ERAH and ORAH groups. There will be no consideration taken as to whether they are part of the aorto-radial or the </w:t>
      </w:r>
      <w:proofErr w:type="spellStart"/>
      <w:r w:rsidRPr="0037435A">
        <w:rPr>
          <w:rFonts w:ascii="Calisto MT" w:hAnsi="Calisto MT"/>
          <w:lang w:val="en-GB"/>
        </w:rPr>
        <w:t>mammario</w:t>
      </w:r>
      <w:proofErr w:type="spellEnd"/>
      <w:r w:rsidRPr="0037435A">
        <w:rPr>
          <w:rFonts w:ascii="Calisto MT" w:hAnsi="Calisto MT"/>
          <w:lang w:val="en-GB"/>
        </w:rPr>
        <w:t xml:space="preserve">-radial groups. These patients will preoperatively and 3 months postoperatively be examined for </w:t>
      </w:r>
      <w:r w:rsidR="003E745F">
        <w:rPr>
          <w:rFonts w:ascii="Calisto MT" w:hAnsi="Calisto MT"/>
          <w:lang w:val="en-GB"/>
        </w:rPr>
        <w:t>MIBI estimated perfusion</w:t>
      </w:r>
      <w:r w:rsidR="003E745F" w:rsidRPr="0037435A" w:rsidDel="003E745F">
        <w:rPr>
          <w:rFonts w:ascii="Calisto MT" w:hAnsi="Calisto MT"/>
          <w:lang w:val="en-GB"/>
        </w:rPr>
        <w:t xml:space="preserve"> </w:t>
      </w:r>
      <w:r w:rsidRPr="0037435A">
        <w:rPr>
          <w:rFonts w:ascii="Calisto MT" w:hAnsi="Calisto MT"/>
          <w:lang w:val="en-GB"/>
        </w:rPr>
        <w:t>in the donor hand comparing 3-month values to baseline values. Values will also be compared to the non-donor hand. The MIBI scan will show if there is any difference in perfusion after removal of the radial artery. There have been no previous studies examining the hand with MIBI scans, so the examinations aim to validate the technique in this setting. We propose that the</w:t>
      </w:r>
      <w:r w:rsidR="003E745F">
        <w:rPr>
          <w:rFonts w:ascii="Calisto MT" w:hAnsi="Calisto MT"/>
          <w:lang w:val="en-GB"/>
        </w:rPr>
        <w:t xml:space="preserve"> activity accumulation (counts/cm</w:t>
      </w:r>
      <w:r w:rsidR="003E745F" w:rsidRPr="00A10F55">
        <w:rPr>
          <w:rFonts w:ascii="Calisto MT" w:hAnsi="Calisto MT"/>
          <w:vertAlign w:val="superscript"/>
          <w:lang w:val="en-GB"/>
        </w:rPr>
        <w:t>2</w:t>
      </w:r>
      <w:r w:rsidR="003E745F">
        <w:rPr>
          <w:rFonts w:ascii="Calisto MT" w:hAnsi="Calisto MT"/>
          <w:lang w:val="en-GB"/>
        </w:rPr>
        <w:t>)</w:t>
      </w:r>
      <w:r w:rsidRPr="0037435A">
        <w:rPr>
          <w:rFonts w:ascii="Calisto MT" w:hAnsi="Calisto MT"/>
          <w:lang w:val="en-GB"/>
        </w:rPr>
        <w:t xml:space="preserve"> ratio between measurements on thenar (base of the thumb) and on hypothenar (base of the little finger) can be a reliable indicator of hypoperfusion in the hand after removal of the radial artery.</w:t>
      </w:r>
    </w:p>
    <w:p w14:paraId="0B5AA724" w14:textId="77777777" w:rsidR="009872A5" w:rsidRPr="0037435A" w:rsidRDefault="009872A5" w:rsidP="009872A5">
      <w:pPr>
        <w:pStyle w:val="NormalWeb"/>
        <w:jc w:val="both"/>
        <w:rPr>
          <w:rFonts w:ascii="Calisto MT" w:hAnsi="Calisto MT"/>
          <w:lang w:val="en-GB"/>
        </w:rPr>
      </w:pPr>
      <w:r w:rsidRPr="0037435A">
        <w:rPr>
          <w:rFonts w:ascii="Calisto MT" w:hAnsi="Calisto MT"/>
          <w:lang w:val="en-GB"/>
        </w:rPr>
        <w:t>Staff employed at The Department of Clinical Physiology, Nuclear Medicine, &amp; PET, will perform the MIBI scans.</w:t>
      </w:r>
    </w:p>
    <w:p w14:paraId="2FCAC14F" w14:textId="43999D63" w:rsidR="009872A5" w:rsidRPr="0037435A" w:rsidRDefault="009872A5" w:rsidP="009872A5">
      <w:pPr>
        <w:pStyle w:val="NormalWeb"/>
        <w:jc w:val="both"/>
        <w:rPr>
          <w:rFonts w:ascii="Calisto MT" w:hAnsi="Calisto MT"/>
          <w:lang w:val="en-GB"/>
        </w:rPr>
      </w:pPr>
      <w:r w:rsidRPr="0037435A">
        <w:rPr>
          <w:rFonts w:ascii="Calisto MT" w:hAnsi="Calisto MT"/>
          <w:lang w:val="en-GB"/>
        </w:rPr>
        <w:t xml:space="preserve">Outcome measure will be the quantitative difference in </w:t>
      </w:r>
      <w:r w:rsidR="003E745F">
        <w:rPr>
          <w:rFonts w:ascii="Calisto MT" w:hAnsi="Calisto MT"/>
          <w:lang w:val="en-GB"/>
        </w:rPr>
        <w:t>MIBI-scan estimated perfusion in the donor and non-donor hand</w:t>
      </w:r>
      <w:r w:rsidRPr="0037435A">
        <w:rPr>
          <w:rFonts w:ascii="Calisto MT" w:hAnsi="Calisto MT"/>
          <w:lang w:val="en-GB"/>
        </w:rPr>
        <w:t>. Time point will be 3 months after surgery. The measuring unit is counts/cm</w:t>
      </w:r>
      <w:r w:rsidRPr="0037435A">
        <w:rPr>
          <w:rFonts w:ascii="Calisto MT" w:hAnsi="Calisto MT"/>
          <w:vertAlign w:val="superscript"/>
          <w:lang w:val="en-GB"/>
        </w:rPr>
        <w:t>2</w:t>
      </w:r>
      <w:r w:rsidRPr="0037435A">
        <w:rPr>
          <w:rFonts w:ascii="Calisto MT" w:hAnsi="Calisto MT"/>
          <w:lang w:val="en-GB"/>
        </w:rPr>
        <w:t xml:space="preserve"> that may be converted to estimate of </w:t>
      </w:r>
      <w:proofErr w:type="spellStart"/>
      <w:r w:rsidRPr="0037435A">
        <w:rPr>
          <w:rFonts w:ascii="Calisto MT" w:hAnsi="Calisto MT"/>
          <w:lang w:val="en-GB"/>
        </w:rPr>
        <w:t>Bq</w:t>
      </w:r>
      <w:proofErr w:type="spellEnd"/>
      <w:r w:rsidRPr="0037435A">
        <w:rPr>
          <w:rFonts w:ascii="Calisto MT" w:hAnsi="Calisto MT"/>
          <w:lang w:val="en-GB"/>
        </w:rPr>
        <w:t>/cm</w:t>
      </w:r>
      <w:r w:rsidRPr="0037435A">
        <w:rPr>
          <w:rFonts w:ascii="Calisto MT" w:hAnsi="Calisto MT"/>
          <w:vertAlign w:val="superscript"/>
          <w:lang w:val="en-GB"/>
        </w:rPr>
        <w:t>2</w:t>
      </w:r>
      <w:r w:rsidRPr="0037435A">
        <w:rPr>
          <w:rFonts w:ascii="Calisto MT" w:hAnsi="Calisto MT"/>
          <w:lang w:val="en-GB"/>
        </w:rPr>
        <w:t>.</w:t>
      </w:r>
    </w:p>
    <w:p w14:paraId="1066B424" w14:textId="77777777" w:rsidR="009872A5" w:rsidRPr="0037435A" w:rsidRDefault="009872A5" w:rsidP="009872A5">
      <w:pPr>
        <w:pStyle w:val="NormalWeb"/>
        <w:jc w:val="both"/>
        <w:rPr>
          <w:rFonts w:ascii="Calisto MT" w:hAnsi="Calisto MT"/>
          <w:lang w:val="en-GB"/>
        </w:rPr>
      </w:pPr>
      <w:r w:rsidRPr="0037435A">
        <w:rPr>
          <w:rFonts w:ascii="Calisto MT" w:hAnsi="Calisto MT"/>
          <w:lang w:val="en-GB"/>
        </w:rPr>
        <w:t>Since no previous similar test has been found in the literature search it is not possible to do pretrial power calculations.</w:t>
      </w:r>
    </w:p>
    <w:p w14:paraId="719C9CB6" w14:textId="67F11676" w:rsidR="007F3965" w:rsidRDefault="009872A5" w:rsidP="00062844">
      <w:pPr>
        <w:jc w:val="both"/>
        <w:rPr>
          <w:rFonts w:ascii="Calisto MT" w:hAnsi="Calisto MT"/>
          <w:lang w:val="en-GB"/>
        </w:rPr>
      </w:pPr>
      <w:r w:rsidRPr="0037435A">
        <w:rPr>
          <w:rFonts w:ascii="Calisto MT" w:hAnsi="Calisto MT"/>
          <w:lang w:val="en-GB"/>
        </w:rPr>
        <w:t>This outcome will be blinded. The Department of Clinical Physiology, Nuclear Medicine, &amp; PET will perform the exams and interpretations without knowledge of whether the radial artery has been harvested by endoscopic or open techniques. The data source will be a datasheet from the Department of Clinical Physiology.</w:t>
      </w:r>
    </w:p>
    <w:p w14:paraId="723DE6C6" w14:textId="235E2BEC" w:rsidR="0034742D" w:rsidRPr="00FF1C6E" w:rsidRDefault="005D04D5" w:rsidP="007447BE">
      <w:pPr>
        <w:pStyle w:val="Overskrift2"/>
      </w:pPr>
      <w:r>
        <w:t>NEO Trial 2</w:t>
      </w:r>
    </w:p>
    <w:p w14:paraId="79C5F7CF" w14:textId="71EB9524" w:rsidR="00E27641" w:rsidRPr="0037435A" w:rsidRDefault="005D04D5" w:rsidP="007447BE">
      <w:pPr>
        <w:pStyle w:val="Overskrift3"/>
      </w:pPr>
      <w:r>
        <w:t>P</w:t>
      </w:r>
      <w:r w:rsidR="00E27641" w:rsidRPr="0037435A">
        <w:t>rimary outcome</w:t>
      </w:r>
    </w:p>
    <w:p w14:paraId="3AC0B157" w14:textId="17F4173F" w:rsidR="00E27641" w:rsidRPr="0037435A" w:rsidRDefault="00062AAD" w:rsidP="00FE76BA">
      <w:pPr>
        <w:pStyle w:val="Overskrift4"/>
        <w:rPr>
          <w:rFonts w:ascii="Calisto MT" w:hAnsi="Calisto MT"/>
        </w:rPr>
      </w:pPr>
      <w:r w:rsidRPr="00062AAD">
        <w:rPr>
          <w:rFonts w:ascii="Calisto MT" w:hAnsi="Calisto MT"/>
        </w:rPr>
        <w:t>Cardiovascular events</w:t>
      </w:r>
    </w:p>
    <w:p w14:paraId="0D603B3D" w14:textId="67E3AD4D" w:rsidR="00E27641" w:rsidRPr="0037435A" w:rsidRDefault="00E27641" w:rsidP="007447BE">
      <w:pPr>
        <w:jc w:val="both"/>
        <w:rPr>
          <w:rFonts w:ascii="Calisto MT" w:hAnsi="Calisto MT" w:cs="Times New Roman"/>
          <w:lang w:val="en-GB"/>
        </w:rPr>
      </w:pPr>
      <w:r w:rsidRPr="0037435A">
        <w:rPr>
          <w:rFonts w:ascii="Calisto MT" w:hAnsi="Calisto MT" w:cs="Times New Roman"/>
          <w:lang w:val="en-GB"/>
        </w:rPr>
        <w:t>Occurrence of one of the following cardio- or cerebrovascular events: all-cause mortality, myocardial infarction, target vessel revascularisation, or stroke at one year postoperatively.</w:t>
      </w:r>
      <w:r w:rsidR="005D04D5">
        <w:rPr>
          <w:rFonts w:ascii="Calisto MT" w:hAnsi="Calisto MT" w:cs="Times New Roman"/>
          <w:lang w:val="en-GB"/>
        </w:rPr>
        <w:t xml:space="preserve"> </w:t>
      </w:r>
    </w:p>
    <w:p w14:paraId="3FCD4477" w14:textId="1D544A7F" w:rsidR="00E27641" w:rsidRDefault="00E27641" w:rsidP="007447BE">
      <w:pPr>
        <w:jc w:val="both"/>
        <w:rPr>
          <w:rFonts w:ascii="Calisto MT" w:hAnsi="Calisto MT" w:cs="Times New Roman"/>
          <w:lang w:val="en-GB"/>
        </w:rPr>
      </w:pPr>
      <w:r w:rsidRPr="0037435A">
        <w:rPr>
          <w:rFonts w:ascii="Calisto MT" w:hAnsi="Calisto MT" w:cs="Times New Roman"/>
          <w:lang w:val="en-GB"/>
        </w:rPr>
        <w:t>The outcome will be blinded. The data will be collected directly from the Danish Patient Register using the participant’s social security number</w:t>
      </w:r>
      <w:r w:rsidR="005D04D5">
        <w:rPr>
          <w:rFonts w:ascii="Calisto MT" w:hAnsi="Calisto MT" w:cs="Times New Roman"/>
          <w:lang w:val="en-GB"/>
        </w:rPr>
        <w:t xml:space="preserve"> for those patients lost to clinical </w:t>
      </w:r>
      <w:r w:rsidR="007447BE">
        <w:rPr>
          <w:rFonts w:ascii="Calisto MT" w:hAnsi="Calisto MT" w:cs="Times New Roman"/>
          <w:lang w:val="en-GB"/>
        </w:rPr>
        <w:t>follow-up</w:t>
      </w:r>
      <w:r w:rsidR="005D04D5">
        <w:rPr>
          <w:rFonts w:ascii="Calisto MT" w:hAnsi="Calisto MT" w:cs="Times New Roman"/>
          <w:lang w:val="en-GB"/>
        </w:rPr>
        <w:t>. Patients completing their</w:t>
      </w:r>
      <w:r w:rsidR="00304A60">
        <w:rPr>
          <w:rFonts w:ascii="Calisto MT" w:hAnsi="Calisto MT" w:cs="Times New Roman"/>
          <w:lang w:val="en-GB"/>
        </w:rPr>
        <w:t xml:space="preserve"> clinical visits will have </w:t>
      </w:r>
      <w:r w:rsidR="00845855">
        <w:rPr>
          <w:rFonts w:ascii="Calisto MT" w:hAnsi="Calisto MT" w:cs="Times New Roman"/>
          <w:lang w:val="en-GB"/>
        </w:rPr>
        <w:t>these occurrences registered on the CRF</w:t>
      </w:r>
      <w:r w:rsidRPr="0037435A">
        <w:rPr>
          <w:rFonts w:ascii="Calisto MT" w:hAnsi="Calisto MT" w:cs="Times New Roman"/>
          <w:lang w:val="en-GB"/>
        </w:rPr>
        <w:t>. We are well aware of the exploratory nature of this outcome (please see below).</w:t>
      </w:r>
    </w:p>
    <w:p w14:paraId="63045E08" w14:textId="77777777" w:rsidR="009D4ECB" w:rsidRPr="002C48DB" w:rsidRDefault="009D4ECB" w:rsidP="007447BE">
      <w:pPr>
        <w:pStyle w:val="Overskrift6"/>
      </w:pPr>
      <w:r w:rsidRPr="0037435A">
        <w:t xml:space="preserve">Power estimations for </w:t>
      </w:r>
      <w:r>
        <w:t>primary</w:t>
      </w:r>
      <w:r w:rsidRPr="0037435A">
        <w:t xml:space="preserve"> outcomes</w:t>
      </w:r>
    </w:p>
    <w:p w14:paraId="39983B83" w14:textId="4986DB06" w:rsidR="009D4ECB" w:rsidRPr="0037435A" w:rsidRDefault="009D4ECB" w:rsidP="009D4ECB">
      <w:pPr>
        <w:jc w:val="both"/>
        <w:rPr>
          <w:rFonts w:ascii="Calisto MT" w:hAnsi="Calisto MT" w:cs="Times New Roman"/>
          <w:lang w:val="en-GB"/>
        </w:rPr>
      </w:pPr>
      <w:r w:rsidRPr="0037435A">
        <w:rPr>
          <w:rFonts w:ascii="Calisto MT" w:hAnsi="Calisto MT" w:cs="Times New Roman"/>
          <w:lang w:val="en-GB"/>
        </w:rPr>
        <w:t xml:space="preserve">In the other part of the </w:t>
      </w:r>
      <w:r w:rsidR="003238FD" w:rsidRPr="0037435A">
        <w:rPr>
          <w:rFonts w:ascii="Calisto MT" w:hAnsi="Calisto MT" w:cs="Times New Roman"/>
          <w:lang w:val="en-GB"/>
        </w:rPr>
        <w:t>trial,</w:t>
      </w:r>
      <w:r w:rsidRPr="0037435A">
        <w:rPr>
          <w:rFonts w:ascii="Calisto MT" w:hAnsi="Calisto MT" w:cs="Times New Roman"/>
          <w:lang w:val="en-GB"/>
        </w:rPr>
        <w:t xml:space="preserve"> we are comparing </w:t>
      </w:r>
      <w:proofErr w:type="spellStart"/>
      <w:r w:rsidRPr="0037435A">
        <w:rPr>
          <w:rFonts w:ascii="Calisto MT" w:hAnsi="Calisto MT" w:cs="Times New Roman"/>
          <w:lang w:val="en-GB"/>
        </w:rPr>
        <w:t>mammario</w:t>
      </w:r>
      <w:proofErr w:type="spellEnd"/>
      <w:r w:rsidRPr="0037435A">
        <w:rPr>
          <w:rFonts w:ascii="Calisto MT" w:hAnsi="Calisto MT" w:cs="Times New Roman"/>
          <w:lang w:val="en-GB"/>
        </w:rPr>
        <w:t>-radial (experimental) with aorto-radial (control) grafting. One case-control study found an event-free survival at 12 months of 97% using arterial revascularisation compared to 67% using venous revascularisation</w:t>
      </w:r>
      <w:r w:rsidR="00C46F1A">
        <w:rPr>
          <w:rFonts w:ascii="Calisto MT" w:hAnsi="Calisto MT" w:cs="Times New Roman"/>
          <w:lang w:val="en-GB"/>
        </w:rPr>
        <w:fldChar w:fldCharType="begin"/>
      </w:r>
      <w:r w:rsidR="00BD125E">
        <w:rPr>
          <w:rFonts w:ascii="Calisto MT" w:hAnsi="Calisto MT" w:cs="Times New Roman"/>
          <w:lang w:val="en-GB"/>
        </w:rPr>
        <w:instrText xml:space="preserve"> ADDIN ZOTERO_ITEM CSL_CITATION {"citationID":"a1v320l1q26","properties":{"formattedCitation":"\\super 8\\nosupersub{}","plainCitation":"8","noteIndex":0},"citationItems":[{"id":71,"uris":["http://zotero.org/users/766374/items/9S8CI97X"],"itemData":{"id":71,"type":"article-journal","abstract":"OBJECTIVES\n\nThe technique of choice for myocardial revascularization in elderly patients remains a debated issue. We evaluated the potential advantages of the use of left internal thoracic artery-radial artery composite grafts compared with conventional coronary artery bypass grafts in elderly patients.\n\n\nMETHODS\n\nWe prospectively enrolled 160 patients aged more than 70 years scheduled to undergo isolated myocardial revascularization. Patients were assigned at random to group 1, 80 patients undergoing total arterial revascularization (left internal thoracic artery on left anterior descending coronary artery plus radial artery), or group 2, 80 patients undergoing standard coronary artery bypass graft surgery (left internal thoracic artery on left anterior descending coronary artery plus saphenous veins). The radial artery was used in all cases as a composite Y-graft.\n\n\nRESULTS\n\nPreoperative characteristics and risk factors (EuroSCORE: group 1 = 7.9 vs group 2 = 8.1), number of grafted coronary vessels (group 1 = 2.4 vs group 2 = 2.5), aortic crossclamping time (group 1 = 37 +/- 7 minutes vs group 2 = 38 +/- 7 minutes), ventilation time (group 1 = 22 +/- 12 hours vs group 2 = 23 +/- 11 hours), intensive care unit stay (group 1 = 39 +/- 10 hours vs group 2 = 40 +/- 9 hours), and hospital mortality (group 1 = 3.8% vs group 2 = 5%) were comparable between the groups. Comparison between the 2 groups in terms of early postoperative complications showed a higher incidence of cerebrovascular accidents in group 2 (group 1 = 0 patients vs group 2 = 4 patients, 5%). At a mean follow-up of 16 +/- 3 months, patients in group 1 showed superior clinical results with a lower incidence of graft occlusion (group 1 = 2 vs group 2 = 11; P =.06) and angina recurrence (group 1 = 2 patients vs group 2 = 12 patients; P =.03). Multivariate analysis identified saphenous vein grafts as independent predictors for graft occlusion and angina recurrence.\n\n\nCONCLUSIONS\n\nLeft internal thoracic artery-radial artery composite grafts proved to be a safe procedure in elderly patients. It improved the clinical outcome, providing a significantly higher graft patency rate and a lower incidence of late cardiac events.","archive":"Y-graft","container-title":"The Journal of Thoracic and Cardiovascular Surgery","DOI":"10.1016/j.jtcvs.2003.08.004","ISSN":"0022-5223","issue":"1","journalAbbreviation":"J. Thorac. Cardiovasc. Surg.","note":"PMID: 14752429","page":"179-184","source":"NCBI PubMed","title":"Left internal thoracic artery-radial artery composite grafts as the technique of choice for myocardial revascularization in elderly patients: a prospective randomized evaluation","title-short":"Left internal thoracic artery-radial artery composite grafts as the technique of choice for myocardial revascularization in elderly patients","volume":"127","author":[{"family":"Muneretto","given":"Claudio"},{"family":"Bisleri","given":"Gianluigi"},{"family":"Negri","given":"Alberto"},{"family":"Manfredi","given":"Jacopo"},{"family":"Carone","given":"Enrico"},{"family":"Morgan","given":"Jeffrey A"},{"family":"Metra","given":"Marco"},{"family":"Dei Cas","given":"Livio"}],"issued":{"date-parts":[["2004",1]]}}}],"schema":"https://github.com/citation-style-language/schema/raw/master/csl-citation.json"} </w:instrText>
      </w:r>
      <w:r w:rsidR="00C46F1A">
        <w:rPr>
          <w:rFonts w:ascii="Calisto MT" w:hAnsi="Calisto MT" w:cs="Times New Roman"/>
          <w:lang w:val="en-GB"/>
        </w:rPr>
        <w:fldChar w:fldCharType="separate"/>
      </w:r>
      <w:r w:rsidR="00BD125E" w:rsidRPr="00BD125E">
        <w:rPr>
          <w:rFonts w:ascii="Calisto MT" w:hAnsi="Calisto MT" w:cs="Times New Roman"/>
          <w:vertAlign w:val="superscript"/>
        </w:rPr>
        <w:t>8</w:t>
      </w:r>
      <w:r w:rsidR="00C46F1A">
        <w:rPr>
          <w:rFonts w:ascii="Calisto MT" w:hAnsi="Calisto MT" w:cs="Times New Roman"/>
          <w:lang w:val="en-GB"/>
        </w:rPr>
        <w:fldChar w:fldCharType="end"/>
      </w:r>
      <w:r w:rsidRPr="0037435A">
        <w:rPr>
          <w:rFonts w:ascii="Calisto MT" w:hAnsi="Calisto MT" w:cs="Times New Roman"/>
          <w:lang w:val="en-GB"/>
        </w:rPr>
        <w:t xml:space="preserve">. Another case-control study showed a survival free of cardiac event or death at 2.5 years of 11% </w:t>
      </w:r>
      <w:r w:rsidRPr="0037435A">
        <w:rPr>
          <w:rFonts w:ascii="Calisto MT" w:hAnsi="Calisto MT" w:cs="Times New Roman"/>
          <w:lang w:val="en-GB"/>
        </w:rPr>
        <w:lastRenderedPageBreak/>
        <w:t>for free grafts versus 17% for Y-grafts, but the risk of re-angina was 6.6% in the free graft group versus 4.6% in the Y-graft group</w:t>
      </w:r>
      <w:r w:rsidR="00BD125E">
        <w:rPr>
          <w:rFonts w:ascii="Calisto MT" w:hAnsi="Calisto MT" w:cs="Times New Roman"/>
          <w:lang w:val="en-GB"/>
        </w:rPr>
        <w:fldChar w:fldCharType="begin"/>
      </w:r>
      <w:r w:rsidR="00BD125E">
        <w:rPr>
          <w:rFonts w:ascii="Calisto MT" w:hAnsi="Calisto MT" w:cs="Times New Roman"/>
          <w:lang w:val="en-GB"/>
        </w:rPr>
        <w:instrText xml:space="preserve"> ADDIN ZOTERO_ITEM CSL_CITATION {"citationID":"a2mrafp4fb2","properties":{"formattedCitation":"\\super 9\\nosupersub{}","plainCitation":"9","noteIndex":0},"citationItems":[{"id":43,"uris":["http://zotero.org/users/766374/items/32N6NSNF"],"itemData":{"id":43,"type":"article-journal","abstract":"OBJECTIVE\n\nWe sought to evaluate whether the radial artery (RA) provides the same clinical and angiographic results when proximally anastomosed to the aorta or to the left internal thoracic artery (ITA) as a composite Y-graft.\n\n\nMETHODS\n\nFrom February 1999 to December 2002, 512 patients underwent myocardial revascularization using the RA, the left ITA and, when required, the saphenous vein. According to the surgeons' preference the RA was proximally anastomosed to the aorta [336 patients (65.6%), Ao-Cor group] or to the left ITA as a composite Y-graft [176 patients (34.4%), Y-graft group]. There was a significant prevalence of three-vessel disease (86.8 versus 73.2%, (P = 0.000) and elderly age (60+/-9 versus 58+/-8 years, (P = 0.014) in the Y-graft group.\n\n\nRESULTS\n\nPatients in Y-graft group had longer aortic cross clamp time (P = 0.001), more bypass grafts per patient (P &lt; or = 0.001) more arterial bypass grafts per patient (P &lt; or = 0.001) and more bypass grafts per patient with the RA (P &lt; or = 0.001). There were no differences in terms of perioperative outcome. Mean follow-up time was 27.1+/-11.7 months in 322/333 (96.7%) patients of the Ao-Cor group and 14.9+/-10.2 in 165/172 (95.9%) patients of the Y-graft group. There was no difference in terms of overall survival (P = 0.75) cardiac event-free survival (P = 0.65) RA patency rate at postoperative angiography (P = 0.59) and during follow-up (P = 0.93). A preoperative coronary artery stenosis &lt; or = 70% was related with competitive flow (P = 0.000) at postoperative angiography and with RA occlusion (P = 0.001) at follow-up angiography.\n\n\nCONCLUSIONS\n\nThe RA provides the same clinical and angiographic results both as aorto-coronary and composite Y-graft with the left ITA. When the RA is used as Y-graft the procedure is more technically demanding and a greater number of distal coronary anastomoses is possible. RA grafts to targets with stenosis &lt; or = 70% appear to be at risk of failure.","archive":"Y-graft","container-title":"European Journal of Cardio-Thoracic Surgery: Official Journal of the European Association for Cardio-Thoracic Surgery","DOI":"10.1016/j.ejcts.2004.03.020","ISSN":"1010-7940","issue":"1","journalAbbreviation":"Eur J Cardiothorac Surg","note":"PMID: 15200988","page":"110-117","source":"NCBI PubMed","title":"Is it better to use the radial artery as a composite graft? Clinical and angiographic results of aorto-coronary versus Y-graft","title-short":"Is it better to use the radial artery as a composite graft?","volume":"26","author":[{"family":"Lemma","given":"Massimo"},{"family":"Mangini","given":"Andrea"},{"family":"Gelpi","given":"Guido"},{"family":"Innorta","given":"Andrea"},{"family":"Spina","given":"Amedeo"},{"family":"Antona","given":"Carlo"}],"issued":{"date-parts":[["2004",7]]}}}],"schema":"https://github.com/citation-style-language/schema/raw/master/csl-citation.json"} </w:instrText>
      </w:r>
      <w:r w:rsidR="00BD125E">
        <w:rPr>
          <w:rFonts w:ascii="Calisto MT" w:hAnsi="Calisto MT" w:cs="Times New Roman"/>
          <w:lang w:val="en-GB"/>
        </w:rPr>
        <w:fldChar w:fldCharType="separate"/>
      </w:r>
      <w:r w:rsidR="00BD125E" w:rsidRPr="00BD125E">
        <w:rPr>
          <w:rFonts w:ascii="Calisto MT" w:hAnsi="Calisto MT" w:cs="Times New Roman"/>
          <w:vertAlign w:val="superscript"/>
        </w:rPr>
        <w:t>9</w:t>
      </w:r>
      <w:r w:rsidR="00BD125E">
        <w:rPr>
          <w:rFonts w:ascii="Calisto MT" w:hAnsi="Calisto MT" w:cs="Times New Roman"/>
          <w:lang w:val="en-GB"/>
        </w:rPr>
        <w:fldChar w:fldCharType="end"/>
      </w:r>
      <w:r w:rsidRPr="0037435A">
        <w:rPr>
          <w:rFonts w:ascii="Calisto MT" w:hAnsi="Calisto MT" w:cs="Times New Roman"/>
          <w:lang w:val="en-GB"/>
        </w:rPr>
        <w:t>. No studies showed exactly what difference in occurrence of cerebrovascular composite outcomes could be expected between free grafts and Y-grafts, but a randomised clinical trial comparing arterial Y-graft with free saphenous vein grafts found significantly lower cardiac event-free survival at less than 2 years with a difference of about 20% events in free grafts versus 5% in Y-grafts</w:t>
      </w:r>
      <w:r w:rsidR="00BD125E">
        <w:rPr>
          <w:rFonts w:ascii="Calisto MT" w:hAnsi="Calisto MT" w:cs="Times New Roman"/>
          <w:lang w:val="en-GB"/>
        </w:rPr>
        <w:fldChar w:fldCharType="begin"/>
      </w:r>
      <w:r w:rsidR="00BD125E">
        <w:rPr>
          <w:rFonts w:ascii="Calisto MT" w:hAnsi="Calisto MT" w:cs="Times New Roman"/>
          <w:lang w:val="en-GB"/>
        </w:rPr>
        <w:instrText xml:space="preserve"> ADDIN ZOTERO_ITEM CSL_CITATION {"citationID":"a2homkt2pc6","properties":{"formattedCitation":"\\super 8\\nosupersub{}","plainCitation":"8","noteIndex":0},"citationItems":[{"id":71,"uris":["http://zotero.org/users/766374/items/9S8CI97X"],"itemData":{"id":71,"type":"article-journal","abstract":"OBJECTIVES\n\nThe technique of choice for myocardial revascularization in elderly patients remains a debated issue. We evaluated the potential advantages of the use of left internal thoracic artery-radial artery composite grafts compared with conventional coronary artery bypass grafts in elderly patients.\n\n\nMETHODS\n\nWe prospectively enrolled 160 patients aged more than 70 years scheduled to undergo isolated myocardial revascularization. Patients were assigned at random to group 1, 80 patients undergoing total arterial revascularization (left internal thoracic artery on left anterior descending coronary artery plus radial artery), or group 2, 80 patients undergoing standard coronary artery bypass graft surgery (left internal thoracic artery on left anterior descending coronary artery plus saphenous veins). The radial artery was used in all cases as a composite Y-graft.\n\n\nRESULTS\n\nPreoperative characteristics and risk factors (EuroSCORE: group 1 = 7.9 vs group 2 = 8.1), number of grafted coronary vessels (group 1 = 2.4 vs group 2 = 2.5), aortic crossclamping time (group 1 = 37 +/- 7 minutes vs group 2 = 38 +/- 7 minutes), ventilation time (group 1 = 22 +/- 12 hours vs group 2 = 23 +/- 11 hours), intensive care unit stay (group 1 = 39 +/- 10 hours vs group 2 = 40 +/- 9 hours), and hospital mortality (group 1 = 3.8% vs group 2 = 5%) were comparable between the groups. Comparison between the 2 groups in terms of early postoperative complications showed a higher incidence of cerebrovascular accidents in group 2 (group 1 = 0 patients vs group 2 = 4 patients, 5%). At a mean follow-up of 16 +/- 3 months, patients in group 1 showed superior clinical results with a lower incidence of graft occlusion (group 1 = 2 vs group 2 = 11; P =.06) and angina recurrence (group 1 = 2 patients vs group 2 = 12 patients; P =.03). Multivariate analysis identified saphenous vein grafts as independent predictors for graft occlusion and angina recurrence.\n\n\nCONCLUSIONS\n\nLeft internal thoracic artery-radial artery composite grafts proved to be a safe procedure in elderly patients. It improved the clinical outcome, providing a significantly higher graft patency rate and a lower incidence of late cardiac events.","archive":"Y-graft","container-title":"The Journal of Thoracic and Cardiovascular Surgery","DOI":"10.1016/j.jtcvs.2003.08.004","ISSN":"0022-5223","issue":"1","journalAbbreviation":"J. Thorac. Cardiovasc. Surg.","note":"PMID: 14752429","page":"179-184","source":"NCBI PubMed","title":"Left internal thoracic artery-radial artery composite grafts as the technique of choice for myocardial revascularization in elderly patients: a prospective randomized evaluation","title-short":"Left internal thoracic artery-radial artery composite grafts as the technique of choice for myocardial revascularization in elderly patients","volume":"127","author":[{"family":"Muneretto","given":"Claudio"},{"family":"Bisleri","given":"Gianluigi"},{"family":"Negri","given":"Alberto"},{"family":"Manfredi","given":"Jacopo"},{"family":"Carone","given":"Enrico"},{"family":"Morgan","given":"Jeffrey A"},{"family":"Metra","given":"Marco"},{"family":"Dei Cas","given":"Livio"}],"issued":{"date-parts":[["2004",1]]}}}],"schema":"https://github.com/citation-style-language/schema/raw/master/csl-citation.json"} </w:instrText>
      </w:r>
      <w:r w:rsidR="00BD125E">
        <w:rPr>
          <w:rFonts w:ascii="Calisto MT" w:hAnsi="Calisto MT" w:cs="Times New Roman"/>
          <w:lang w:val="en-GB"/>
        </w:rPr>
        <w:fldChar w:fldCharType="separate"/>
      </w:r>
      <w:r w:rsidR="00BD125E" w:rsidRPr="00BD125E">
        <w:rPr>
          <w:rFonts w:ascii="Calisto MT" w:hAnsi="Calisto MT" w:cs="Times New Roman"/>
          <w:vertAlign w:val="superscript"/>
        </w:rPr>
        <w:t>8</w:t>
      </w:r>
      <w:r w:rsidR="00BD125E">
        <w:rPr>
          <w:rFonts w:ascii="Calisto MT" w:hAnsi="Calisto MT" w:cs="Times New Roman"/>
          <w:lang w:val="en-GB"/>
        </w:rPr>
        <w:fldChar w:fldCharType="end"/>
      </w:r>
      <w:r w:rsidRPr="0037435A">
        <w:rPr>
          <w:rFonts w:ascii="Calisto MT" w:hAnsi="Calisto MT" w:cs="Times New Roman"/>
          <w:lang w:val="en-GB"/>
        </w:rPr>
        <w:t xml:space="preserve">. Considering these studies, we expect maximally a difference in occurrence of cardio or cerebrovascular outcomes at one year postoperatively of 5% (15% in </w:t>
      </w:r>
      <w:proofErr w:type="spellStart"/>
      <w:r w:rsidRPr="0037435A">
        <w:rPr>
          <w:rFonts w:ascii="Calisto MT" w:hAnsi="Calisto MT" w:cs="Times New Roman"/>
          <w:lang w:val="en-GB"/>
        </w:rPr>
        <w:t>mammario</w:t>
      </w:r>
      <w:proofErr w:type="spellEnd"/>
      <w:r w:rsidRPr="0037435A">
        <w:rPr>
          <w:rFonts w:ascii="Calisto MT" w:hAnsi="Calisto MT" w:cs="Times New Roman"/>
          <w:lang w:val="en-GB"/>
        </w:rPr>
        <w:t>-radial group vs. 10% in aorto-radial group).</w:t>
      </w:r>
    </w:p>
    <w:p w14:paraId="584B4E89" w14:textId="25AC2586" w:rsidR="003238FD" w:rsidRDefault="009D4ECB" w:rsidP="003238FD">
      <w:pPr>
        <w:jc w:val="both"/>
        <w:rPr>
          <w:rFonts w:ascii="Calisto MT" w:hAnsi="Calisto MT" w:cs="Times New Roman"/>
          <w:lang w:val="en-GB"/>
        </w:rPr>
      </w:pPr>
      <w:r w:rsidRPr="0037435A">
        <w:rPr>
          <w:rFonts w:ascii="Calisto MT" w:hAnsi="Calisto MT" w:cs="Times New Roman"/>
          <w:lang w:val="en-GB"/>
        </w:rPr>
        <w:t xml:space="preserve">We are planning a trial with approximately 150 experimental participants and 150 control participants. We will then only have a power of 25.7% to detect the difference of 15% composite outcomes in </w:t>
      </w:r>
      <w:proofErr w:type="spellStart"/>
      <w:r w:rsidRPr="0037435A">
        <w:rPr>
          <w:rFonts w:ascii="Calisto MT" w:hAnsi="Calisto MT" w:cs="Times New Roman"/>
          <w:lang w:val="en-GB"/>
        </w:rPr>
        <w:t>mammario</w:t>
      </w:r>
      <w:proofErr w:type="spellEnd"/>
      <w:r w:rsidRPr="0037435A">
        <w:rPr>
          <w:rFonts w:ascii="Calisto MT" w:hAnsi="Calisto MT" w:cs="Times New Roman"/>
          <w:lang w:val="en-GB"/>
        </w:rPr>
        <w:t xml:space="preserve">-radial group versus 10% in aorto-radial group using a type I error probability of 5%. We will use an uncorrected </w:t>
      </w:r>
      <w:r w:rsidRPr="0037435A">
        <w:rPr>
          <w:rFonts w:ascii="Times New Roman" w:hAnsi="Times New Roman" w:cs="Times New Roman"/>
          <w:lang w:val="en-GB"/>
        </w:rPr>
        <w:t>χ</w:t>
      </w:r>
      <w:r w:rsidRPr="0037435A">
        <w:rPr>
          <w:rFonts w:ascii="Calisto MT" w:hAnsi="Calisto MT" w:cs="Times New Roman"/>
          <w:vertAlign w:val="superscript"/>
          <w:lang w:val="en-GB"/>
        </w:rPr>
        <w:t>2</w:t>
      </w:r>
      <w:r w:rsidRPr="0037435A">
        <w:rPr>
          <w:rFonts w:ascii="Calisto MT" w:hAnsi="Calisto MT" w:cs="Times New Roman"/>
          <w:lang w:val="en-GB"/>
        </w:rPr>
        <w:t xml:space="preserve"> statistic to evaluate this null hypothesis. Therefore, the NEO trial 2 will only be an exploratory trial to plan the size of a future randomised trial concerning the occurrence of cardiac and cerebrovascular events using </w:t>
      </w:r>
      <w:proofErr w:type="spellStart"/>
      <w:r w:rsidRPr="0037435A">
        <w:rPr>
          <w:rFonts w:ascii="Calisto MT" w:hAnsi="Calisto MT" w:cs="Times New Roman"/>
          <w:lang w:val="en-GB"/>
        </w:rPr>
        <w:t>mammario</w:t>
      </w:r>
      <w:proofErr w:type="spellEnd"/>
      <w:r w:rsidRPr="0037435A">
        <w:rPr>
          <w:rFonts w:ascii="Calisto MT" w:hAnsi="Calisto MT" w:cs="Times New Roman"/>
          <w:lang w:val="en-GB"/>
        </w:rPr>
        <w:t>-radial versus aorto-radial anastomosi</w:t>
      </w:r>
      <w:r w:rsidR="003238FD">
        <w:rPr>
          <w:rFonts w:ascii="Calisto MT" w:hAnsi="Calisto MT" w:cs="Times New Roman"/>
          <w:lang w:val="en-GB"/>
        </w:rPr>
        <w:t>s.</w:t>
      </w:r>
    </w:p>
    <w:p w14:paraId="3ED345C9" w14:textId="57CB4718" w:rsidR="00E27641" w:rsidRPr="00D43564" w:rsidRDefault="005D04D5" w:rsidP="007447BE">
      <w:pPr>
        <w:pStyle w:val="Overskrift3"/>
      </w:pPr>
      <w:r w:rsidRPr="00D43564">
        <w:t>E</w:t>
      </w:r>
      <w:r w:rsidR="00E27641" w:rsidRPr="00D43564">
        <w:t>xploratory outcome</w:t>
      </w:r>
    </w:p>
    <w:p w14:paraId="71F8F634" w14:textId="062939E0" w:rsidR="00080D03" w:rsidRPr="00224EB6" w:rsidRDefault="00425C2E" w:rsidP="00A6299E">
      <w:pPr>
        <w:pStyle w:val="Overskrift4"/>
        <w:jc w:val="both"/>
      </w:pPr>
      <w:r>
        <w:t xml:space="preserve">(A) </w:t>
      </w:r>
      <w:r w:rsidR="00E27641" w:rsidRPr="00224EB6">
        <w:t>MSCT evaluation of graft patency</w:t>
      </w:r>
    </w:p>
    <w:p w14:paraId="2335710E" w14:textId="770A16F5" w:rsidR="00E27641" w:rsidRPr="0037435A" w:rsidRDefault="00E27641" w:rsidP="00A6299E">
      <w:pPr>
        <w:jc w:val="both"/>
        <w:rPr>
          <w:rFonts w:ascii="Calisto MT" w:hAnsi="Calisto MT"/>
          <w:lang w:val="en-GB"/>
        </w:rPr>
      </w:pPr>
      <w:r w:rsidRPr="0037435A">
        <w:rPr>
          <w:rFonts w:ascii="Calisto MT" w:hAnsi="Calisto MT"/>
          <w:lang w:val="en-GB"/>
        </w:rPr>
        <w:t>Same technique and procedure will be used as mentioned earlier in the text.</w:t>
      </w:r>
    </w:p>
    <w:p w14:paraId="543EDAAF" w14:textId="77777777" w:rsidR="00E27641" w:rsidRPr="0037435A" w:rsidRDefault="00E27641" w:rsidP="007447BE">
      <w:pPr>
        <w:jc w:val="both"/>
        <w:rPr>
          <w:lang w:val="en-GB"/>
        </w:rPr>
      </w:pPr>
      <w:r w:rsidRPr="0037435A">
        <w:rPr>
          <w:lang w:val="en-GB"/>
        </w:rPr>
        <w:t>Outcome measure will be patency of the graft at one year after surgery. The patency will be divided into perfect patency, occluded, incomplete patency, and string sign according to assessment by MSCT.</w:t>
      </w:r>
    </w:p>
    <w:p w14:paraId="1161CC8A" w14:textId="216D69E3" w:rsidR="00E27641" w:rsidRDefault="00E27641" w:rsidP="007447BE">
      <w:pPr>
        <w:jc w:val="both"/>
        <w:rPr>
          <w:lang w:val="en-GB"/>
        </w:rPr>
      </w:pPr>
      <w:r w:rsidRPr="0037435A">
        <w:rPr>
          <w:lang w:val="en-GB"/>
        </w:rPr>
        <w:t>The outcome will be non-blinded. Two employees from the Department of Cardiology and Radiology will do the interpretation of MSCT scans for patency, but it will be evident on the MSCT which proximal anastomosis site is used.</w:t>
      </w:r>
    </w:p>
    <w:p w14:paraId="32122171" w14:textId="77777777" w:rsidR="00EB663D" w:rsidRPr="00653609" w:rsidRDefault="00EB663D" w:rsidP="00EB663D">
      <w:pPr>
        <w:pStyle w:val="Overskrift2"/>
        <w:rPr>
          <w:b/>
          <w:bCs w:val="0"/>
          <w:lang w:val="da-DK"/>
        </w:rPr>
      </w:pPr>
      <w:bookmarkStart w:id="4" w:name="_Toc244254143"/>
      <w:bookmarkEnd w:id="1"/>
      <w:r w:rsidRPr="00653609">
        <w:rPr>
          <w:b/>
          <w:bCs w:val="0"/>
          <w:lang w:val="da-DK"/>
        </w:rPr>
        <w:t>References</w:t>
      </w:r>
      <w:bookmarkEnd w:id="4"/>
    </w:p>
    <w:p w14:paraId="300AE602" w14:textId="77777777" w:rsidR="00653609" w:rsidRPr="00653609" w:rsidRDefault="003754B8" w:rsidP="00653609">
      <w:pPr>
        <w:widowControl w:val="0"/>
        <w:autoSpaceDE w:val="0"/>
        <w:autoSpaceDN w:val="0"/>
        <w:adjustRightInd w:val="0"/>
        <w:rPr>
          <w:rFonts w:ascii="Times New Roman" w:hAnsi="Times New Roman" w:cs="Times New Roman"/>
        </w:rPr>
      </w:pPr>
      <w:r>
        <w:rPr>
          <w:rFonts w:ascii="Calisto MT" w:hAnsi="Calisto MT"/>
        </w:rPr>
        <w:fldChar w:fldCharType="begin"/>
      </w:r>
      <w:r w:rsidR="00653609">
        <w:rPr>
          <w:lang w:val="da-DK"/>
        </w:rPr>
        <w:instrText xml:space="preserve"> ADDIN ZOTERO_BIBL {"uncited":[],"omitted":[],"custom":[]} CSL_BIBLIOGRAPHY </w:instrText>
      </w:r>
      <w:r>
        <w:rPr>
          <w:rFonts w:ascii="Calisto MT" w:hAnsi="Calisto MT"/>
        </w:rPr>
        <w:fldChar w:fldCharType="separate"/>
      </w:r>
      <w:r w:rsidR="00653609" w:rsidRPr="00653609">
        <w:rPr>
          <w:rFonts w:ascii="Times New Roman" w:hAnsi="Times New Roman" w:cs="Times New Roman"/>
          <w:lang w:val="da-DK"/>
        </w:rPr>
        <w:t xml:space="preserve">1. </w:t>
      </w:r>
      <w:r w:rsidR="00653609" w:rsidRPr="00653609">
        <w:rPr>
          <w:rFonts w:ascii="Times New Roman" w:hAnsi="Times New Roman" w:cs="Times New Roman"/>
          <w:lang w:val="da-DK"/>
        </w:rPr>
        <w:tab/>
        <w:t xml:space="preserve">Zhu YY, </w:t>
      </w:r>
      <w:proofErr w:type="spellStart"/>
      <w:r w:rsidR="00653609" w:rsidRPr="00653609">
        <w:rPr>
          <w:rFonts w:ascii="Times New Roman" w:hAnsi="Times New Roman" w:cs="Times New Roman"/>
          <w:lang w:val="da-DK"/>
        </w:rPr>
        <w:t>Hayward</w:t>
      </w:r>
      <w:proofErr w:type="spellEnd"/>
      <w:r w:rsidR="00653609" w:rsidRPr="00653609">
        <w:rPr>
          <w:rFonts w:ascii="Times New Roman" w:hAnsi="Times New Roman" w:cs="Times New Roman"/>
          <w:lang w:val="da-DK"/>
        </w:rPr>
        <w:t xml:space="preserve"> PAR, </w:t>
      </w:r>
      <w:proofErr w:type="spellStart"/>
      <w:r w:rsidR="00653609" w:rsidRPr="00653609">
        <w:rPr>
          <w:rFonts w:ascii="Times New Roman" w:hAnsi="Times New Roman" w:cs="Times New Roman"/>
          <w:lang w:val="da-DK"/>
        </w:rPr>
        <w:t>Hadinata</w:t>
      </w:r>
      <w:proofErr w:type="spellEnd"/>
      <w:r w:rsidR="00653609" w:rsidRPr="00653609">
        <w:rPr>
          <w:rFonts w:ascii="Times New Roman" w:hAnsi="Times New Roman" w:cs="Times New Roman"/>
          <w:lang w:val="da-DK"/>
        </w:rPr>
        <w:t xml:space="preserve"> IE, et al. </w:t>
      </w:r>
      <w:r w:rsidR="00653609" w:rsidRPr="00653609">
        <w:rPr>
          <w:rFonts w:ascii="Times New Roman" w:hAnsi="Times New Roman" w:cs="Times New Roman"/>
        </w:rPr>
        <w:t xml:space="preserve">Long-term impact of radial artery harvest on forearm function and symptoms: A comparison with leg vein. </w:t>
      </w:r>
      <w:r w:rsidR="00653609" w:rsidRPr="00653609">
        <w:rPr>
          <w:rFonts w:ascii="Times New Roman" w:hAnsi="Times New Roman" w:cs="Times New Roman"/>
          <w:i/>
          <w:iCs/>
        </w:rPr>
        <w:t xml:space="preserve">J </w:t>
      </w:r>
      <w:proofErr w:type="spellStart"/>
      <w:r w:rsidR="00653609" w:rsidRPr="00653609">
        <w:rPr>
          <w:rFonts w:ascii="Times New Roman" w:hAnsi="Times New Roman" w:cs="Times New Roman"/>
          <w:i/>
          <w:iCs/>
        </w:rPr>
        <w:t>Thorac</w:t>
      </w:r>
      <w:proofErr w:type="spellEnd"/>
      <w:r w:rsidR="00653609" w:rsidRPr="00653609">
        <w:rPr>
          <w:rFonts w:ascii="Times New Roman" w:hAnsi="Times New Roman" w:cs="Times New Roman"/>
          <w:i/>
          <w:iCs/>
        </w:rPr>
        <w:t xml:space="preserve"> Cardiovasc Surg</w:t>
      </w:r>
      <w:r w:rsidR="00653609" w:rsidRPr="00653609">
        <w:rPr>
          <w:rFonts w:ascii="Times New Roman" w:hAnsi="Times New Roman" w:cs="Times New Roman"/>
        </w:rPr>
        <w:t xml:space="preserve">. 2013;145(2):412-419. </w:t>
      </w:r>
      <w:proofErr w:type="gramStart"/>
      <w:r w:rsidR="00653609" w:rsidRPr="00653609">
        <w:rPr>
          <w:rFonts w:ascii="Times New Roman" w:hAnsi="Times New Roman" w:cs="Times New Roman"/>
        </w:rPr>
        <w:t>doi:10.1016/j.jtcvs</w:t>
      </w:r>
      <w:proofErr w:type="gramEnd"/>
      <w:r w:rsidR="00653609" w:rsidRPr="00653609">
        <w:rPr>
          <w:rFonts w:ascii="Times New Roman" w:hAnsi="Times New Roman" w:cs="Times New Roman"/>
        </w:rPr>
        <w:t>.2012.01.052</w:t>
      </w:r>
    </w:p>
    <w:p w14:paraId="2D26B8FD"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2. </w:t>
      </w:r>
      <w:r w:rsidRPr="00653609">
        <w:rPr>
          <w:rFonts w:ascii="Times New Roman" w:hAnsi="Times New Roman" w:cs="Times New Roman"/>
        </w:rPr>
        <w:tab/>
        <w:t xml:space="preserve">Carranza CL, </w:t>
      </w:r>
      <w:proofErr w:type="spellStart"/>
      <w:r w:rsidRPr="00653609">
        <w:rPr>
          <w:rFonts w:ascii="Times New Roman" w:hAnsi="Times New Roman" w:cs="Times New Roman"/>
        </w:rPr>
        <w:t>Ballegaard</w:t>
      </w:r>
      <w:proofErr w:type="spellEnd"/>
      <w:r w:rsidRPr="00653609">
        <w:rPr>
          <w:rFonts w:ascii="Times New Roman" w:hAnsi="Times New Roman" w:cs="Times New Roman"/>
        </w:rPr>
        <w:t xml:space="preserve"> M, Werner MU, et al. Endoscopic versus open radial artery harvest and </w:t>
      </w:r>
      <w:proofErr w:type="spellStart"/>
      <w:r w:rsidRPr="00653609">
        <w:rPr>
          <w:rFonts w:ascii="Times New Roman" w:hAnsi="Times New Roman" w:cs="Times New Roman"/>
        </w:rPr>
        <w:t>mammario</w:t>
      </w:r>
      <w:proofErr w:type="spellEnd"/>
      <w:r w:rsidRPr="00653609">
        <w:rPr>
          <w:rFonts w:ascii="Times New Roman" w:hAnsi="Times New Roman" w:cs="Times New Roman"/>
        </w:rPr>
        <w:t xml:space="preserve">-radial versus aorto-radial grafting in patients undergoing coronary artery bypass surgery: protocol for the 2 × 2 factorial designed </w:t>
      </w:r>
      <w:proofErr w:type="spellStart"/>
      <w:r w:rsidRPr="00653609">
        <w:rPr>
          <w:rFonts w:ascii="Times New Roman" w:hAnsi="Times New Roman" w:cs="Times New Roman"/>
        </w:rPr>
        <w:t>randomised</w:t>
      </w:r>
      <w:proofErr w:type="spellEnd"/>
      <w:r w:rsidRPr="00653609">
        <w:rPr>
          <w:rFonts w:ascii="Times New Roman" w:hAnsi="Times New Roman" w:cs="Times New Roman"/>
        </w:rPr>
        <w:t xml:space="preserve"> NEO trial. </w:t>
      </w:r>
      <w:r w:rsidRPr="00653609">
        <w:rPr>
          <w:rFonts w:ascii="Times New Roman" w:hAnsi="Times New Roman" w:cs="Times New Roman"/>
          <w:i/>
          <w:iCs/>
        </w:rPr>
        <w:t>Trials</w:t>
      </w:r>
      <w:r w:rsidRPr="00653609">
        <w:rPr>
          <w:rFonts w:ascii="Times New Roman" w:hAnsi="Times New Roman" w:cs="Times New Roman"/>
        </w:rPr>
        <w:t xml:space="preserve">. </w:t>
      </w:r>
      <w:proofErr w:type="gramStart"/>
      <w:r w:rsidRPr="00653609">
        <w:rPr>
          <w:rFonts w:ascii="Times New Roman" w:hAnsi="Times New Roman" w:cs="Times New Roman"/>
        </w:rPr>
        <w:t>2014;15:135</w:t>
      </w:r>
      <w:proofErr w:type="gramEnd"/>
      <w:r w:rsidRPr="00653609">
        <w:rPr>
          <w:rFonts w:ascii="Times New Roman" w:hAnsi="Times New Roman" w:cs="Times New Roman"/>
        </w:rPr>
        <w:t>. doi:10.1186/1745-6215-15-135</w:t>
      </w:r>
    </w:p>
    <w:p w14:paraId="419388B8"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3. </w:t>
      </w:r>
      <w:r w:rsidRPr="00653609">
        <w:rPr>
          <w:rFonts w:ascii="Times New Roman" w:hAnsi="Times New Roman" w:cs="Times New Roman"/>
        </w:rPr>
        <w:tab/>
        <w:t xml:space="preserve">Fischer AA. Pressure algometry over normal muscles. Standard values, validity and reproducibility of pressure threshold. </w:t>
      </w:r>
      <w:r w:rsidRPr="00653609">
        <w:rPr>
          <w:rFonts w:ascii="Times New Roman" w:hAnsi="Times New Roman" w:cs="Times New Roman"/>
          <w:i/>
          <w:iCs/>
        </w:rPr>
        <w:t>Pain</w:t>
      </w:r>
      <w:r w:rsidRPr="00653609">
        <w:rPr>
          <w:rFonts w:ascii="Times New Roman" w:hAnsi="Times New Roman" w:cs="Times New Roman"/>
        </w:rPr>
        <w:t>. 1987;30(1):115-126.</w:t>
      </w:r>
    </w:p>
    <w:p w14:paraId="53F0C745"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4. </w:t>
      </w:r>
      <w:r w:rsidRPr="00653609">
        <w:rPr>
          <w:rFonts w:ascii="Times New Roman" w:hAnsi="Times New Roman" w:cs="Times New Roman"/>
        </w:rPr>
        <w:tab/>
        <w:t xml:space="preserve">Singer AJ, Arora B, </w:t>
      </w:r>
      <w:proofErr w:type="spellStart"/>
      <w:r w:rsidRPr="00653609">
        <w:rPr>
          <w:rFonts w:ascii="Times New Roman" w:hAnsi="Times New Roman" w:cs="Times New Roman"/>
        </w:rPr>
        <w:t>Dagum</w:t>
      </w:r>
      <w:proofErr w:type="spellEnd"/>
      <w:r w:rsidRPr="00653609">
        <w:rPr>
          <w:rFonts w:ascii="Times New Roman" w:hAnsi="Times New Roman" w:cs="Times New Roman"/>
        </w:rPr>
        <w:t xml:space="preserve"> A, Valentine S, Hollander JE. Development and validation of a novel scar evaluation scale. </w:t>
      </w:r>
      <w:proofErr w:type="spellStart"/>
      <w:r w:rsidRPr="00653609">
        <w:rPr>
          <w:rFonts w:ascii="Times New Roman" w:hAnsi="Times New Roman" w:cs="Times New Roman"/>
          <w:i/>
          <w:iCs/>
        </w:rPr>
        <w:t>Plast</w:t>
      </w:r>
      <w:proofErr w:type="spellEnd"/>
      <w:r w:rsidRPr="00653609">
        <w:rPr>
          <w:rFonts w:ascii="Times New Roman" w:hAnsi="Times New Roman" w:cs="Times New Roman"/>
          <w:i/>
          <w:iCs/>
        </w:rPr>
        <w:t xml:space="preserve"> </w:t>
      </w:r>
      <w:proofErr w:type="spellStart"/>
      <w:r w:rsidRPr="00653609">
        <w:rPr>
          <w:rFonts w:ascii="Times New Roman" w:hAnsi="Times New Roman" w:cs="Times New Roman"/>
          <w:i/>
          <w:iCs/>
        </w:rPr>
        <w:t>Reconstr</w:t>
      </w:r>
      <w:proofErr w:type="spellEnd"/>
      <w:r w:rsidRPr="00653609">
        <w:rPr>
          <w:rFonts w:ascii="Times New Roman" w:hAnsi="Times New Roman" w:cs="Times New Roman"/>
          <w:i/>
          <w:iCs/>
        </w:rPr>
        <w:t xml:space="preserve"> Surg</w:t>
      </w:r>
      <w:r w:rsidRPr="00653609">
        <w:rPr>
          <w:rFonts w:ascii="Times New Roman" w:hAnsi="Times New Roman" w:cs="Times New Roman"/>
        </w:rPr>
        <w:t xml:space="preserve">. 2007;120(7):1892-1897. </w:t>
      </w:r>
      <w:proofErr w:type="gramStart"/>
      <w:r w:rsidRPr="00653609">
        <w:rPr>
          <w:rFonts w:ascii="Times New Roman" w:hAnsi="Times New Roman" w:cs="Times New Roman"/>
        </w:rPr>
        <w:lastRenderedPageBreak/>
        <w:t>doi:10.1097/01.prs</w:t>
      </w:r>
      <w:proofErr w:type="gramEnd"/>
      <w:r w:rsidRPr="00653609">
        <w:rPr>
          <w:rFonts w:ascii="Times New Roman" w:hAnsi="Times New Roman" w:cs="Times New Roman"/>
        </w:rPr>
        <w:t>.0000287275.15511.10</w:t>
      </w:r>
    </w:p>
    <w:p w14:paraId="57198665"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5. </w:t>
      </w:r>
      <w:r w:rsidRPr="00653609">
        <w:rPr>
          <w:rFonts w:ascii="Times New Roman" w:hAnsi="Times New Roman" w:cs="Times New Roman"/>
        </w:rPr>
        <w:tab/>
        <w:t xml:space="preserve">Reuter SE, Massy-Westropp N, Evans AM. Reliability and validity of indices of hand-grip strength and endurance. </w:t>
      </w:r>
      <w:r w:rsidRPr="00653609">
        <w:rPr>
          <w:rFonts w:ascii="Times New Roman" w:hAnsi="Times New Roman" w:cs="Times New Roman"/>
          <w:i/>
          <w:iCs/>
        </w:rPr>
        <w:t xml:space="preserve">Aust </w:t>
      </w:r>
      <w:proofErr w:type="spellStart"/>
      <w:r w:rsidRPr="00653609">
        <w:rPr>
          <w:rFonts w:ascii="Times New Roman" w:hAnsi="Times New Roman" w:cs="Times New Roman"/>
          <w:i/>
          <w:iCs/>
        </w:rPr>
        <w:t>Occup</w:t>
      </w:r>
      <w:proofErr w:type="spellEnd"/>
      <w:r w:rsidRPr="00653609">
        <w:rPr>
          <w:rFonts w:ascii="Times New Roman" w:hAnsi="Times New Roman" w:cs="Times New Roman"/>
          <w:i/>
          <w:iCs/>
        </w:rPr>
        <w:t xml:space="preserve"> </w:t>
      </w:r>
      <w:proofErr w:type="spellStart"/>
      <w:r w:rsidRPr="00653609">
        <w:rPr>
          <w:rFonts w:ascii="Times New Roman" w:hAnsi="Times New Roman" w:cs="Times New Roman"/>
          <w:i/>
          <w:iCs/>
        </w:rPr>
        <w:t>Ther</w:t>
      </w:r>
      <w:proofErr w:type="spellEnd"/>
      <w:r w:rsidRPr="00653609">
        <w:rPr>
          <w:rFonts w:ascii="Times New Roman" w:hAnsi="Times New Roman" w:cs="Times New Roman"/>
          <w:i/>
          <w:iCs/>
        </w:rPr>
        <w:t xml:space="preserve"> J</w:t>
      </w:r>
      <w:r w:rsidRPr="00653609">
        <w:rPr>
          <w:rFonts w:ascii="Times New Roman" w:hAnsi="Times New Roman" w:cs="Times New Roman"/>
        </w:rPr>
        <w:t>. 2011;58(2):82-87. doi:10.1111/j.1440-1630.</w:t>
      </w:r>
      <w:proofErr w:type="gramStart"/>
      <w:r w:rsidRPr="00653609">
        <w:rPr>
          <w:rFonts w:ascii="Times New Roman" w:hAnsi="Times New Roman" w:cs="Times New Roman"/>
        </w:rPr>
        <w:t>2010.00888.x</w:t>
      </w:r>
      <w:proofErr w:type="gramEnd"/>
    </w:p>
    <w:p w14:paraId="0945B2DA"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6. </w:t>
      </w:r>
      <w:r w:rsidRPr="00653609">
        <w:rPr>
          <w:rFonts w:ascii="Times New Roman" w:hAnsi="Times New Roman" w:cs="Times New Roman"/>
        </w:rPr>
        <w:tab/>
        <w:t xml:space="preserve">Bennett M. The LANSS Pain Scale: the Leeds assessment of neuropathic symptoms and signs. </w:t>
      </w:r>
      <w:r w:rsidRPr="00653609">
        <w:rPr>
          <w:rFonts w:ascii="Times New Roman" w:hAnsi="Times New Roman" w:cs="Times New Roman"/>
          <w:i/>
          <w:iCs/>
        </w:rPr>
        <w:t>Pain</w:t>
      </w:r>
      <w:r w:rsidRPr="00653609">
        <w:rPr>
          <w:rFonts w:ascii="Times New Roman" w:hAnsi="Times New Roman" w:cs="Times New Roman"/>
        </w:rPr>
        <w:t>. 2001;92(1-2):147-157.</w:t>
      </w:r>
    </w:p>
    <w:p w14:paraId="51EB06B9"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7. </w:t>
      </w:r>
      <w:r w:rsidRPr="00653609">
        <w:rPr>
          <w:rFonts w:ascii="Times New Roman" w:hAnsi="Times New Roman" w:cs="Times New Roman"/>
        </w:rPr>
        <w:tab/>
        <w:t xml:space="preserve">Hesse B, </w:t>
      </w:r>
      <w:proofErr w:type="spellStart"/>
      <w:r w:rsidRPr="00653609">
        <w:rPr>
          <w:rFonts w:ascii="Times New Roman" w:hAnsi="Times New Roman" w:cs="Times New Roman"/>
        </w:rPr>
        <w:t>Tägil</w:t>
      </w:r>
      <w:proofErr w:type="spellEnd"/>
      <w:r w:rsidRPr="00653609">
        <w:rPr>
          <w:rFonts w:ascii="Times New Roman" w:hAnsi="Times New Roman" w:cs="Times New Roman"/>
        </w:rPr>
        <w:t xml:space="preserve"> K, </w:t>
      </w:r>
      <w:proofErr w:type="spellStart"/>
      <w:r w:rsidRPr="00653609">
        <w:rPr>
          <w:rFonts w:ascii="Times New Roman" w:hAnsi="Times New Roman" w:cs="Times New Roman"/>
        </w:rPr>
        <w:t>Cuocolo</w:t>
      </w:r>
      <w:proofErr w:type="spellEnd"/>
      <w:r w:rsidRPr="00653609">
        <w:rPr>
          <w:rFonts w:ascii="Times New Roman" w:hAnsi="Times New Roman" w:cs="Times New Roman"/>
        </w:rPr>
        <w:t xml:space="preserve"> A, et al. EANM/ESC procedural guidelines for myocardial perfusion imaging in nuclear cardiology. </w:t>
      </w:r>
      <w:proofErr w:type="spellStart"/>
      <w:r w:rsidRPr="00653609">
        <w:rPr>
          <w:rFonts w:ascii="Times New Roman" w:hAnsi="Times New Roman" w:cs="Times New Roman"/>
          <w:i/>
          <w:iCs/>
        </w:rPr>
        <w:t>Eur</w:t>
      </w:r>
      <w:proofErr w:type="spellEnd"/>
      <w:r w:rsidRPr="00653609">
        <w:rPr>
          <w:rFonts w:ascii="Times New Roman" w:hAnsi="Times New Roman" w:cs="Times New Roman"/>
          <w:i/>
          <w:iCs/>
        </w:rPr>
        <w:t xml:space="preserve"> J </w:t>
      </w:r>
      <w:proofErr w:type="spellStart"/>
      <w:r w:rsidRPr="00653609">
        <w:rPr>
          <w:rFonts w:ascii="Times New Roman" w:hAnsi="Times New Roman" w:cs="Times New Roman"/>
          <w:i/>
          <w:iCs/>
        </w:rPr>
        <w:t>Nucl</w:t>
      </w:r>
      <w:proofErr w:type="spellEnd"/>
      <w:r w:rsidRPr="00653609">
        <w:rPr>
          <w:rFonts w:ascii="Times New Roman" w:hAnsi="Times New Roman" w:cs="Times New Roman"/>
          <w:i/>
          <w:iCs/>
        </w:rPr>
        <w:t xml:space="preserve"> Med Mol Imaging</w:t>
      </w:r>
      <w:r w:rsidRPr="00653609">
        <w:rPr>
          <w:rFonts w:ascii="Times New Roman" w:hAnsi="Times New Roman" w:cs="Times New Roman"/>
        </w:rPr>
        <w:t>. 2005;32(7):855-897. doi:10.1007/s00259-005-1779-y</w:t>
      </w:r>
    </w:p>
    <w:p w14:paraId="406DC385"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8. </w:t>
      </w:r>
      <w:r w:rsidRPr="00653609">
        <w:rPr>
          <w:rFonts w:ascii="Times New Roman" w:hAnsi="Times New Roman" w:cs="Times New Roman"/>
        </w:rPr>
        <w:tab/>
      </w:r>
      <w:proofErr w:type="spellStart"/>
      <w:r w:rsidRPr="00653609">
        <w:rPr>
          <w:rFonts w:ascii="Times New Roman" w:hAnsi="Times New Roman" w:cs="Times New Roman"/>
        </w:rPr>
        <w:t>Muneretto</w:t>
      </w:r>
      <w:proofErr w:type="spellEnd"/>
      <w:r w:rsidRPr="00653609">
        <w:rPr>
          <w:rFonts w:ascii="Times New Roman" w:hAnsi="Times New Roman" w:cs="Times New Roman"/>
        </w:rPr>
        <w:t xml:space="preserve"> C, </w:t>
      </w:r>
      <w:proofErr w:type="spellStart"/>
      <w:r w:rsidRPr="00653609">
        <w:rPr>
          <w:rFonts w:ascii="Times New Roman" w:hAnsi="Times New Roman" w:cs="Times New Roman"/>
        </w:rPr>
        <w:t>Bisleri</w:t>
      </w:r>
      <w:proofErr w:type="spellEnd"/>
      <w:r w:rsidRPr="00653609">
        <w:rPr>
          <w:rFonts w:ascii="Times New Roman" w:hAnsi="Times New Roman" w:cs="Times New Roman"/>
        </w:rPr>
        <w:t xml:space="preserve"> G, Negri A, et al. Left internal thoracic artery-radial artery composite grafts as the technique of choice for myocardial revascularization in elderly patients: a prospective randomized evaluation. </w:t>
      </w:r>
      <w:r w:rsidRPr="00653609">
        <w:rPr>
          <w:rFonts w:ascii="Times New Roman" w:hAnsi="Times New Roman" w:cs="Times New Roman"/>
          <w:i/>
          <w:iCs/>
        </w:rPr>
        <w:t xml:space="preserve">J </w:t>
      </w:r>
      <w:proofErr w:type="spellStart"/>
      <w:r w:rsidRPr="00653609">
        <w:rPr>
          <w:rFonts w:ascii="Times New Roman" w:hAnsi="Times New Roman" w:cs="Times New Roman"/>
          <w:i/>
          <w:iCs/>
        </w:rPr>
        <w:t>Thorac</w:t>
      </w:r>
      <w:proofErr w:type="spellEnd"/>
      <w:r w:rsidRPr="00653609">
        <w:rPr>
          <w:rFonts w:ascii="Times New Roman" w:hAnsi="Times New Roman" w:cs="Times New Roman"/>
          <w:i/>
          <w:iCs/>
        </w:rPr>
        <w:t xml:space="preserve"> Cardiovasc Surg</w:t>
      </w:r>
      <w:r w:rsidRPr="00653609">
        <w:rPr>
          <w:rFonts w:ascii="Times New Roman" w:hAnsi="Times New Roman" w:cs="Times New Roman"/>
        </w:rPr>
        <w:t xml:space="preserve">. 2004;127(1):179-184. </w:t>
      </w:r>
      <w:proofErr w:type="gramStart"/>
      <w:r w:rsidRPr="00653609">
        <w:rPr>
          <w:rFonts w:ascii="Times New Roman" w:hAnsi="Times New Roman" w:cs="Times New Roman"/>
        </w:rPr>
        <w:t>doi:10.1016/j.jtcvs</w:t>
      </w:r>
      <w:proofErr w:type="gramEnd"/>
      <w:r w:rsidRPr="00653609">
        <w:rPr>
          <w:rFonts w:ascii="Times New Roman" w:hAnsi="Times New Roman" w:cs="Times New Roman"/>
        </w:rPr>
        <w:t>.2003.08.004</w:t>
      </w:r>
    </w:p>
    <w:p w14:paraId="4DF296C3" w14:textId="77777777" w:rsidR="00653609" w:rsidRPr="00653609" w:rsidRDefault="00653609" w:rsidP="00653609">
      <w:pPr>
        <w:widowControl w:val="0"/>
        <w:autoSpaceDE w:val="0"/>
        <w:autoSpaceDN w:val="0"/>
        <w:adjustRightInd w:val="0"/>
        <w:rPr>
          <w:rFonts w:ascii="Times New Roman" w:hAnsi="Times New Roman" w:cs="Times New Roman"/>
        </w:rPr>
      </w:pPr>
      <w:r w:rsidRPr="00653609">
        <w:rPr>
          <w:rFonts w:ascii="Times New Roman" w:hAnsi="Times New Roman" w:cs="Times New Roman"/>
        </w:rPr>
        <w:t xml:space="preserve">9. </w:t>
      </w:r>
      <w:r w:rsidRPr="00653609">
        <w:rPr>
          <w:rFonts w:ascii="Times New Roman" w:hAnsi="Times New Roman" w:cs="Times New Roman"/>
        </w:rPr>
        <w:tab/>
        <w:t xml:space="preserve">Lemma M, </w:t>
      </w:r>
      <w:proofErr w:type="spellStart"/>
      <w:r w:rsidRPr="00653609">
        <w:rPr>
          <w:rFonts w:ascii="Times New Roman" w:hAnsi="Times New Roman" w:cs="Times New Roman"/>
        </w:rPr>
        <w:t>Mangini</w:t>
      </w:r>
      <w:proofErr w:type="spellEnd"/>
      <w:r w:rsidRPr="00653609">
        <w:rPr>
          <w:rFonts w:ascii="Times New Roman" w:hAnsi="Times New Roman" w:cs="Times New Roman"/>
        </w:rPr>
        <w:t xml:space="preserve"> A, </w:t>
      </w:r>
      <w:proofErr w:type="spellStart"/>
      <w:r w:rsidRPr="00653609">
        <w:rPr>
          <w:rFonts w:ascii="Times New Roman" w:hAnsi="Times New Roman" w:cs="Times New Roman"/>
        </w:rPr>
        <w:t>Gelpi</w:t>
      </w:r>
      <w:proofErr w:type="spellEnd"/>
      <w:r w:rsidRPr="00653609">
        <w:rPr>
          <w:rFonts w:ascii="Times New Roman" w:hAnsi="Times New Roman" w:cs="Times New Roman"/>
        </w:rPr>
        <w:t xml:space="preserve"> G, </w:t>
      </w:r>
      <w:proofErr w:type="spellStart"/>
      <w:r w:rsidRPr="00653609">
        <w:rPr>
          <w:rFonts w:ascii="Times New Roman" w:hAnsi="Times New Roman" w:cs="Times New Roman"/>
        </w:rPr>
        <w:t>Innorta</w:t>
      </w:r>
      <w:proofErr w:type="spellEnd"/>
      <w:r w:rsidRPr="00653609">
        <w:rPr>
          <w:rFonts w:ascii="Times New Roman" w:hAnsi="Times New Roman" w:cs="Times New Roman"/>
        </w:rPr>
        <w:t xml:space="preserve"> A, Spina A, </w:t>
      </w:r>
      <w:proofErr w:type="spellStart"/>
      <w:r w:rsidRPr="00653609">
        <w:rPr>
          <w:rFonts w:ascii="Times New Roman" w:hAnsi="Times New Roman" w:cs="Times New Roman"/>
        </w:rPr>
        <w:t>Antona</w:t>
      </w:r>
      <w:proofErr w:type="spellEnd"/>
      <w:r w:rsidRPr="00653609">
        <w:rPr>
          <w:rFonts w:ascii="Times New Roman" w:hAnsi="Times New Roman" w:cs="Times New Roman"/>
        </w:rPr>
        <w:t xml:space="preserve"> C. Is it better to use the radial artery as a composite graft? Clinical and angiographic results of aorto-coronary versus Y-graft. </w:t>
      </w:r>
      <w:proofErr w:type="spellStart"/>
      <w:r w:rsidRPr="00653609">
        <w:rPr>
          <w:rFonts w:ascii="Times New Roman" w:hAnsi="Times New Roman" w:cs="Times New Roman"/>
          <w:i/>
          <w:iCs/>
        </w:rPr>
        <w:t>Eur</w:t>
      </w:r>
      <w:proofErr w:type="spellEnd"/>
      <w:r w:rsidRPr="00653609">
        <w:rPr>
          <w:rFonts w:ascii="Times New Roman" w:hAnsi="Times New Roman" w:cs="Times New Roman"/>
          <w:i/>
          <w:iCs/>
        </w:rPr>
        <w:t xml:space="preserve"> J </w:t>
      </w:r>
      <w:proofErr w:type="spellStart"/>
      <w:r w:rsidRPr="00653609">
        <w:rPr>
          <w:rFonts w:ascii="Times New Roman" w:hAnsi="Times New Roman" w:cs="Times New Roman"/>
          <w:i/>
          <w:iCs/>
        </w:rPr>
        <w:t>Cardiothorac</w:t>
      </w:r>
      <w:proofErr w:type="spellEnd"/>
      <w:r w:rsidRPr="00653609">
        <w:rPr>
          <w:rFonts w:ascii="Times New Roman" w:hAnsi="Times New Roman" w:cs="Times New Roman"/>
          <w:i/>
          <w:iCs/>
        </w:rPr>
        <w:t xml:space="preserve"> Surg</w:t>
      </w:r>
      <w:r w:rsidRPr="00653609">
        <w:rPr>
          <w:rFonts w:ascii="Times New Roman" w:hAnsi="Times New Roman" w:cs="Times New Roman"/>
        </w:rPr>
        <w:t xml:space="preserve">. 2004;26(1):110-117. </w:t>
      </w:r>
      <w:proofErr w:type="gramStart"/>
      <w:r w:rsidRPr="00653609">
        <w:rPr>
          <w:rFonts w:ascii="Times New Roman" w:hAnsi="Times New Roman" w:cs="Times New Roman"/>
        </w:rPr>
        <w:t>doi:10.1016/j.ejcts</w:t>
      </w:r>
      <w:proofErr w:type="gramEnd"/>
      <w:r w:rsidRPr="00653609">
        <w:rPr>
          <w:rFonts w:ascii="Times New Roman" w:hAnsi="Times New Roman" w:cs="Times New Roman"/>
        </w:rPr>
        <w:t>.2004.03.020</w:t>
      </w:r>
    </w:p>
    <w:p w14:paraId="7C3DDFF4" w14:textId="121BBBF3" w:rsidR="00FF1C6E" w:rsidRDefault="003754B8" w:rsidP="007447BE">
      <w:pPr>
        <w:pStyle w:val="float"/>
        <w:spacing w:after="0" w:afterAutospacing="0"/>
        <w:outlineLvl w:val="0"/>
        <w:rPr>
          <w:rFonts w:ascii="Calisto MT" w:hAnsi="Calisto MT"/>
          <w:lang w:val="en-GB"/>
        </w:rPr>
      </w:pPr>
      <w:r>
        <w:rPr>
          <w:rFonts w:ascii="Calisto MT" w:hAnsi="Calisto MT"/>
          <w:lang w:val="en-GB"/>
        </w:rPr>
        <w:fldChar w:fldCharType="end"/>
      </w:r>
    </w:p>
    <w:p w14:paraId="738A488C" w14:textId="77777777" w:rsidR="00693E81" w:rsidRPr="00184843" w:rsidRDefault="00693E81" w:rsidP="007447BE">
      <w:pPr>
        <w:pStyle w:val="float"/>
        <w:spacing w:after="0" w:afterAutospacing="0"/>
        <w:outlineLvl w:val="0"/>
        <w:rPr>
          <w:rFonts w:ascii="Calisto MT" w:hAnsi="Calisto MT"/>
          <w:lang w:val="da-DK"/>
        </w:rPr>
      </w:pPr>
    </w:p>
    <w:sectPr w:rsidR="00693E81" w:rsidRPr="00184843" w:rsidSect="00EC13BB">
      <w:footerReference w:type="default" r:id="rId9"/>
      <w:type w:val="continuous"/>
      <w:pgSz w:w="11900" w:h="16840" w:code="1"/>
      <w:pgMar w:top="993" w:right="985" w:bottom="993" w:left="1440" w:header="1296" w:footer="14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FA9C4" w14:textId="77777777" w:rsidR="002B7F62" w:rsidRDefault="002B7F62" w:rsidP="00A15157">
      <w:pPr>
        <w:spacing w:after="0" w:line="240" w:lineRule="auto"/>
      </w:pPr>
      <w:r>
        <w:separator/>
      </w:r>
    </w:p>
  </w:endnote>
  <w:endnote w:type="continuationSeparator" w:id="0">
    <w:p w14:paraId="0AB82B77" w14:textId="77777777" w:rsidR="002B7F62" w:rsidRDefault="002B7F62" w:rsidP="00A15157">
      <w:pPr>
        <w:spacing w:after="0" w:line="240" w:lineRule="auto"/>
      </w:pPr>
      <w:r>
        <w:continuationSeparator/>
      </w:r>
    </w:p>
  </w:endnote>
  <w:endnote w:type="continuationNotice" w:id="1">
    <w:p w14:paraId="73218F6F" w14:textId="77777777" w:rsidR="002B7F62" w:rsidRDefault="002B7F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sto MT">
    <w:panose1 w:val="02040603050505030304"/>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BAAC" w14:textId="77777777" w:rsidR="00874FB8" w:rsidRDefault="00874FB8" w:rsidP="003A3B6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25</w:t>
    </w:r>
    <w:r>
      <w:rPr>
        <w:rStyle w:val="Sidetal"/>
      </w:rPr>
      <w:fldChar w:fldCharType="end"/>
    </w:r>
  </w:p>
  <w:tbl>
    <w:tblPr>
      <w:tblW w:w="0" w:type="auto"/>
      <w:tblLook w:val="04A0" w:firstRow="1" w:lastRow="0" w:firstColumn="1" w:lastColumn="0" w:noHBand="0" w:noVBand="1"/>
    </w:tblPr>
    <w:tblGrid>
      <w:gridCol w:w="4740"/>
      <w:gridCol w:w="4735"/>
    </w:tblGrid>
    <w:tr w:rsidR="00874FB8" w14:paraId="536D0C99" w14:textId="77777777" w:rsidTr="00570F73">
      <w:tc>
        <w:tcPr>
          <w:tcW w:w="4788" w:type="dxa"/>
        </w:tcPr>
        <w:sdt>
          <w:sdtPr>
            <w:rPr>
              <w:sz w:val="16"/>
              <w:szCs w:val="16"/>
            </w:rPr>
            <w:alias w:val="Title"/>
            <w:tag w:val=""/>
            <w:id w:val="416222365"/>
            <w:showingPlcHdr/>
            <w:dataBinding w:prefixMappings="xmlns:ns0='http://purl.org/dc/elements/1.1/' xmlns:ns1='http://schemas.openxmlformats.org/package/2006/metadata/core-properties' " w:xpath="/ns1:coreProperties[1]/ns0:title[1]" w:storeItemID="{6C3C8BC8-F283-45AE-878A-BAB7291924A1}"/>
            <w:text w:multiLine="1"/>
          </w:sdtPr>
          <w:sdtEndPr/>
          <w:sdtContent>
            <w:p w14:paraId="37B82908" w14:textId="77777777" w:rsidR="00874FB8" w:rsidRPr="00CC2374" w:rsidRDefault="00874FB8" w:rsidP="003A3B63">
              <w:pPr>
                <w:pStyle w:val="Sidefod"/>
                <w:ind w:right="360"/>
                <w:rPr>
                  <w:b/>
                  <w:color w:val="auto"/>
                  <w:sz w:val="24"/>
                </w:rPr>
              </w:pPr>
              <w:r>
                <w:rPr>
                  <w:sz w:val="16"/>
                  <w:szCs w:val="16"/>
                </w:rPr>
                <w:t xml:space="preserve">     </w:t>
              </w:r>
            </w:p>
          </w:sdtContent>
        </w:sdt>
      </w:tc>
      <w:tc>
        <w:tcPr>
          <w:tcW w:w="4788" w:type="dxa"/>
        </w:tcPr>
        <w:p w14:paraId="2F0AFBDD" w14:textId="77777777" w:rsidR="00874FB8" w:rsidRDefault="00874FB8" w:rsidP="00570F73">
          <w:pPr>
            <w:pStyle w:val="Header-FooterRight"/>
          </w:pPr>
        </w:p>
      </w:tc>
    </w:tr>
  </w:tbl>
  <w:p w14:paraId="19893615" w14:textId="77777777" w:rsidR="00874FB8" w:rsidRDefault="00874FB8" w:rsidP="002701BD">
    <w:pPr>
      <w:pStyle w:val="Ing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E82CF" w14:textId="77777777" w:rsidR="002B7F62" w:rsidRDefault="002B7F62" w:rsidP="00A15157">
      <w:pPr>
        <w:spacing w:after="0" w:line="240" w:lineRule="auto"/>
      </w:pPr>
      <w:r>
        <w:separator/>
      </w:r>
    </w:p>
  </w:footnote>
  <w:footnote w:type="continuationSeparator" w:id="0">
    <w:p w14:paraId="2EB4643D" w14:textId="77777777" w:rsidR="002B7F62" w:rsidRDefault="002B7F62" w:rsidP="00A15157">
      <w:pPr>
        <w:spacing w:after="0" w:line="240" w:lineRule="auto"/>
      </w:pPr>
      <w:r>
        <w:continuationSeparator/>
      </w:r>
    </w:p>
  </w:footnote>
  <w:footnote w:type="continuationNotice" w:id="1">
    <w:p w14:paraId="27018C0B" w14:textId="77777777" w:rsidR="002B7F62" w:rsidRDefault="002B7F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40A3CA2"/>
    <w:lvl w:ilvl="0">
      <w:start w:val="1"/>
      <w:numFmt w:val="decimal"/>
      <w:pStyle w:val="Opstilling-talellerbogst"/>
      <w:lvlText w:val="%1."/>
      <w:lvlJc w:val="left"/>
      <w:pPr>
        <w:tabs>
          <w:tab w:val="num" w:pos="360"/>
        </w:tabs>
        <w:ind w:left="360" w:hanging="360"/>
      </w:pPr>
      <w:rPr>
        <w:rFonts w:hint="default"/>
        <w:color w:val="808080" w:themeColor="background1" w:themeShade="80"/>
      </w:rPr>
    </w:lvl>
  </w:abstractNum>
  <w:abstractNum w:abstractNumId="1" w15:restartNumberingAfterBreak="0">
    <w:nsid w:val="FFFFFF89"/>
    <w:multiLevelType w:val="singleLevel"/>
    <w:tmpl w:val="2ADA3A6C"/>
    <w:lvl w:ilvl="0">
      <w:start w:val="1"/>
      <w:numFmt w:val="bullet"/>
      <w:pStyle w:val="Opstilling-punkttegn"/>
      <w:lvlText w:val="n"/>
      <w:lvlJc w:val="left"/>
      <w:pPr>
        <w:tabs>
          <w:tab w:val="num" w:pos="360"/>
        </w:tabs>
        <w:ind w:left="360" w:hanging="360"/>
      </w:pPr>
      <w:rPr>
        <w:rFonts w:ascii="Wingdings" w:hAnsi="Wingdings" w:hint="default"/>
        <w:color w:val="983620" w:themeColor="accent2"/>
      </w:rPr>
    </w:lvl>
  </w:abstractNum>
  <w:abstractNum w:abstractNumId="2" w15:restartNumberingAfterBreak="0">
    <w:nsid w:val="06982775"/>
    <w:multiLevelType w:val="hybridMultilevel"/>
    <w:tmpl w:val="A4167194"/>
    <w:lvl w:ilvl="0" w:tplc="C21EAC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5391"/>
    <w:multiLevelType w:val="hybridMultilevel"/>
    <w:tmpl w:val="180E313A"/>
    <w:lvl w:ilvl="0" w:tplc="2C16978A">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734EB6"/>
    <w:multiLevelType w:val="hybridMultilevel"/>
    <w:tmpl w:val="761EEEBC"/>
    <w:lvl w:ilvl="0" w:tplc="562C63F8">
      <w:start w:val="2"/>
      <w:numFmt w:val="bullet"/>
      <w:lvlText w:val="-"/>
      <w:lvlJc w:val="left"/>
      <w:pPr>
        <w:ind w:left="720" w:hanging="360"/>
      </w:pPr>
      <w:rPr>
        <w:rFonts w:ascii="Calisto MT" w:eastAsiaTheme="minorEastAsia" w:hAnsi="Calisto M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48D6C6A"/>
    <w:multiLevelType w:val="hybridMultilevel"/>
    <w:tmpl w:val="C85A9D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B3E211E"/>
    <w:multiLevelType w:val="hybridMultilevel"/>
    <w:tmpl w:val="6A8CEE76"/>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7" w15:restartNumberingAfterBreak="0">
    <w:nsid w:val="2C11349C"/>
    <w:multiLevelType w:val="hybridMultilevel"/>
    <w:tmpl w:val="0A4082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E0D5FB7"/>
    <w:multiLevelType w:val="hybridMultilevel"/>
    <w:tmpl w:val="AD8EA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4257F"/>
    <w:multiLevelType w:val="hybridMultilevel"/>
    <w:tmpl w:val="BEBEF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F5A70"/>
    <w:multiLevelType w:val="hybridMultilevel"/>
    <w:tmpl w:val="902C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010EB"/>
    <w:multiLevelType w:val="hybridMultilevel"/>
    <w:tmpl w:val="CE46D540"/>
    <w:lvl w:ilvl="0" w:tplc="738083C6">
      <w:start w:val="2"/>
      <w:numFmt w:val="bullet"/>
      <w:lvlText w:val="-"/>
      <w:lvlJc w:val="left"/>
      <w:pPr>
        <w:ind w:left="720" w:hanging="360"/>
      </w:pPr>
      <w:rPr>
        <w:rFonts w:ascii="Calisto MT" w:eastAsiaTheme="minorEastAsia" w:hAnsi="Calisto M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C473AE7"/>
    <w:multiLevelType w:val="hybridMultilevel"/>
    <w:tmpl w:val="BE348676"/>
    <w:lvl w:ilvl="0" w:tplc="E4B44970">
      <w:start w:val="1"/>
      <w:numFmt w:val="lowerLetter"/>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29460B"/>
    <w:multiLevelType w:val="hybridMultilevel"/>
    <w:tmpl w:val="ED4AE2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AE14B7"/>
    <w:multiLevelType w:val="hybridMultilevel"/>
    <w:tmpl w:val="7EEEEFE0"/>
    <w:lvl w:ilvl="0" w:tplc="343E780E">
      <w:start w:val="1"/>
      <w:numFmt w:val="bullet"/>
      <w:pStyle w:val="NOR1bullettable"/>
      <w:lvlText w:val=""/>
      <w:lvlJc w:val="left"/>
      <w:pPr>
        <w:ind w:left="720" w:hanging="360"/>
      </w:pPr>
      <w:rPr>
        <w:rFonts w:ascii="Symbol" w:hAnsi="Symbol" w:hint="default"/>
      </w:rPr>
    </w:lvl>
    <w:lvl w:ilvl="1" w:tplc="8F2E5EE8">
      <w:start w:val="1"/>
      <w:numFmt w:val="bullet"/>
      <w:lvlText w:val=""/>
      <w:lvlJc w:val="left"/>
      <w:pPr>
        <w:tabs>
          <w:tab w:val="num" w:pos="284"/>
        </w:tabs>
        <w:ind w:left="284" w:hanging="250"/>
      </w:pPr>
      <w:rPr>
        <w:rFonts w:ascii="Symbol" w:hAnsi="Symbol" w:hint="default"/>
        <w:sz w:val="20"/>
        <w:szCs w:val="22"/>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837BBD"/>
    <w:multiLevelType w:val="hybridMultilevel"/>
    <w:tmpl w:val="F7BC78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E2D1302"/>
    <w:multiLevelType w:val="hybridMultilevel"/>
    <w:tmpl w:val="9194831C"/>
    <w:lvl w:ilvl="0" w:tplc="603C3696">
      <w:start w:val="1"/>
      <w:numFmt w:val="bullet"/>
      <w:pStyle w:val="Listeafsni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27251A"/>
    <w:multiLevelType w:val="hybridMultilevel"/>
    <w:tmpl w:val="44F6E7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60719506">
    <w:abstractNumId w:val="1"/>
  </w:num>
  <w:num w:numId="2" w16cid:durableId="1764036871">
    <w:abstractNumId w:val="0"/>
  </w:num>
  <w:num w:numId="3" w16cid:durableId="420376373">
    <w:abstractNumId w:val="14"/>
  </w:num>
  <w:num w:numId="4" w16cid:durableId="1094477304">
    <w:abstractNumId w:val="2"/>
  </w:num>
  <w:num w:numId="5" w16cid:durableId="1582985749">
    <w:abstractNumId w:val="13"/>
  </w:num>
  <w:num w:numId="6" w16cid:durableId="712191409">
    <w:abstractNumId w:val="12"/>
  </w:num>
  <w:num w:numId="7" w16cid:durableId="1397817502">
    <w:abstractNumId w:val="9"/>
  </w:num>
  <w:num w:numId="8" w16cid:durableId="837883918">
    <w:abstractNumId w:val="16"/>
  </w:num>
  <w:num w:numId="9" w16cid:durableId="160706475">
    <w:abstractNumId w:val="10"/>
  </w:num>
  <w:num w:numId="10" w16cid:durableId="1422339540">
    <w:abstractNumId w:val="8"/>
  </w:num>
  <w:num w:numId="11" w16cid:durableId="723873625">
    <w:abstractNumId w:val="17"/>
  </w:num>
  <w:num w:numId="12" w16cid:durableId="1822117279">
    <w:abstractNumId w:val="5"/>
  </w:num>
  <w:num w:numId="13" w16cid:durableId="1914781271">
    <w:abstractNumId w:val="15"/>
  </w:num>
  <w:num w:numId="14" w16cid:durableId="1517379255">
    <w:abstractNumId w:val="7"/>
  </w:num>
  <w:num w:numId="15" w16cid:durableId="971252314">
    <w:abstractNumId w:val="11"/>
  </w:num>
  <w:num w:numId="16" w16cid:durableId="1703818778">
    <w:abstractNumId w:val="4"/>
  </w:num>
  <w:num w:numId="17" w16cid:durableId="1248687958">
    <w:abstractNumId w:val="3"/>
  </w:num>
  <w:num w:numId="18" w16cid:durableId="63722522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trackRevisions/>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3MLI0MLIwszAEspR0lIJTi4sz8/NACoxqATV6iUcsAAAA"/>
  </w:docVars>
  <w:rsids>
    <w:rsidRoot w:val="00D110B1"/>
    <w:rsid w:val="000009D7"/>
    <w:rsid w:val="0000211F"/>
    <w:rsid w:val="00004DA1"/>
    <w:rsid w:val="0000581E"/>
    <w:rsid w:val="00006E67"/>
    <w:rsid w:val="000117BC"/>
    <w:rsid w:val="00011F72"/>
    <w:rsid w:val="00014B15"/>
    <w:rsid w:val="000151EA"/>
    <w:rsid w:val="00016765"/>
    <w:rsid w:val="00020AD8"/>
    <w:rsid w:val="00023BA5"/>
    <w:rsid w:val="00023F26"/>
    <w:rsid w:val="0002404C"/>
    <w:rsid w:val="00024F0F"/>
    <w:rsid w:val="000250CD"/>
    <w:rsid w:val="000268B1"/>
    <w:rsid w:val="00026D66"/>
    <w:rsid w:val="00027B71"/>
    <w:rsid w:val="000312AF"/>
    <w:rsid w:val="0003201F"/>
    <w:rsid w:val="00032B4A"/>
    <w:rsid w:val="00033855"/>
    <w:rsid w:val="0003653A"/>
    <w:rsid w:val="000365CB"/>
    <w:rsid w:val="0003695E"/>
    <w:rsid w:val="000377BB"/>
    <w:rsid w:val="0004014A"/>
    <w:rsid w:val="00042B90"/>
    <w:rsid w:val="0004372D"/>
    <w:rsid w:val="0004463E"/>
    <w:rsid w:val="00045062"/>
    <w:rsid w:val="00045C3B"/>
    <w:rsid w:val="00045FB9"/>
    <w:rsid w:val="0004779D"/>
    <w:rsid w:val="00050270"/>
    <w:rsid w:val="00050350"/>
    <w:rsid w:val="00050B8C"/>
    <w:rsid w:val="00052775"/>
    <w:rsid w:val="000528DA"/>
    <w:rsid w:val="00055249"/>
    <w:rsid w:val="00055349"/>
    <w:rsid w:val="0005747B"/>
    <w:rsid w:val="000611D2"/>
    <w:rsid w:val="0006197F"/>
    <w:rsid w:val="00062844"/>
    <w:rsid w:val="000629B8"/>
    <w:rsid w:val="00062AAD"/>
    <w:rsid w:val="00063973"/>
    <w:rsid w:val="00064320"/>
    <w:rsid w:val="00064799"/>
    <w:rsid w:val="00065418"/>
    <w:rsid w:val="0006655F"/>
    <w:rsid w:val="00067363"/>
    <w:rsid w:val="000679DE"/>
    <w:rsid w:val="0007341A"/>
    <w:rsid w:val="00074F3C"/>
    <w:rsid w:val="00076825"/>
    <w:rsid w:val="00080D03"/>
    <w:rsid w:val="000810A0"/>
    <w:rsid w:val="000812B4"/>
    <w:rsid w:val="00081792"/>
    <w:rsid w:val="00082D6F"/>
    <w:rsid w:val="000831AD"/>
    <w:rsid w:val="00086039"/>
    <w:rsid w:val="00087DE4"/>
    <w:rsid w:val="000901A4"/>
    <w:rsid w:val="0009122F"/>
    <w:rsid w:val="00091D96"/>
    <w:rsid w:val="000926BE"/>
    <w:rsid w:val="00092DC4"/>
    <w:rsid w:val="00093131"/>
    <w:rsid w:val="000942D6"/>
    <w:rsid w:val="000951FB"/>
    <w:rsid w:val="000A04E3"/>
    <w:rsid w:val="000A2052"/>
    <w:rsid w:val="000A2E2D"/>
    <w:rsid w:val="000A5272"/>
    <w:rsid w:val="000B23F9"/>
    <w:rsid w:val="000B5C52"/>
    <w:rsid w:val="000B7149"/>
    <w:rsid w:val="000B76AF"/>
    <w:rsid w:val="000C05EF"/>
    <w:rsid w:val="000C2DD2"/>
    <w:rsid w:val="000C3315"/>
    <w:rsid w:val="000C5FA4"/>
    <w:rsid w:val="000C6802"/>
    <w:rsid w:val="000D40CB"/>
    <w:rsid w:val="000D71CE"/>
    <w:rsid w:val="000E0D3A"/>
    <w:rsid w:val="000E266F"/>
    <w:rsid w:val="000E33A5"/>
    <w:rsid w:val="000E35CF"/>
    <w:rsid w:val="000E508A"/>
    <w:rsid w:val="000E527D"/>
    <w:rsid w:val="000E6B96"/>
    <w:rsid w:val="000E6EC8"/>
    <w:rsid w:val="000F11E5"/>
    <w:rsid w:val="000F13FA"/>
    <w:rsid w:val="000F1A59"/>
    <w:rsid w:val="000F2DC9"/>
    <w:rsid w:val="000F2F65"/>
    <w:rsid w:val="000F3662"/>
    <w:rsid w:val="000F58AF"/>
    <w:rsid w:val="000F733D"/>
    <w:rsid w:val="000F740C"/>
    <w:rsid w:val="00101749"/>
    <w:rsid w:val="0010278F"/>
    <w:rsid w:val="00103960"/>
    <w:rsid w:val="00104F4F"/>
    <w:rsid w:val="00105B97"/>
    <w:rsid w:val="00105E36"/>
    <w:rsid w:val="00106712"/>
    <w:rsid w:val="00110483"/>
    <w:rsid w:val="0011194D"/>
    <w:rsid w:val="00111DFB"/>
    <w:rsid w:val="00113162"/>
    <w:rsid w:val="00114A26"/>
    <w:rsid w:val="00116732"/>
    <w:rsid w:val="0011723D"/>
    <w:rsid w:val="001207A1"/>
    <w:rsid w:val="00122E61"/>
    <w:rsid w:val="0012369C"/>
    <w:rsid w:val="00127488"/>
    <w:rsid w:val="001279CD"/>
    <w:rsid w:val="00131E22"/>
    <w:rsid w:val="00132E4F"/>
    <w:rsid w:val="00136CC6"/>
    <w:rsid w:val="00140B81"/>
    <w:rsid w:val="00142778"/>
    <w:rsid w:val="00144487"/>
    <w:rsid w:val="00144C46"/>
    <w:rsid w:val="00145FC0"/>
    <w:rsid w:val="00146B8B"/>
    <w:rsid w:val="001476F4"/>
    <w:rsid w:val="00147983"/>
    <w:rsid w:val="00151203"/>
    <w:rsid w:val="0015204A"/>
    <w:rsid w:val="00152444"/>
    <w:rsid w:val="00152FF5"/>
    <w:rsid w:val="001531F1"/>
    <w:rsid w:val="00153907"/>
    <w:rsid w:val="001565F8"/>
    <w:rsid w:val="001570C1"/>
    <w:rsid w:val="001602D7"/>
    <w:rsid w:val="001618C9"/>
    <w:rsid w:val="00161B41"/>
    <w:rsid w:val="00162E22"/>
    <w:rsid w:val="001634FA"/>
    <w:rsid w:val="00163F6B"/>
    <w:rsid w:val="00165340"/>
    <w:rsid w:val="00166866"/>
    <w:rsid w:val="00167C83"/>
    <w:rsid w:val="001707D5"/>
    <w:rsid w:val="00170E14"/>
    <w:rsid w:val="001757B3"/>
    <w:rsid w:val="001768D7"/>
    <w:rsid w:val="001779AB"/>
    <w:rsid w:val="00181E66"/>
    <w:rsid w:val="001826AB"/>
    <w:rsid w:val="0018293F"/>
    <w:rsid w:val="00182C9D"/>
    <w:rsid w:val="0018419B"/>
    <w:rsid w:val="00184843"/>
    <w:rsid w:val="00184BD1"/>
    <w:rsid w:val="0018651E"/>
    <w:rsid w:val="00190D79"/>
    <w:rsid w:val="00193823"/>
    <w:rsid w:val="00194515"/>
    <w:rsid w:val="00194AAE"/>
    <w:rsid w:val="001955CC"/>
    <w:rsid w:val="00196CB4"/>
    <w:rsid w:val="00197842"/>
    <w:rsid w:val="001A00BD"/>
    <w:rsid w:val="001A01FA"/>
    <w:rsid w:val="001A1DEB"/>
    <w:rsid w:val="001A4309"/>
    <w:rsid w:val="001A5F18"/>
    <w:rsid w:val="001A6CBA"/>
    <w:rsid w:val="001A714D"/>
    <w:rsid w:val="001A7FCF"/>
    <w:rsid w:val="001B08C1"/>
    <w:rsid w:val="001B255D"/>
    <w:rsid w:val="001B37EA"/>
    <w:rsid w:val="001B4F64"/>
    <w:rsid w:val="001B6356"/>
    <w:rsid w:val="001B687B"/>
    <w:rsid w:val="001C0943"/>
    <w:rsid w:val="001C1362"/>
    <w:rsid w:val="001C2437"/>
    <w:rsid w:val="001C2C7D"/>
    <w:rsid w:val="001C59FD"/>
    <w:rsid w:val="001C5E84"/>
    <w:rsid w:val="001C7801"/>
    <w:rsid w:val="001C7A22"/>
    <w:rsid w:val="001D184B"/>
    <w:rsid w:val="001D5972"/>
    <w:rsid w:val="001D7868"/>
    <w:rsid w:val="001D7C6E"/>
    <w:rsid w:val="001D7D03"/>
    <w:rsid w:val="001E1162"/>
    <w:rsid w:val="001E2376"/>
    <w:rsid w:val="001E2F7F"/>
    <w:rsid w:val="001E3164"/>
    <w:rsid w:val="001E3F59"/>
    <w:rsid w:val="001E4D5D"/>
    <w:rsid w:val="001E7B59"/>
    <w:rsid w:val="001E7B65"/>
    <w:rsid w:val="001F04F2"/>
    <w:rsid w:val="001F0BC6"/>
    <w:rsid w:val="001F31ED"/>
    <w:rsid w:val="001F3A73"/>
    <w:rsid w:val="001F7FAB"/>
    <w:rsid w:val="00200872"/>
    <w:rsid w:val="00200C39"/>
    <w:rsid w:val="002014C2"/>
    <w:rsid w:val="002022AB"/>
    <w:rsid w:val="00203053"/>
    <w:rsid w:val="00203139"/>
    <w:rsid w:val="0020373F"/>
    <w:rsid w:val="00204957"/>
    <w:rsid w:val="00207033"/>
    <w:rsid w:val="00207151"/>
    <w:rsid w:val="0020784E"/>
    <w:rsid w:val="00207944"/>
    <w:rsid w:val="00211C41"/>
    <w:rsid w:val="002122A5"/>
    <w:rsid w:val="002122AC"/>
    <w:rsid w:val="002157CF"/>
    <w:rsid w:val="002172B0"/>
    <w:rsid w:val="002204E8"/>
    <w:rsid w:val="00224EB6"/>
    <w:rsid w:val="0023022D"/>
    <w:rsid w:val="00230C21"/>
    <w:rsid w:val="00231172"/>
    <w:rsid w:val="00232B53"/>
    <w:rsid w:val="00232E93"/>
    <w:rsid w:val="00233B66"/>
    <w:rsid w:val="00234567"/>
    <w:rsid w:val="002365AF"/>
    <w:rsid w:val="00237EAA"/>
    <w:rsid w:val="002402D6"/>
    <w:rsid w:val="0024107F"/>
    <w:rsid w:val="00241EDB"/>
    <w:rsid w:val="00243485"/>
    <w:rsid w:val="0024361C"/>
    <w:rsid w:val="00244824"/>
    <w:rsid w:val="00244C6A"/>
    <w:rsid w:val="00244E01"/>
    <w:rsid w:val="0024615A"/>
    <w:rsid w:val="00247E8B"/>
    <w:rsid w:val="00250555"/>
    <w:rsid w:val="00254040"/>
    <w:rsid w:val="00261C51"/>
    <w:rsid w:val="00262C5E"/>
    <w:rsid w:val="00263487"/>
    <w:rsid w:val="0026688B"/>
    <w:rsid w:val="002673AF"/>
    <w:rsid w:val="002678A6"/>
    <w:rsid w:val="002701BD"/>
    <w:rsid w:val="002707ED"/>
    <w:rsid w:val="00271795"/>
    <w:rsid w:val="00271981"/>
    <w:rsid w:val="00271C6C"/>
    <w:rsid w:val="00273D60"/>
    <w:rsid w:val="002749F1"/>
    <w:rsid w:val="00280DC4"/>
    <w:rsid w:val="002826EB"/>
    <w:rsid w:val="00284148"/>
    <w:rsid w:val="00286AA8"/>
    <w:rsid w:val="00290819"/>
    <w:rsid w:val="00291E63"/>
    <w:rsid w:val="002952F4"/>
    <w:rsid w:val="00295888"/>
    <w:rsid w:val="002959DB"/>
    <w:rsid w:val="00295F26"/>
    <w:rsid w:val="002A0076"/>
    <w:rsid w:val="002A1221"/>
    <w:rsid w:val="002A29B2"/>
    <w:rsid w:val="002A29B5"/>
    <w:rsid w:val="002A37AE"/>
    <w:rsid w:val="002A3948"/>
    <w:rsid w:val="002A6668"/>
    <w:rsid w:val="002A6678"/>
    <w:rsid w:val="002B1E7B"/>
    <w:rsid w:val="002B4F9B"/>
    <w:rsid w:val="002B701B"/>
    <w:rsid w:val="002B7F62"/>
    <w:rsid w:val="002C1078"/>
    <w:rsid w:val="002C2000"/>
    <w:rsid w:val="002C2290"/>
    <w:rsid w:val="002C2C39"/>
    <w:rsid w:val="002C3640"/>
    <w:rsid w:val="002C4B55"/>
    <w:rsid w:val="002C63D8"/>
    <w:rsid w:val="002C7780"/>
    <w:rsid w:val="002D1CD5"/>
    <w:rsid w:val="002D372C"/>
    <w:rsid w:val="002D54DC"/>
    <w:rsid w:val="002D5EEB"/>
    <w:rsid w:val="002D658C"/>
    <w:rsid w:val="002E18D7"/>
    <w:rsid w:val="002E1970"/>
    <w:rsid w:val="002E35CE"/>
    <w:rsid w:val="002E4188"/>
    <w:rsid w:val="002E6901"/>
    <w:rsid w:val="002E6BB4"/>
    <w:rsid w:val="002F023A"/>
    <w:rsid w:val="002F06E5"/>
    <w:rsid w:val="002F06EE"/>
    <w:rsid w:val="002F0D14"/>
    <w:rsid w:val="002F17C3"/>
    <w:rsid w:val="002F5091"/>
    <w:rsid w:val="002F6DC5"/>
    <w:rsid w:val="00300D43"/>
    <w:rsid w:val="003015ED"/>
    <w:rsid w:val="0030371C"/>
    <w:rsid w:val="0030460F"/>
    <w:rsid w:val="00304A60"/>
    <w:rsid w:val="00305017"/>
    <w:rsid w:val="00305A2C"/>
    <w:rsid w:val="0030681D"/>
    <w:rsid w:val="00306D2E"/>
    <w:rsid w:val="003076BF"/>
    <w:rsid w:val="0031020C"/>
    <w:rsid w:val="003102FD"/>
    <w:rsid w:val="00310EB1"/>
    <w:rsid w:val="0031393D"/>
    <w:rsid w:val="0031528F"/>
    <w:rsid w:val="00315DFB"/>
    <w:rsid w:val="00316308"/>
    <w:rsid w:val="003167A6"/>
    <w:rsid w:val="00317712"/>
    <w:rsid w:val="00317952"/>
    <w:rsid w:val="00317EFF"/>
    <w:rsid w:val="00321BB0"/>
    <w:rsid w:val="0032261E"/>
    <w:rsid w:val="00323497"/>
    <w:rsid w:val="003238FD"/>
    <w:rsid w:val="003274FA"/>
    <w:rsid w:val="003277B8"/>
    <w:rsid w:val="00330DB5"/>
    <w:rsid w:val="003324BB"/>
    <w:rsid w:val="00332636"/>
    <w:rsid w:val="003330CA"/>
    <w:rsid w:val="003334D7"/>
    <w:rsid w:val="00334966"/>
    <w:rsid w:val="00334EC4"/>
    <w:rsid w:val="00335ADF"/>
    <w:rsid w:val="00336EC9"/>
    <w:rsid w:val="003411A7"/>
    <w:rsid w:val="00344188"/>
    <w:rsid w:val="003458A7"/>
    <w:rsid w:val="003470BA"/>
    <w:rsid w:val="0034742D"/>
    <w:rsid w:val="00351B1B"/>
    <w:rsid w:val="00353A1E"/>
    <w:rsid w:val="003542D1"/>
    <w:rsid w:val="00356709"/>
    <w:rsid w:val="00357130"/>
    <w:rsid w:val="00357E9B"/>
    <w:rsid w:val="003600E9"/>
    <w:rsid w:val="00360908"/>
    <w:rsid w:val="00360D21"/>
    <w:rsid w:val="00363136"/>
    <w:rsid w:val="0036377E"/>
    <w:rsid w:val="003644E5"/>
    <w:rsid w:val="00364D72"/>
    <w:rsid w:val="00364F68"/>
    <w:rsid w:val="003675A3"/>
    <w:rsid w:val="00367D16"/>
    <w:rsid w:val="0037130E"/>
    <w:rsid w:val="00371F7D"/>
    <w:rsid w:val="003734FB"/>
    <w:rsid w:val="00373A52"/>
    <w:rsid w:val="00373BD5"/>
    <w:rsid w:val="0037435A"/>
    <w:rsid w:val="00374F15"/>
    <w:rsid w:val="003754B8"/>
    <w:rsid w:val="00375A80"/>
    <w:rsid w:val="00376E89"/>
    <w:rsid w:val="00380889"/>
    <w:rsid w:val="00381890"/>
    <w:rsid w:val="00383DAE"/>
    <w:rsid w:val="00384EE0"/>
    <w:rsid w:val="0038557E"/>
    <w:rsid w:val="00385C47"/>
    <w:rsid w:val="0038676A"/>
    <w:rsid w:val="00386792"/>
    <w:rsid w:val="00386C02"/>
    <w:rsid w:val="003871DF"/>
    <w:rsid w:val="003872CB"/>
    <w:rsid w:val="00387DBB"/>
    <w:rsid w:val="00387FBE"/>
    <w:rsid w:val="003907B3"/>
    <w:rsid w:val="003938C9"/>
    <w:rsid w:val="00394CA0"/>
    <w:rsid w:val="00394D62"/>
    <w:rsid w:val="003956A9"/>
    <w:rsid w:val="003A1346"/>
    <w:rsid w:val="003A2018"/>
    <w:rsid w:val="003A3B63"/>
    <w:rsid w:val="003A665A"/>
    <w:rsid w:val="003A7648"/>
    <w:rsid w:val="003B0DA9"/>
    <w:rsid w:val="003B1F10"/>
    <w:rsid w:val="003B2292"/>
    <w:rsid w:val="003B23A0"/>
    <w:rsid w:val="003B63F3"/>
    <w:rsid w:val="003B7679"/>
    <w:rsid w:val="003C18C7"/>
    <w:rsid w:val="003C1A3E"/>
    <w:rsid w:val="003C2042"/>
    <w:rsid w:val="003C2CDB"/>
    <w:rsid w:val="003C649B"/>
    <w:rsid w:val="003C6A81"/>
    <w:rsid w:val="003C6BB3"/>
    <w:rsid w:val="003C6CBA"/>
    <w:rsid w:val="003D0834"/>
    <w:rsid w:val="003D125E"/>
    <w:rsid w:val="003D1485"/>
    <w:rsid w:val="003D1B26"/>
    <w:rsid w:val="003D2A52"/>
    <w:rsid w:val="003D314A"/>
    <w:rsid w:val="003D434C"/>
    <w:rsid w:val="003D63CE"/>
    <w:rsid w:val="003D7B77"/>
    <w:rsid w:val="003E3009"/>
    <w:rsid w:val="003E31D0"/>
    <w:rsid w:val="003E745F"/>
    <w:rsid w:val="003F58F6"/>
    <w:rsid w:val="003F6AF7"/>
    <w:rsid w:val="004013DD"/>
    <w:rsid w:val="0040271B"/>
    <w:rsid w:val="004059BA"/>
    <w:rsid w:val="004059CA"/>
    <w:rsid w:val="0040662E"/>
    <w:rsid w:val="00406876"/>
    <w:rsid w:val="00407CF1"/>
    <w:rsid w:val="004139FA"/>
    <w:rsid w:val="00415163"/>
    <w:rsid w:val="00415ECF"/>
    <w:rsid w:val="00421271"/>
    <w:rsid w:val="004212BD"/>
    <w:rsid w:val="004218FD"/>
    <w:rsid w:val="00422486"/>
    <w:rsid w:val="00423B29"/>
    <w:rsid w:val="004254C1"/>
    <w:rsid w:val="00425A04"/>
    <w:rsid w:val="00425C2E"/>
    <w:rsid w:val="00426929"/>
    <w:rsid w:val="00430B23"/>
    <w:rsid w:val="00432023"/>
    <w:rsid w:val="00432319"/>
    <w:rsid w:val="00436D0D"/>
    <w:rsid w:val="00441973"/>
    <w:rsid w:val="0044287B"/>
    <w:rsid w:val="00443DB8"/>
    <w:rsid w:val="00444E2F"/>
    <w:rsid w:val="004459A7"/>
    <w:rsid w:val="00446DE1"/>
    <w:rsid w:val="004500EF"/>
    <w:rsid w:val="004528D1"/>
    <w:rsid w:val="0045405D"/>
    <w:rsid w:val="00454B3D"/>
    <w:rsid w:val="00454E98"/>
    <w:rsid w:val="00455A34"/>
    <w:rsid w:val="00455CC5"/>
    <w:rsid w:val="00456295"/>
    <w:rsid w:val="00460191"/>
    <w:rsid w:val="004607E1"/>
    <w:rsid w:val="00461B1D"/>
    <w:rsid w:val="00463315"/>
    <w:rsid w:val="0046608D"/>
    <w:rsid w:val="00466CE9"/>
    <w:rsid w:val="00467EBE"/>
    <w:rsid w:val="00471D3C"/>
    <w:rsid w:val="00471F84"/>
    <w:rsid w:val="00472EB7"/>
    <w:rsid w:val="00474834"/>
    <w:rsid w:val="00474C4F"/>
    <w:rsid w:val="00475D74"/>
    <w:rsid w:val="004807BD"/>
    <w:rsid w:val="00482850"/>
    <w:rsid w:val="00483034"/>
    <w:rsid w:val="00483155"/>
    <w:rsid w:val="00483D23"/>
    <w:rsid w:val="00484648"/>
    <w:rsid w:val="00484A20"/>
    <w:rsid w:val="004852F7"/>
    <w:rsid w:val="004855BB"/>
    <w:rsid w:val="00485D15"/>
    <w:rsid w:val="00486646"/>
    <w:rsid w:val="00486E44"/>
    <w:rsid w:val="00490178"/>
    <w:rsid w:val="004907CF"/>
    <w:rsid w:val="004929E3"/>
    <w:rsid w:val="00492EB3"/>
    <w:rsid w:val="0049434E"/>
    <w:rsid w:val="00497F11"/>
    <w:rsid w:val="004A3AC8"/>
    <w:rsid w:val="004A6D62"/>
    <w:rsid w:val="004A715C"/>
    <w:rsid w:val="004B38EA"/>
    <w:rsid w:val="004B46BF"/>
    <w:rsid w:val="004B5325"/>
    <w:rsid w:val="004C2C9A"/>
    <w:rsid w:val="004C36CA"/>
    <w:rsid w:val="004C6308"/>
    <w:rsid w:val="004C6C50"/>
    <w:rsid w:val="004C7A08"/>
    <w:rsid w:val="004C7CF1"/>
    <w:rsid w:val="004C7F7B"/>
    <w:rsid w:val="004D1F83"/>
    <w:rsid w:val="004D2F60"/>
    <w:rsid w:val="004D566F"/>
    <w:rsid w:val="004D6DDE"/>
    <w:rsid w:val="004E0BC0"/>
    <w:rsid w:val="004E0BE4"/>
    <w:rsid w:val="004E19F3"/>
    <w:rsid w:val="004E23FF"/>
    <w:rsid w:val="004E337D"/>
    <w:rsid w:val="004E3F18"/>
    <w:rsid w:val="004E4A46"/>
    <w:rsid w:val="004E4B01"/>
    <w:rsid w:val="004E4C24"/>
    <w:rsid w:val="004E4CA8"/>
    <w:rsid w:val="004E6452"/>
    <w:rsid w:val="004E66B1"/>
    <w:rsid w:val="004E6CC1"/>
    <w:rsid w:val="004E7BD7"/>
    <w:rsid w:val="004F0407"/>
    <w:rsid w:val="004F2108"/>
    <w:rsid w:val="004F46E3"/>
    <w:rsid w:val="004F480B"/>
    <w:rsid w:val="00500E36"/>
    <w:rsid w:val="0050176F"/>
    <w:rsid w:val="00503256"/>
    <w:rsid w:val="00503486"/>
    <w:rsid w:val="0050371C"/>
    <w:rsid w:val="00503DD7"/>
    <w:rsid w:val="00505867"/>
    <w:rsid w:val="00506012"/>
    <w:rsid w:val="00506495"/>
    <w:rsid w:val="00506DDE"/>
    <w:rsid w:val="0051071C"/>
    <w:rsid w:val="005126D6"/>
    <w:rsid w:val="00514010"/>
    <w:rsid w:val="005149FB"/>
    <w:rsid w:val="00514A5A"/>
    <w:rsid w:val="0051523F"/>
    <w:rsid w:val="0051539C"/>
    <w:rsid w:val="0051575F"/>
    <w:rsid w:val="00516C90"/>
    <w:rsid w:val="005236B9"/>
    <w:rsid w:val="0052406C"/>
    <w:rsid w:val="00525394"/>
    <w:rsid w:val="0052610F"/>
    <w:rsid w:val="00526537"/>
    <w:rsid w:val="005279D1"/>
    <w:rsid w:val="00527C29"/>
    <w:rsid w:val="00527C4C"/>
    <w:rsid w:val="00530E73"/>
    <w:rsid w:val="0053235F"/>
    <w:rsid w:val="00534BD2"/>
    <w:rsid w:val="00537E98"/>
    <w:rsid w:val="0054382E"/>
    <w:rsid w:val="005469C1"/>
    <w:rsid w:val="00547FE8"/>
    <w:rsid w:val="005516D6"/>
    <w:rsid w:val="00551D57"/>
    <w:rsid w:val="00551FBC"/>
    <w:rsid w:val="005556FC"/>
    <w:rsid w:val="0055604E"/>
    <w:rsid w:val="00560071"/>
    <w:rsid w:val="00560E75"/>
    <w:rsid w:val="00561E5F"/>
    <w:rsid w:val="005625F5"/>
    <w:rsid w:val="005629B3"/>
    <w:rsid w:val="005637FC"/>
    <w:rsid w:val="00564ED2"/>
    <w:rsid w:val="00566BFB"/>
    <w:rsid w:val="0056791B"/>
    <w:rsid w:val="00570F73"/>
    <w:rsid w:val="00571C4F"/>
    <w:rsid w:val="005732B5"/>
    <w:rsid w:val="005746D5"/>
    <w:rsid w:val="00576DD1"/>
    <w:rsid w:val="00581028"/>
    <w:rsid w:val="0058177D"/>
    <w:rsid w:val="00582AB4"/>
    <w:rsid w:val="00583BB8"/>
    <w:rsid w:val="00584D08"/>
    <w:rsid w:val="0058552A"/>
    <w:rsid w:val="00585DA3"/>
    <w:rsid w:val="005866D5"/>
    <w:rsid w:val="005956C6"/>
    <w:rsid w:val="00595803"/>
    <w:rsid w:val="005A043F"/>
    <w:rsid w:val="005A1152"/>
    <w:rsid w:val="005A3205"/>
    <w:rsid w:val="005A346D"/>
    <w:rsid w:val="005A7F94"/>
    <w:rsid w:val="005B0C93"/>
    <w:rsid w:val="005B12CE"/>
    <w:rsid w:val="005B2476"/>
    <w:rsid w:val="005B3DA7"/>
    <w:rsid w:val="005B40AA"/>
    <w:rsid w:val="005B4CB4"/>
    <w:rsid w:val="005B6327"/>
    <w:rsid w:val="005C1EE9"/>
    <w:rsid w:val="005C2148"/>
    <w:rsid w:val="005C2A1D"/>
    <w:rsid w:val="005C2E1A"/>
    <w:rsid w:val="005C2FE8"/>
    <w:rsid w:val="005C34DB"/>
    <w:rsid w:val="005C44E2"/>
    <w:rsid w:val="005C4BCA"/>
    <w:rsid w:val="005C4EA7"/>
    <w:rsid w:val="005C5756"/>
    <w:rsid w:val="005C7AB7"/>
    <w:rsid w:val="005C7BF4"/>
    <w:rsid w:val="005D04D5"/>
    <w:rsid w:val="005D2D1E"/>
    <w:rsid w:val="005D3377"/>
    <w:rsid w:val="005D4559"/>
    <w:rsid w:val="005E02DE"/>
    <w:rsid w:val="005E0944"/>
    <w:rsid w:val="005E0E29"/>
    <w:rsid w:val="005E14C5"/>
    <w:rsid w:val="005E2C3A"/>
    <w:rsid w:val="005E3970"/>
    <w:rsid w:val="005E3AFE"/>
    <w:rsid w:val="005E3F0F"/>
    <w:rsid w:val="005E5345"/>
    <w:rsid w:val="005E6837"/>
    <w:rsid w:val="005E7063"/>
    <w:rsid w:val="005F1252"/>
    <w:rsid w:val="005F1514"/>
    <w:rsid w:val="005F188B"/>
    <w:rsid w:val="005F36C5"/>
    <w:rsid w:val="005F44BF"/>
    <w:rsid w:val="005F5145"/>
    <w:rsid w:val="00600250"/>
    <w:rsid w:val="0060496F"/>
    <w:rsid w:val="00606493"/>
    <w:rsid w:val="006073E5"/>
    <w:rsid w:val="006079B7"/>
    <w:rsid w:val="00607ED9"/>
    <w:rsid w:val="00610AAB"/>
    <w:rsid w:val="00611A93"/>
    <w:rsid w:val="0061289E"/>
    <w:rsid w:val="006128A5"/>
    <w:rsid w:val="00612FBB"/>
    <w:rsid w:val="006150C6"/>
    <w:rsid w:val="00617178"/>
    <w:rsid w:val="006218EC"/>
    <w:rsid w:val="006237DE"/>
    <w:rsid w:val="0062380A"/>
    <w:rsid w:val="00624931"/>
    <w:rsid w:val="0062667D"/>
    <w:rsid w:val="00627156"/>
    <w:rsid w:val="00627EA3"/>
    <w:rsid w:val="00632405"/>
    <w:rsid w:val="00632B60"/>
    <w:rsid w:val="0063386E"/>
    <w:rsid w:val="00634238"/>
    <w:rsid w:val="00634A3C"/>
    <w:rsid w:val="00635D89"/>
    <w:rsid w:val="00640011"/>
    <w:rsid w:val="00641231"/>
    <w:rsid w:val="00644F6D"/>
    <w:rsid w:val="006464E3"/>
    <w:rsid w:val="0064754B"/>
    <w:rsid w:val="00652499"/>
    <w:rsid w:val="00652C1E"/>
    <w:rsid w:val="00653609"/>
    <w:rsid w:val="00654459"/>
    <w:rsid w:val="006547B3"/>
    <w:rsid w:val="00655087"/>
    <w:rsid w:val="00655EF1"/>
    <w:rsid w:val="00656D84"/>
    <w:rsid w:val="0065768F"/>
    <w:rsid w:val="00660FBA"/>
    <w:rsid w:val="006644E1"/>
    <w:rsid w:val="0066534D"/>
    <w:rsid w:val="0066548A"/>
    <w:rsid w:val="006654B1"/>
    <w:rsid w:val="0066602C"/>
    <w:rsid w:val="00671556"/>
    <w:rsid w:val="00671BCC"/>
    <w:rsid w:val="00672516"/>
    <w:rsid w:val="00673B59"/>
    <w:rsid w:val="00673C1C"/>
    <w:rsid w:val="0067439E"/>
    <w:rsid w:val="006747C2"/>
    <w:rsid w:val="00675C42"/>
    <w:rsid w:val="00681B5F"/>
    <w:rsid w:val="006901CF"/>
    <w:rsid w:val="00693549"/>
    <w:rsid w:val="00693E81"/>
    <w:rsid w:val="00695904"/>
    <w:rsid w:val="0069684D"/>
    <w:rsid w:val="006973FE"/>
    <w:rsid w:val="006A350D"/>
    <w:rsid w:val="006A48AE"/>
    <w:rsid w:val="006A5DFA"/>
    <w:rsid w:val="006A6F6C"/>
    <w:rsid w:val="006B0B72"/>
    <w:rsid w:val="006B1016"/>
    <w:rsid w:val="006B21AF"/>
    <w:rsid w:val="006B4F49"/>
    <w:rsid w:val="006B53E8"/>
    <w:rsid w:val="006B67F6"/>
    <w:rsid w:val="006B7D62"/>
    <w:rsid w:val="006C1FC5"/>
    <w:rsid w:val="006C22D3"/>
    <w:rsid w:val="006C258C"/>
    <w:rsid w:val="006C27C9"/>
    <w:rsid w:val="006C344F"/>
    <w:rsid w:val="006C56B0"/>
    <w:rsid w:val="006D585A"/>
    <w:rsid w:val="006D5B3D"/>
    <w:rsid w:val="006D5F9A"/>
    <w:rsid w:val="006D7311"/>
    <w:rsid w:val="006D7C46"/>
    <w:rsid w:val="006E0A11"/>
    <w:rsid w:val="006E12F0"/>
    <w:rsid w:val="006E1F01"/>
    <w:rsid w:val="006E799A"/>
    <w:rsid w:val="006F298B"/>
    <w:rsid w:val="006F48B4"/>
    <w:rsid w:val="006F4C01"/>
    <w:rsid w:val="006F61EB"/>
    <w:rsid w:val="006F77C6"/>
    <w:rsid w:val="00700BDA"/>
    <w:rsid w:val="0070116B"/>
    <w:rsid w:val="0070146C"/>
    <w:rsid w:val="0070535B"/>
    <w:rsid w:val="00705AC6"/>
    <w:rsid w:val="00706BE7"/>
    <w:rsid w:val="00711A0C"/>
    <w:rsid w:val="007120FC"/>
    <w:rsid w:val="007127A7"/>
    <w:rsid w:val="00712B34"/>
    <w:rsid w:val="00713281"/>
    <w:rsid w:val="00715247"/>
    <w:rsid w:val="00715F2E"/>
    <w:rsid w:val="007176EF"/>
    <w:rsid w:val="00717EF6"/>
    <w:rsid w:val="007204F4"/>
    <w:rsid w:val="00720510"/>
    <w:rsid w:val="00721A25"/>
    <w:rsid w:val="00721E90"/>
    <w:rsid w:val="007245B1"/>
    <w:rsid w:val="0072468A"/>
    <w:rsid w:val="007252F4"/>
    <w:rsid w:val="00727288"/>
    <w:rsid w:val="00727E4C"/>
    <w:rsid w:val="00731E4D"/>
    <w:rsid w:val="00734512"/>
    <w:rsid w:val="00736A03"/>
    <w:rsid w:val="00737DCC"/>
    <w:rsid w:val="00740274"/>
    <w:rsid w:val="00741704"/>
    <w:rsid w:val="00743DF3"/>
    <w:rsid w:val="007447BE"/>
    <w:rsid w:val="0074506A"/>
    <w:rsid w:val="0074519E"/>
    <w:rsid w:val="00745287"/>
    <w:rsid w:val="007478BA"/>
    <w:rsid w:val="007520D6"/>
    <w:rsid w:val="00752921"/>
    <w:rsid w:val="00755005"/>
    <w:rsid w:val="00755AC9"/>
    <w:rsid w:val="00755D29"/>
    <w:rsid w:val="00757932"/>
    <w:rsid w:val="00760D5C"/>
    <w:rsid w:val="00762926"/>
    <w:rsid w:val="007633FD"/>
    <w:rsid w:val="00763F48"/>
    <w:rsid w:val="0076407F"/>
    <w:rsid w:val="00772541"/>
    <w:rsid w:val="00772C86"/>
    <w:rsid w:val="0077394F"/>
    <w:rsid w:val="0077401B"/>
    <w:rsid w:val="00774F1D"/>
    <w:rsid w:val="007756AF"/>
    <w:rsid w:val="0077578A"/>
    <w:rsid w:val="00776B84"/>
    <w:rsid w:val="007810D1"/>
    <w:rsid w:val="00781126"/>
    <w:rsid w:val="007828E2"/>
    <w:rsid w:val="00782C8E"/>
    <w:rsid w:val="00783EF4"/>
    <w:rsid w:val="00785887"/>
    <w:rsid w:val="00786782"/>
    <w:rsid w:val="00791C67"/>
    <w:rsid w:val="00792F57"/>
    <w:rsid w:val="007A15C2"/>
    <w:rsid w:val="007A6983"/>
    <w:rsid w:val="007A69D3"/>
    <w:rsid w:val="007A6F45"/>
    <w:rsid w:val="007B06B0"/>
    <w:rsid w:val="007B2942"/>
    <w:rsid w:val="007B3601"/>
    <w:rsid w:val="007B38A9"/>
    <w:rsid w:val="007B41A0"/>
    <w:rsid w:val="007B6C6F"/>
    <w:rsid w:val="007B7910"/>
    <w:rsid w:val="007C16E9"/>
    <w:rsid w:val="007C3308"/>
    <w:rsid w:val="007C3377"/>
    <w:rsid w:val="007C33D7"/>
    <w:rsid w:val="007C3CE4"/>
    <w:rsid w:val="007D000D"/>
    <w:rsid w:val="007D0663"/>
    <w:rsid w:val="007D0890"/>
    <w:rsid w:val="007D1D49"/>
    <w:rsid w:val="007D2889"/>
    <w:rsid w:val="007D2D9B"/>
    <w:rsid w:val="007D35E1"/>
    <w:rsid w:val="007D469D"/>
    <w:rsid w:val="007D6703"/>
    <w:rsid w:val="007D6E8B"/>
    <w:rsid w:val="007E2ED0"/>
    <w:rsid w:val="007E3616"/>
    <w:rsid w:val="007E3842"/>
    <w:rsid w:val="007E4C05"/>
    <w:rsid w:val="007E4D63"/>
    <w:rsid w:val="007F00C3"/>
    <w:rsid w:val="007F1E03"/>
    <w:rsid w:val="007F3965"/>
    <w:rsid w:val="007F4117"/>
    <w:rsid w:val="007F4391"/>
    <w:rsid w:val="007F7807"/>
    <w:rsid w:val="007F7F0A"/>
    <w:rsid w:val="00800090"/>
    <w:rsid w:val="0080196D"/>
    <w:rsid w:val="00802770"/>
    <w:rsid w:val="00802F0D"/>
    <w:rsid w:val="00804DAB"/>
    <w:rsid w:val="00804F29"/>
    <w:rsid w:val="00805C17"/>
    <w:rsid w:val="0080767D"/>
    <w:rsid w:val="0081077B"/>
    <w:rsid w:val="00810C29"/>
    <w:rsid w:val="0081132F"/>
    <w:rsid w:val="00815AC0"/>
    <w:rsid w:val="00821951"/>
    <w:rsid w:val="0082315A"/>
    <w:rsid w:val="008231CD"/>
    <w:rsid w:val="00825A79"/>
    <w:rsid w:val="00826F24"/>
    <w:rsid w:val="00827884"/>
    <w:rsid w:val="008309AA"/>
    <w:rsid w:val="0083199B"/>
    <w:rsid w:val="008354FB"/>
    <w:rsid w:val="008359D5"/>
    <w:rsid w:val="00841964"/>
    <w:rsid w:val="008439E5"/>
    <w:rsid w:val="00843EB6"/>
    <w:rsid w:val="00845855"/>
    <w:rsid w:val="00845DB1"/>
    <w:rsid w:val="0084691C"/>
    <w:rsid w:val="008472FA"/>
    <w:rsid w:val="00847497"/>
    <w:rsid w:val="00850E6F"/>
    <w:rsid w:val="0086093F"/>
    <w:rsid w:val="00861364"/>
    <w:rsid w:val="00863BD9"/>
    <w:rsid w:val="0087019E"/>
    <w:rsid w:val="00870DD6"/>
    <w:rsid w:val="00872889"/>
    <w:rsid w:val="008732F0"/>
    <w:rsid w:val="008748A1"/>
    <w:rsid w:val="00874FB8"/>
    <w:rsid w:val="00876493"/>
    <w:rsid w:val="008771B0"/>
    <w:rsid w:val="00882CCB"/>
    <w:rsid w:val="008838FA"/>
    <w:rsid w:val="00884F67"/>
    <w:rsid w:val="00885BDD"/>
    <w:rsid w:val="00890653"/>
    <w:rsid w:val="00890AF7"/>
    <w:rsid w:val="00892665"/>
    <w:rsid w:val="00896B4C"/>
    <w:rsid w:val="00896BCE"/>
    <w:rsid w:val="008A0907"/>
    <w:rsid w:val="008A1885"/>
    <w:rsid w:val="008A5FED"/>
    <w:rsid w:val="008A6E3B"/>
    <w:rsid w:val="008A7DEE"/>
    <w:rsid w:val="008B0560"/>
    <w:rsid w:val="008B0E38"/>
    <w:rsid w:val="008B6CF7"/>
    <w:rsid w:val="008B72E2"/>
    <w:rsid w:val="008C2E42"/>
    <w:rsid w:val="008C336F"/>
    <w:rsid w:val="008C3C96"/>
    <w:rsid w:val="008C45B3"/>
    <w:rsid w:val="008C4612"/>
    <w:rsid w:val="008C64BA"/>
    <w:rsid w:val="008C7171"/>
    <w:rsid w:val="008D6E59"/>
    <w:rsid w:val="008E0774"/>
    <w:rsid w:val="008E0B7A"/>
    <w:rsid w:val="008E12BD"/>
    <w:rsid w:val="008E2F31"/>
    <w:rsid w:val="008E3EA6"/>
    <w:rsid w:val="008E47AF"/>
    <w:rsid w:val="008E5D92"/>
    <w:rsid w:val="008E67C8"/>
    <w:rsid w:val="008E7BEB"/>
    <w:rsid w:val="008F20A8"/>
    <w:rsid w:val="008F24AF"/>
    <w:rsid w:val="008F2DFD"/>
    <w:rsid w:val="008F4A99"/>
    <w:rsid w:val="008F69CE"/>
    <w:rsid w:val="00900E37"/>
    <w:rsid w:val="0090150C"/>
    <w:rsid w:val="0090155B"/>
    <w:rsid w:val="00903745"/>
    <w:rsid w:val="00903E8D"/>
    <w:rsid w:val="00903FF8"/>
    <w:rsid w:val="00904405"/>
    <w:rsid w:val="0090758D"/>
    <w:rsid w:val="009101DC"/>
    <w:rsid w:val="00910FD7"/>
    <w:rsid w:val="00911F9B"/>
    <w:rsid w:val="00913875"/>
    <w:rsid w:val="0091570C"/>
    <w:rsid w:val="00916D35"/>
    <w:rsid w:val="00917E20"/>
    <w:rsid w:val="00920EFF"/>
    <w:rsid w:val="00921523"/>
    <w:rsid w:val="00921FE8"/>
    <w:rsid w:val="009220AE"/>
    <w:rsid w:val="009254AB"/>
    <w:rsid w:val="00926E49"/>
    <w:rsid w:val="00927ED4"/>
    <w:rsid w:val="00931412"/>
    <w:rsid w:val="00936B0D"/>
    <w:rsid w:val="00936FA2"/>
    <w:rsid w:val="009370DF"/>
    <w:rsid w:val="009375AB"/>
    <w:rsid w:val="00940732"/>
    <w:rsid w:val="00941885"/>
    <w:rsid w:val="00941C6A"/>
    <w:rsid w:val="00941D2C"/>
    <w:rsid w:val="00944B8B"/>
    <w:rsid w:val="00944CD2"/>
    <w:rsid w:val="00947C00"/>
    <w:rsid w:val="009504C8"/>
    <w:rsid w:val="009508D0"/>
    <w:rsid w:val="00951247"/>
    <w:rsid w:val="00951FDE"/>
    <w:rsid w:val="009546DA"/>
    <w:rsid w:val="00954920"/>
    <w:rsid w:val="00954C1C"/>
    <w:rsid w:val="00955FAB"/>
    <w:rsid w:val="00956DAF"/>
    <w:rsid w:val="0095751B"/>
    <w:rsid w:val="009575AE"/>
    <w:rsid w:val="0096019B"/>
    <w:rsid w:val="00960637"/>
    <w:rsid w:val="009612DD"/>
    <w:rsid w:val="00961A57"/>
    <w:rsid w:val="009631A0"/>
    <w:rsid w:val="00963755"/>
    <w:rsid w:val="009637A8"/>
    <w:rsid w:val="00964EE0"/>
    <w:rsid w:val="00972780"/>
    <w:rsid w:val="00973362"/>
    <w:rsid w:val="00976D9F"/>
    <w:rsid w:val="009812AB"/>
    <w:rsid w:val="00981F6F"/>
    <w:rsid w:val="0098587F"/>
    <w:rsid w:val="00986DAE"/>
    <w:rsid w:val="009872A5"/>
    <w:rsid w:val="00990754"/>
    <w:rsid w:val="00991AAD"/>
    <w:rsid w:val="009963F3"/>
    <w:rsid w:val="00997302"/>
    <w:rsid w:val="00997B36"/>
    <w:rsid w:val="009A15BD"/>
    <w:rsid w:val="009A31F6"/>
    <w:rsid w:val="009A3D7A"/>
    <w:rsid w:val="009A57FA"/>
    <w:rsid w:val="009A596C"/>
    <w:rsid w:val="009A5FF0"/>
    <w:rsid w:val="009B082B"/>
    <w:rsid w:val="009B1475"/>
    <w:rsid w:val="009B2CC9"/>
    <w:rsid w:val="009B3A56"/>
    <w:rsid w:val="009B5321"/>
    <w:rsid w:val="009B62EA"/>
    <w:rsid w:val="009C206A"/>
    <w:rsid w:val="009C5701"/>
    <w:rsid w:val="009D18F1"/>
    <w:rsid w:val="009D252B"/>
    <w:rsid w:val="009D2866"/>
    <w:rsid w:val="009D4014"/>
    <w:rsid w:val="009D4336"/>
    <w:rsid w:val="009D4ECB"/>
    <w:rsid w:val="009D5A8F"/>
    <w:rsid w:val="009D5C6D"/>
    <w:rsid w:val="009D66D0"/>
    <w:rsid w:val="009D66E4"/>
    <w:rsid w:val="009E3308"/>
    <w:rsid w:val="009E3FE4"/>
    <w:rsid w:val="009E4FAC"/>
    <w:rsid w:val="009E5584"/>
    <w:rsid w:val="009E6209"/>
    <w:rsid w:val="009E76E3"/>
    <w:rsid w:val="009F24D9"/>
    <w:rsid w:val="009F2ED9"/>
    <w:rsid w:val="009F3E9F"/>
    <w:rsid w:val="009F5155"/>
    <w:rsid w:val="00A01297"/>
    <w:rsid w:val="00A01355"/>
    <w:rsid w:val="00A02A40"/>
    <w:rsid w:val="00A03D0E"/>
    <w:rsid w:val="00A0773C"/>
    <w:rsid w:val="00A10665"/>
    <w:rsid w:val="00A112CF"/>
    <w:rsid w:val="00A14588"/>
    <w:rsid w:val="00A15157"/>
    <w:rsid w:val="00A16A56"/>
    <w:rsid w:val="00A17365"/>
    <w:rsid w:val="00A178AD"/>
    <w:rsid w:val="00A17CD7"/>
    <w:rsid w:val="00A203E4"/>
    <w:rsid w:val="00A20FB0"/>
    <w:rsid w:val="00A2443A"/>
    <w:rsid w:val="00A2469D"/>
    <w:rsid w:val="00A24F78"/>
    <w:rsid w:val="00A25815"/>
    <w:rsid w:val="00A25FBF"/>
    <w:rsid w:val="00A262F0"/>
    <w:rsid w:val="00A26765"/>
    <w:rsid w:val="00A26A59"/>
    <w:rsid w:val="00A328E3"/>
    <w:rsid w:val="00A3367C"/>
    <w:rsid w:val="00A34517"/>
    <w:rsid w:val="00A37677"/>
    <w:rsid w:val="00A408DB"/>
    <w:rsid w:val="00A4196C"/>
    <w:rsid w:val="00A42550"/>
    <w:rsid w:val="00A42B01"/>
    <w:rsid w:val="00A44F61"/>
    <w:rsid w:val="00A46B0E"/>
    <w:rsid w:val="00A5025D"/>
    <w:rsid w:val="00A50EEB"/>
    <w:rsid w:val="00A5297C"/>
    <w:rsid w:val="00A554A2"/>
    <w:rsid w:val="00A55928"/>
    <w:rsid w:val="00A57CA3"/>
    <w:rsid w:val="00A61770"/>
    <w:rsid w:val="00A6299E"/>
    <w:rsid w:val="00A66BF6"/>
    <w:rsid w:val="00A66F85"/>
    <w:rsid w:val="00A706E5"/>
    <w:rsid w:val="00A71029"/>
    <w:rsid w:val="00A72F53"/>
    <w:rsid w:val="00A73084"/>
    <w:rsid w:val="00A74385"/>
    <w:rsid w:val="00A756B3"/>
    <w:rsid w:val="00A75A82"/>
    <w:rsid w:val="00A80A4F"/>
    <w:rsid w:val="00A81894"/>
    <w:rsid w:val="00A83F7B"/>
    <w:rsid w:val="00A844AF"/>
    <w:rsid w:val="00A87429"/>
    <w:rsid w:val="00A87C5B"/>
    <w:rsid w:val="00A9168F"/>
    <w:rsid w:val="00A936AA"/>
    <w:rsid w:val="00A93CF4"/>
    <w:rsid w:val="00A9489E"/>
    <w:rsid w:val="00A958A3"/>
    <w:rsid w:val="00A9591D"/>
    <w:rsid w:val="00A960CD"/>
    <w:rsid w:val="00AA12AA"/>
    <w:rsid w:val="00AA4289"/>
    <w:rsid w:val="00AA4ECA"/>
    <w:rsid w:val="00AA6F04"/>
    <w:rsid w:val="00AB19C1"/>
    <w:rsid w:val="00AB4BA3"/>
    <w:rsid w:val="00AB72CF"/>
    <w:rsid w:val="00AC3C74"/>
    <w:rsid w:val="00AC4424"/>
    <w:rsid w:val="00AC462F"/>
    <w:rsid w:val="00AC674D"/>
    <w:rsid w:val="00AD0378"/>
    <w:rsid w:val="00AD2DB7"/>
    <w:rsid w:val="00AD2FA4"/>
    <w:rsid w:val="00AD6CC1"/>
    <w:rsid w:val="00AD73D6"/>
    <w:rsid w:val="00AD76BD"/>
    <w:rsid w:val="00AE0202"/>
    <w:rsid w:val="00AE064B"/>
    <w:rsid w:val="00AE29BD"/>
    <w:rsid w:val="00AE2D0E"/>
    <w:rsid w:val="00AE2E48"/>
    <w:rsid w:val="00AE3065"/>
    <w:rsid w:val="00AE320C"/>
    <w:rsid w:val="00AE4DAA"/>
    <w:rsid w:val="00AE5512"/>
    <w:rsid w:val="00AE6227"/>
    <w:rsid w:val="00AF231B"/>
    <w:rsid w:val="00AF4632"/>
    <w:rsid w:val="00B0157A"/>
    <w:rsid w:val="00B02A1F"/>
    <w:rsid w:val="00B03E25"/>
    <w:rsid w:val="00B04DAB"/>
    <w:rsid w:val="00B06792"/>
    <w:rsid w:val="00B10505"/>
    <w:rsid w:val="00B105A6"/>
    <w:rsid w:val="00B12152"/>
    <w:rsid w:val="00B1245E"/>
    <w:rsid w:val="00B124EE"/>
    <w:rsid w:val="00B15BF8"/>
    <w:rsid w:val="00B16A99"/>
    <w:rsid w:val="00B179FA"/>
    <w:rsid w:val="00B211A7"/>
    <w:rsid w:val="00B21742"/>
    <w:rsid w:val="00B22264"/>
    <w:rsid w:val="00B233F4"/>
    <w:rsid w:val="00B2358D"/>
    <w:rsid w:val="00B23DAD"/>
    <w:rsid w:val="00B27BB9"/>
    <w:rsid w:val="00B3121C"/>
    <w:rsid w:val="00B320CE"/>
    <w:rsid w:val="00B33A8C"/>
    <w:rsid w:val="00B33B07"/>
    <w:rsid w:val="00B34602"/>
    <w:rsid w:val="00B4165A"/>
    <w:rsid w:val="00B44614"/>
    <w:rsid w:val="00B4741A"/>
    <w:rsid w:val="00B50BC9"/>
    <w:rsid w:val="00B515D1"/>
    <w:rsid w:val="00B5245C"/>
    <w:rsid w:val="00B535F3"/>
    <w:rsid w:val="00B53B1C"/>
    <w:rsid w:val="00B55780"/>
    <w:rsid w:val="00B56944"/>
    <w:rsid w:val="00B57C43"/>
    <w:rsid w:val="00B602B3"/>
    <w:rsid w:val="00B60DF2"/>
    <w:rsid w:val="00B651BE"/>
    <w:rsid w:val="00B66A25"/>
    <w:rsid w:val="00B7184F"/>
    <w:rsid w:val="00B71BBE"/>
    <w:rsid w:val="00B74A5B"/>
    <w:rsid w:val="00B74D22"/>
    <w:rsid w:val="00B80420"/>
    <w:rsid w:val="00B80A21"/>
    <w:rsid w:val="00B8218A"/>
    <w:rsid w:val="00B865F3"/>
    <w:rsid w:val="00B87EE7"/>
    <w:rsid w:val="00B9024D"/>
    <w:rsid w:val="00B919C8"/>
    <w:rsid w:val="00B924D4"/>
    <w:rsid w:val="00B92BF4"/>
    <w:rsid w:val="00B92D7B"/>
    <w:rsid w:val="00B93014"/>
    <w:rsid w:val="00B933AC"/>
    <w:rsid w:val="00B93BF0"/>
    <w:rsid w:val="00B94B5F"/>
    <w:rsid w:val="00B97948"/>
    <w:rsid w:val="00BA009E"/>
    <w:rsid w:val="00BA053B"/>
    <w:rsid w:val="00BA317C"/>
    <w:rsid w:val="00BA41EF"/>
    <w:rsid w:val="00BA492C"/>
    <w:rsid w:val="00BA7E00"/>
    <w:rsid w:val="00BB276A"/>
    <w:rsid w:val="00BB3072"/>
    <w:rsid w:val="00BB3DE5"/>
    <w:rsid w:val="00BB5590"/>
    <w:rsid w:val="00BB6934"/>
    <w:rsid w:val="00BC0819"/>
    <w:rsid w:val="00BC0D48"/>
    <w:rsid w:val="00BC1412"/>
    <w:rsid w:val="00BC3F49"/>
    <w:rsid w:val="00BC55FB"/>
    <w:rsid w:val="00BC65FD"/>
    <w:rsid w:val="00BC7D94"/>
    <w:rsid w:val="00BD0708"/>
    <w:rsid w:val="00BD125E"/>
    <w:rsid w:val="00BD1EF8"/>
    <w:rsid w:val="00BD4335"/>
    <w:rsid w:val="00BD76BE"/>
    <w:rsid w:val="00BE0B9F"/>
    <w:rsid w:val="00BE2F62"/>
    <w:rsid w:val="00BE68FD"/>
    <w:rsid w:val="00BE7684"/>
    <w:rsid w:val="00BF0475"/>
    <w:rsid w:val="00BF0907"/>
    <w:rsid w:val="00BF4366"/>
    <w:rsid w:val="00BF488E"/>
    <w:rsid w:val="00BF53DB"/>
    <w:rsid w:val="00BF741B"/>
    <w:rsid w:val="00C014B2"/>
    <w:rsid w:val="00C01555"/>
    <w:rsid w:val="00C02C94"/>
    <w:rsid w:val="00C0371C"/>
    <w:rsid w:val="00C05461"/>
    <w:rsid w:val="00C05618"/>
    <w:rsid w:val="00C05F5E"/>
    <w:rsid w:val="00C070D2"/>
    <w:rsid w:val="00C109D5"/>
    <w:rsid w:val="00C116E6"/>
    <w:rsid w:val="00C17126"/>
    <w:rsid w:val="00C1723C"/>
    <w:rsid w:val="00C20901"/>
    <w:rsid w:val="00C21185"/>
    <w:rsid w:val="00C22632"/>
    <w:rsid w:val="00C23A00"/>
    <w:rsid w:val="00C24E4D"/>
    <w:rsid w:val="00C26A6B"/>
    <w:rsid w:val="00C310A7"/>
    <w:rsid w:val="00C313E1"/>
    <w:rsid w:val="00C329D4"/>
    <w:rsid w:val="00C34E95"/>
    <w:rsid w:val="00C3539F"/>
    <w:rsid w:val="00C40D92"/>
    <w:rsid w:val="00C41299"/>
    <w:rsid w:val="00C431CF"/>
    <w:rsid w:val="00C4515D"/>
    <w:rsid w:val="00C45C93"/>
    <w:rsid w:val="00C46B5D"/>
    <w:rsid w:val="00C46F1A"/>
    <w:rsid w:val="00C47611"/>
    <w:rsid w:val="00C51414"/>
    <w:rsid w:val="00C519B6"/>
    <w:rsid w:val="00C56A22"/>
    <w:rsid w:val="00C57C49"/>
    <w:rsid w:val="00C617D5"/>
    <w:rsid w:val="00C621AB"/>
    <w:rsid w:val="00C62D8A"/>
    <w:rsid w:val="00C62E81"/>
    <w:rsid w:val="00C63108"/>
    <w:rsid w:val="00C6360D"/>
    <w:rsid w:val="00C637E7"/>
    <w:rsid w:val="00C67B52"/>
    <w:rsid w:val="00C712A5"/>
    <w:rsid w:val="00C715E2"/>
    <w:rsid w:val="00C74A28"/>
    <w:rsid w:val="00C74DBA"/>
    <w:rsid w:val="00C75DD6"/>
    <w:rsid w:val="00C76377"/>
    <w:rsid w:val="00C76434"/>
    <w:rsid w:val="00C7703C"/>
    <w:rsid w:val="00C8345A"/>
    <w:rsid w:val="00C86DF2"/>
    <w:rsid w:val="00C87750"/>
    <w:rsid w:val="00C91193"/>
    <w:rsid w:val="00C91212"/>
    <w:rsid w:val="00C92708"/>
    <w:rsid w:val="00C9284C"/>
    <w:rsid w:val="00C92EA1"/>
    <w:rsid w:val="00C931DB"/>
    <w:rsid w:val="00C96810"/>
    <w:rsid w:val="00C96D02"/>
    <w:rsid w:val="00CA0AB3"/>
    <w:rsid w:val="00CA1C7E"/>
    <w:rsid w:val="00CA48D6"/>
    <w:rsid w:val="00CA562C"/>
    <w:rsid w:val="00CA57C9"/>
    <w:rsid w:val="00CB496D"/>
    <w:rsid w:val="00CB5D75"/>
    <w:rsid w:val="00CB6FA3"/>
    <w:rsid w:val="00CC22F3"/>
    <w:rsid w:val="00CC2374"/>
    <w:rsid w:val="00CC52AD"/>
    <w:rsid w:val="00CC578F"/>
    <w:rsid w:val="00CC6CA3"/>
    <w:rsid w:val="00CC6EFB"/>
    <w:rsid w:val="00CD01D9"/>
    <w:rsid w:val="00CD2755"/>
    <w:rsid w:val="00CD2E8D"/>
    <w:rsid w:val="00CD4182"/>
    <w:rsid w:val="00CD4948"/>
    <w:rsid w:val="00CD525E"/>
    <w:rsid w:val="00CD615D"/>
    <w:rsid w:val="00CD6166"/>
    <w:rsid w:val="00CD6DA1"/>
    <w:rsid w:val="00CE108E"/>
    <w:rsid w:val="00CE13DC"/>
    <w:rsid w:val="00CE2FDE"/>
    <w:rsid w:val="00CE3B24"/>
    <w:rsid w:val="00CE5A28"/>
    <w:rsid w:val="00CE7280"/>
    <w:rsid w:val="00CF0A66"/>
    <w:rsid w:val="00CF0CC9"/>
    <w:rsid w:val="00CF272A"/>
    <w:rsid w:val="00CF31B2"/>
    <w:rsid w:val="00CF3259"/>
    <w:rsid w:val="00CF4336"/>
    <w:rsid w:val="00CF464B"/>
    <w:rsid w:val="00CF5A67"/>
    <w:rsid w:val="00CF6A5D"/>
    <w:rsid w:val="00CF735C"/>
    <w:rsid w:val="00CF7B0B"/>
    <w:rsid w:val="00D001A7"/>
    <w:rsid w:val="00D0249E"/>
    <w:rsid w:val="00D0324A"/>
    <w:rsid w:val="00D03C83"/>
    <w:rsid w:val="00D05094"/>
    <w:rsid w:val="00D05A24"/>
    <w:rsid w:val="00D05B9D"/>
    <w:rsid w:val="00D06387"/>
    <w:rsid w:val="00D078AF"/>
    <w:rsid w:val="00D07D5B"/>
    <w:rsid w:val="00D102FF"/>
    <w:rsid w:val="00D110B1"/>
    <w:rsid w:val="00D13ADD"/>
    <w:rsid w:val="00D1512C"/>
    <w:rsid w:val="00D17D50"/>
    <w:rsid w:val="00D21157"/>
    <w:rsid w:val="00D21FED"/>
    <w:rsid w:val="00D225F1"/>
    <w:rsid w:val="00D22684"/>
    <w:rsid w:val="00D24652"/>
    <w:rsid w:val="00D2762A"/>
    <w:rsid w:val="00D2783E"/>
    <w:rsid w:val="00D356E6"/>
    <w:rsid w:val="00D43564"/>
    <w:rsid w:val="00D43B80"/>
    <w:rsid w:val="00D447B9"/>
    <w:rsid w:val="00D45B1A"/>
    <w:rsid w:val="00D46922"/>
    <w:rsid w:val="00D46C64"/>
    <w:rsid w:val="00D50D32"/>
    <w:rsid w:val="00D52CE6"/>
    <w:rsid w:val="00D540B9"/>
    <w:rsid w:val="00D5540B"/>
    <w:rsid w:val="00D55E6F"/>
    <w:rsid w:val="00D562B6"/>
    <w:rsid w:val="00D57C5D"/>
    <w:rsid w:val="00D643B5"/>
    <w:rsid w:val="00D647FD"/>
    <w:rsid w:val="00D6519B"/>
    <w:rsid w:val="00D70D36"/>
    <w:rsid w:val="00D7395F"/>
    <w:rsid w:val="00D76DFB"/>
    <w:rsid w:val="00D80941"/>
    <w:rsid w:val="00D8111D"/>
    <w:rsid w:val="00D816F8"/>
    <w:rsid w:val="00D81746"/>
    <w:rsid w:val="00D845C3"/>
    <w:rsid w:val="00D84B87"/>
    <w:rsid w:val="00D84EE7"/>
    <w:rsid w:val="00D85B48"/>
    <w:rsid w:val="00D87602"/>
    <w:rsid w:val="00D90459"/>
    <w:rsid w:val="00D905CD"/>
    <w:rsid w:val="00D91924"/>
    <w:rsid w:val="00D93056"/>
    <w:rsid w:val="00D9348A"/>
    <w:rsid w:val="00D9414A"/>
    <w:rsid w:val="00D94850"/>
    <w:rsid w:val="00D96C10"/>
    <w:rsid w:val="00D97B31"/>
    <w:rsid w:val="00DA098C"/>
    <w:rsid w:val="00DA0BEC"/>
    <w:rsid w:val="00DA24E1"/>
    <w:rsid w:val="00DA427F"/>
    <w:rsid w:val="00DA5B2D"/>
    <w:rsid w:val="00DA6385"/>
    <w:rsid w:val="00DB1A44"/>
    <w:rsid w:val="00DB1B94"/>
    <w:rsid w:val="00DB2152"/>
    <w:rsid w:val="00DB2554"/>
    <w:rsid w:val="00DB552A"/>
    <w:rsid w:val="00DB5FA8"/>
    <w:rsid w:val="00DB660A"/>
    <w:rsid w:val="00DC18BA"/>
    <w:rsid w:val="00DC1FDA"/>
    <w:rsid w:val="00DC499A"/>
    <w:rsid w:val="00DC7128"/>
    <w:rsid w:val="00DC783D"/>
    <w:rsid w:val="00DD0223"/>
    <w:rsid w:val="00DD3494"/>
    <w:rsid w:val="00DD376E"/>
    <w:rsid w:val="00DD4C2D"/>
    <w:rsid w:val="00DD52EB"/>
    <w:rsid w:val="00DD633C"/>
    <w:rsid w:val="00DE055F"/>
    <w:rsid w:val="00DE2B4F"/>
    <w:rsid w:val="00DF011B"/>
    <w:rsid w:val="00DF01A2"/>
    <w:rsid w:val="00DF40CA"/>
    <w:rsid w:val="00DF43F2"/>
    <w:rsid w:val="00DF6FAA"/>
    <w:rsid w:val="00DF7DDA"/>
    <w:rsid w:val="00E052AE"/>
    <w:rsid w:val="00E06936"/>
    <w:rsid w:val="00E12B2A"/>
    <w:rsid w:val="00E12D07"/>
    <w:rsid w:val="00E14C53"/>
    <w:rsid w:val="00E151C4"/>
    <w:rsid w:val="00E162B1"/>
    <w:rsid w:val="00E1761C"/>
    <w:rsid w:val="00E17AFE"/>
    <w:rsid w:val="00E2009D"/>
    <w:rsid w:val="00E20258"/>
    <w:rsid w:val="00E21DE0"/>
    <w:rsid w:val="00E24332"/>
    <w:rsid w:val="00E25733"/>
    <w:rsid w:val="00E26D65"/>
    <w:rsid w:val="00E27641"/>
    <w:rsid w:val="00E31ADA"/>
    <w:rsid w:val="00E33681"/>
    <w:rsid w:val="00E341FE"/>
    <w:rsid w:val="00E35996"/>
    <w:rsid w:val="00E359E9"/>
    <w:rsid w:val="00E369E8"/>
    <w:rsid w:val="00E422E1"/>
    <w:rsid w:val="00E42E81"/>
    <w:rsid w:val="00E437DF"/>
    <w:rsid w:val="00E458AF"/>
    <w:rsid w:val="00E46D30"/>
    <w:rsid w:val="00E47F7E"/>
    <w:rsid w:val="00E51686"/>
    <w:rsid w:val="00E517B2"/>
    <w:rsid w:val="00E521FB"/>
    <w:rsid w:val="00E536D9"/>
    <w:rsid w:val="00E54342"/>
    <w:rsid w:val="00E55892"/>
    <w:rsid w:val="00E56F22"/>
    <w:rsid w:val="00E600D8"/>
    <w:rsid w:val="00E655C9"/>
    <w:rsid w:val="00E65C37"/>
    <w:rsid w:val="00E65F59"/>
    <w:rsid w:val="00E6679F"/>
    <w:rsid w:val="00E66C1E"/>
    <w:rsid w:val="00E67DC9"/>
    <w:rsid w:val="00E718C6"/>
    <w:rsid w:val="00E730A6"/>
    <w:rsid w:val="00E7376E"/>
    <w:rsid w:val="00E73AB2"/>
    <w:rsid w:val="00E743AE"/>
    <w:rsid w:val="00E77437"/>
    <w:rsid w:val="00E77BC2"/>
    <w:rsid w:val="00E77F22"/>
    <w:rsid w:val="00E81341"/>
    <w:rsid w:val="00E87CDC"/>
    <w:rsid w:val="00E91FA9"/>
    <w:rsid w:val="00E92436"/>
    <w:rsid w:val="00E93671"/>
    <w:rsid w:val="00E93699"/>
    <w:rsid w:val="00E93801"/>
    <w:rsid w:val="00E944E7"/>
    <w:rsid w:val="00E961BE"/>
    <w:rsid w:val="00E969F7"/>
    <w:rsid w:val="00EA00FE"/>
    <w:rsid w:val="00EA24B5"/>
    <w:rsid w:val="00EA3050"/>
    <w:rsid w:val="00EA6ED9"/>
    <w:rsid w:val="00EA7DBA"/>
    <w:rsid w:val="00EB2943"/>
    <w:rsid w:val="00EB4C40"/>
    <w:rsid w:val="00EB4D3C"/>
    <w:rsid w:val="00EB663D"/>
    <w:rsid w:val="00EB6E7F"/>
    <w:rsid w:val="00EB7AE1"/>
    <w:rsid w:val="00EC13BB"/>
    <w:rsid w:val="00EC203F"/>
    <w:rsid w:val="00EC2BFB"/>
    <w:rsid w:val="00EC305A"/>
    <w:rsid w:val="00EC378B"/>
    <w:rsid w:val="00EC59A7"/>
    <w:rsid w:val="00ED22B8"/>
    <w:rsid w:val="00ED3F11"/>
    <w:rsid w:val="00ED5F14"/>
    <w:rsid w:val="00EE0848"/>
    <w:rsid w:val="00EE31FD"/>
    <w:rsid w:val="00EE5D15"/>
    <w:rsid w:val="00EE6617"/>
    <w:rsid w:val="00EE6855"/>
    <w:rsid w:val="00EE6A52"/>
    <w:rsid w:val="00EF1436"/>
    <w:rsid w:val="00EF414F"/>
    <w:rsid w:val="00EF5401"/>
    <w:rsid w:val="00EF592A"/>
    <w:rsid w:val="00F04DE6"/>
    <w:rsid w:val="00F06ED6"/>
    <w:rsid w:val="00F0762D"/>
    <w:rsid w:val="00F1021E"/>
    <w:rsid w:val="00F11080"/>
    <w:rsid w:val="00F13D5C"/>
    <w:rsid w:val="00F1462D"/>
    <w:rsid w:val="00F17256"/>
    <w:rsid w:val="00F2095D"/>
    <w:rsid w:val="00F22959"/>
    <w:rsid w:val="00F25123"/>
    <w:rsid w:val="00F27AC1"/>
    <w:rsid w:val="00F27BEF"/>
    <w:rsid w:val="00F322F6"/>
    <w:rsid w:val="00F336AE"/>
    <w:rsid w:val="00F34DBC"/>
    <w:rsid w:val="00F354B4"/>
    <w:rsid w:val="00F3644E"/>
    <w:rsid w:val="00F36A0D"/>
    <w:rsid w:val="00F4022E"/>
    <w:rsid w:val="00F417CB"/>
    <w:rsid w:val="00F445ED"/>
    <w:rsid w:val="00F44B65"/>
    <w:rsid w:val="00F45155"/>
    <w:rsid w:val="00F46F58"/>
    <w:rsid w:val="00F47F00"/>
    <w:rsid w:val="00F535B4"/>
    <w:rsid w:val="00F538C0"/>
    <w:rsid w:val="00F555B5"/>
    <w:rsid w:val="00F57726"/>
    <w:rsid w:val="00F600BF"/>
    <w:rsid w:val="00F6155D"/>
    <w:rsid w:val="00F62722"/>
    <w:rsid w:val="00F63BF3"/>
    <w:rsid w:val="00F65BB1"/>
    <w:rsid w:val="00F70670"/>
    <w:rsid w:val="00F71FEE"/>
    <w:rsid w:val="00F732BC"/>
    <w:rsid w:val="00F734C3"/>
    <w:rsid w:val="00F73F39"/>
    <w:rsid w:val="00F740DE"/>
    <w:rsid w:val="00F74292"/>
    <w:rsid w:val="00F801CA"/>
    <w:rsid w:val="00F80A5A"/>
    <w:rsid w:val="00F81737"/>
    <w:rsid w:val="00F8396B"/>
    <w:rsid w:val="00F8527C"/>
    <w:rsid w:val="00F85CE0"/>
    <w:rsid w:val="00F8661D"/>
    <w:rsid w:val="00F86C07"/>
    <w:rsid w:val="00F9029E"/>
    <w:rsid w:val="00F91D52"/>
    <w:rsid w:val="00F9277A"/>
    <w:rsid w:val="00F93671"/>
    <w:rsid w:val="00F9404B"/>
    <w:rsid w:val="00F943EA"/>
    <w:rsid w:val="00F958B6"/>
    <w:rsid w:val="00FA01D7"/>
    <w:rsid w:val="00FA240D"/>
    <w:rsid w:val="00FA2F8C"/>
    <w:rsid w:val="00FA3E89"/>
    <w:rsid w:val="00FB0E54"/>
    <w:rsid w:val="00FB62EE"/>
    <w:rsid w:val="00FC41DE"/>
    <w:rsid w:val="00FC5412"/>
    <w:rsid w:val="00FC5BCA"/>
    <w:rsid w:val="00FC67ED"/>
    <w:rsid w:val="00FD026D"/>
    <w:rsid w:val="00FD055F"/>
    <w:rsid w:val="00FD098F"/>
    <w:rsid w:val="00FD0F42"/>
    <w:rsid w:val="00FD13ED"/>
    <w:rsid w:val="00FD13F2"/>
    <w:rsid w:val="00FD2539"/>
    <w:rsid w:val="00FD51DC"/>
    <w:rsid w:val="00FD6563"/>
    <w:rsid w:val="00FD77CA"/>
    <w:rsid w:val="00FE0EAD"/>
    <w:rsid w:val="00FE113F"/>
    <w:rsid w:val="00FE4021"/>
    <w:rsid w:val="00FE5624"/>
    <w:rsid w:val="00FE66EF"/>
    <w:rsid w:val="00FE75A7"/>
    <w:rsid w:val="00FE76BA"/>
    <w:rsid w:val="00FE77B7"/>
    <w:rsid w:val="00FE7852"/>
    <w:rsid w:val="00FF1C6E"/>
    <w:rsid w:val="00FF4B6E"/>
    <w:rsid w:val="00FF4FEA"/>
    <w:rsid w:val="00FF5E16"/>
    <w:rsid w:val="295DE9C3"/>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C7C28D3"/>
  <w15:docId w15:val="{E0D7EF3B-FAA1-914B-8E2D-1C5B8503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0"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4F4"/>
  </w:style>
  <w:style w:type="paragraph" w:styleId="Overskrift1">
    <w:name w:val="heading 1"/>
    <w:basedOn w:val="Normal"/>
    <w:next w:val="Normal"/>
    <w:link w:val="Overskrift1Tegn"/>
    <w:uiPriority w:val="1"/>
    <w:qFormat/>
    <w:rsid w:val="00207033"/>
    <w:pPr>
      <w:keepNext/>
      <w:keepLines/>
      <w:spacing w:before="720" w:after="120"/>
      <w:jc w:val="center"/>
      <w:outlineLvl w:val="0"/>
    </w:pPr>
    <w:rPr>
      <w:rFonts w:asciiTheme="majorHAnsi" w:eastAsiaTheme="majorEastAsia" w:hAnsiTheme="majorHAnsi" w:cstheme="majorBidi"/>
      <w:bCs/>
      <w:color w:val="983620" w:themeColor="accent2"/>
      <w:sz w:val="48"/>
      <w:szCs w:val="28"/>
    </w:rPr>
  </w:style>
  <w:style w:type="paragraph" w:styleId="Overskrift2">
    <w:name w:val="heading 2"/>
    <w:basedOn w:val="Normal"/>
    <w:next w:val="Normal"/>
    <w:link w:val="Overskrift2Tegn"/>
    <w:qFormat/>
    <w:rsid w:val="00FE76BA"/>
    <w:pPr>
      <w:keepNext/>
      <w:keepLines/>
      <w:pBdr>
        <w:bottom w:val="single" w:sz="2" w:space="14" w:color="BFBFBF" w:themeColor="background1" w:themeShade="BF"/>
      </w:pBdr>
      <w:spacing w:before="120"/>
      <w:jc w:val="center"/>
      <w:outlineLvl w:val="1"/>
    </w:pPr>
    <w:rPr>
      <w:rFonts w:ascii="Times New Roman" w:eastAsiaTheme="majorEastAsia" w:hAnsi="Times New Roman" w:cs="Times New Roman"/>
      <w:bCs/>
      <w:color w:val="000000" w:themeColor="text1"/>
      <w:sz w:val="28"/>
      <w:szCs w:val="26"/>
    </w:rPr>
  </w:style>
  <w:style w:type="paragraph" w:styleId="Overskrift3">
    <w:name w:val="heading 3"/>
    <w:basedOn w:val="Normal"/>
    <w:next w:val="Normal"/>
    <w:link w:val="Overskrift3Tegn"/>
    <w:autoRedefine/>
    <w:uiPriority w:val="1"/>
    <w:qFormat/>
    <w:rsid w:val="007447BE"/>
    <w:pPr>
      <w:keepNext/>
      <w:keepLines/>
      <w:spacing w:before="280" w:after="0" w:line="480" w:lineRule="auto"/>
      <w:jc w:val="both"/>
      <w:outlineLvl w:val="2"/>
    </w:pPr>
    <w:rPr>
      <w:rFonts w:ascii="Calisto MT" w:eastAsiaTheme="majorEastAsia" w:hAnsi="Calisto MT" w:cs="Times New Roman"/>
      <w:b/>
      <w:bCs/>
      <w:color w:val="000000" w:themeColor="text1"/>
      <w:lang w:val="en-GB"/>
    </w:rPr>
  </w:style>
  <w:style w:type="paragraph" w:styleId="Overskrift4">
    <w:name w:val="heading 4"/>
    <w:basedOn w:val="Normal"/>
    <w:next w:val="Normal"/>
    <w:link w:val="Overskrift4Tegn"/>
    <w:uiPriority w:val="1"/>
    <w:unhideWhenUsed/>
    <w:qFormat/>
    <w:rsid w:val="003907B3"/>
    <w:pPr>
      <w:keepNext/>
      <w:keepLines/>
      <w:spacing w:before="200" w:after="0"/>
      <w:outlineLvl w:val="3"/>
    </w:pPr>
    <w:rPr>
      <w:rFonts w:asciiTheme="majorHAnsi" w:eastAsiaTheme="majorEastAsia" w:hAnsiTheme="majorHAnsi" w:cstheme="majorBidi"/>
      <w:bCs/>
      <w:iCs/>
      <w:color w:val="4B5A60" w:themeColor="accent1"/>
      <w:lang w:val="en-GB"/>
    </w:rPr>
  </w:style>
  <w:style w:type="paragraph" w:styleId="Overskrift5">
    <w:name w:val="heading 5"/>
    <w:basedOn w:val="Normal"/>
    <w:next w:val="Normal"/>
    <w:link w:val="Overskrift5Tegn"/>
    <w:uiPriority w:val="1"/>
    <w:unhideWhenUsed/>
    <w:qFormat/>
    <w:rsid w:val="00D102FF"/>
    <w:pPr>
      <w:keepNext/>
      <w:keepLines/>
      <w:spacing w:before="200" w:after="0"/>
      <w:outlineLvl w:val="4"/>
    </w:pPr>
    <w:rPr>
      <w:rFonts w:asciiTheme="majorHAnsi" w:eastAsiaTheme="majorEastAsia" w:hAnsiTheme="majorHAnsi" w:cstheme="majorBidi"/>
      <w:color w:val="252C2F" w:themeColor="accent1" w:themeShade="7F"/>
    </w:rPr>
  </w:style>
  <w:style w:type="paragraph" w:styleId="Overskrift6">
    <w:name w:val="heading 6"/>
    <w:basedOn w:val="Normal"/>
    <w:next w:val="Normal"/>
    <w:link w:val="Overskrift6Tegn"/>
    <w:uiPriority w:val="1"/>
    <w:unhideWhenUsed/>
    <w:qFormat/>
    <w:rsid w:val="001B255D"/>
    <w:pPr>
      <w:keepNext/>
      <w:keepLines/>
      <w:spacing w:before="200" w:after="0"/>
      <w:outlineLvl w:val="5"/>
    </w:pPr>
    <w:rPr>
      <w:rFonts w:asciiTheme="majorHAnsi" w:eastAsiaTheme="majorEastAsia" w:hAnsiTheme="majorHAnsi" w:cstheme="majorBidi"/>
      <w:i/>
      <w:iCs/>
      <w:color w:val="252C2F" w:themeColor="accent1" w:themeShade="7F"/>
    </w:rPr>
  </w:style>
  <w:style w:type="paragraph" w:styleId="Overskrift7">
    <w:name w:val="heading 7"/>
    <w:basedOn w:val="Normal"/>
    <w:next w:val="Normal"/>
    <w:link w:val="Overskrift7Tegn"/>
    <w:uiPriority w:val="1"/>
    <w:semiHidden/>
    <w:unhideWhenUsed/>
    <w:qFormat/>
    <w:rsid w:val="001B255D"/>
    <w:pPr>
      <w:keepNext/>
      <w:keepLines/>
      <w:spacing w:before="200" w:after="0"/>
      <w:outlineLvl w:val="6"/>
    </w:pPr>
    <w:rPr>
      <w:rFonts w:asciiTheme="majorHAnsi" w:eastAsiaTheme="majorEastAsia" w:hAnsiTheme="majorHAnsi" w:cstheme="majorBidi"/>
      <w:iCs/>
      <w:color w:val="595959" w:themeColor="text1" w:themeTint="A6"/>
    </w:rPr>
  </w:style>
  <w:style w:type="paragraph" w:styleId="Overskrift8">
    <w:name w:val="heading 8"/>
    <w:basedOn w:val="Normal"/>
    <w:next w:val="Normal"/>
    <w:link w:val="Overskrift8Tegn"/>
    <w:uiPriority w:val="1"/>
    <w:semiHidden/>
    <w:unhideWhenUsed/>
    <w:qFormat/>
    <w:rsid w:val="001B255D"/>
    <w:pPr>
      <w:keepNext/>
      <w:keepLines/>
      <w:spacing w:before="200" w:after="0"/>
      <w:outlineLvl w:val="7"/>
    </w:pPr>
    <w:rPr>
      <w:rFonts w:asciiTheme="majorHAnsi" w:eastAsiaTheme="majorEastAsia" w:hAnsiTheme="majorHAnsi" w:cstheme="majorBidi"/>
      <w:color w:val="983620" w:themeColor="accent2"/>
      <w:sz w:val="20"/>
      <w:szCs w:val="20"/>
    </w:rPr>
  </w:style>
  <w:style w:type="paragraph" w:styleId="Overskrift9">
    <w:name w:val="heading 9"/>
    <w:basedOn w:val="Normal"/>
    <w:next w:val="Normal"/>
    <w:link w:val="Overskrift9Tegn"/>
    <w:uiPriority w:val="1"/>
    <w:semiHidden/>
    <w:unhideWhenUsed/>
    <w:qFormat/>
    <w:rsid w:val="001B255D"/>
    <w:pPr>
      <w:keepNext/>
      <w:keepLines/>
      <w:spacing w:before="200" w:after="0"/>
      <w:outlineLvl w:val="8"/>
    </w:pPr>
    <w:rPr>
      <w:rFonts w:asciiTheme="majorHAnsi" w:eastAsiaTheme="majorEastAsia" w:hAnsiTheme="majorHAnsi" w:cstheme="majorBidi"/>
      <w:iCs/>
      <w:color w:val="595959" w:themeColor="text1" w:themeTint="A6"/>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466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uiPriority w:val="1"/>
    <w:qFormat/>
    <w:rsid w:val="003411A7"/>
    <w:pPr>
      <w:spacing w:after="0" w:line="240" w:lineRule="auto"/>
    </w:pPr>
    <w:rPr>
      <w:sz w:val="12"/>
    </w:rPr>
  </w:style>
  <w:style w:type="paragraph" w:styleId="Markeringsbobletekst">
    <w:name w:val="Balloon Text"/>
    <w:basedOn w:val="Normal"/>
    <w:link w:val="MarkeringsbobletekstTegn"/>
    <w:uiPriority w:val="99"/>
    <w:semiHidden/>
    <w:unhideWhenUsed/>
    <w:rsid w:val="0046608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6608D"/>
    <w:rPr>
      <w:rFonts w:ascii="Tahoma" w:hAnsi="Tahoma" w:cs="Tahoma"/>
      <w:sz w:val="16"/>
      <w:szCs w:val="16"/>
    </w:rPr>
  </w:style>
  <w:style w:type="paragraph" w:styleId="Titel">
    <w:name w:val="Title"/>
    <w:basedOn w:val="Normal"/>
    <w:next w:val="Normal"/>
    <w:link w:val="TitelTegn"/>
    <w:uiPriority w:val="1"/>
    <w:qFormat/>
    <w:rsid w:val="00A26A59"/>
    <w:pPr>
      <w:spacing w:before="480" w:after="60" w:line="240" w:lineRule="auto"/>
      <w:contextualSpacing/>
    </w:pPr>
    <w:rPr>
      <w:rFonts w:asciiTheme="majorHAnsi" w:eastAsiaTheme="majorEastAsia" w:hAnsiTheme="majorHAnsi" w:cstheme="majorBidi"/>
      <w:color w:val="983620" w:themeColor="accent2"/>
      <w:kern w:val="28"/>
      <w:sz w:val="72"/>
      <w:szCs w:val="52"/>
    </w:rPr>
  </w:style>
  <w:style w:type="character" w:customStyle="1" w:styleId="TitelTegn">
    <w:name w:val="Titel Tegn"/>
    <w:basedOn w:val="Standardskrifttypeiafsnit"/>
    <w:link w:val="Titel"/>
    <w:uiPriority w:val="1"/>
    <w:rsid w:val="007204F4"/>
    <w:rPr>
      <w:rFonts w:asciiTheme="majorHAnsi" w:eastAsiaTheme="majorEastAsia" w:hAnsiTheme="majorHAnsi" w:cstheme="majorBidi"/>
      <w:color w:val="983620" w:themeColor="accent2"/>
      <w:kern w:val="28"/>
      <w:sz w:val="72"/>
      <w:szCs w:val="52"/>
    </w:rPr>
  </w:style>
  <w:style w:type="character" w:styleId="Pladsholdertekst">
    <w:name w:val="Placeholder Text"/>
    <w:basedOn w:val="Standardskrifttypeiafsnit"/>
    <w:uiPriority w:val="99"/>
    <w:semiHidden/>
    <w:rsid w:val="00055249"/>
    <w:rPr>
      <w:color w:val="808080"/>
    </w:rPr>
  </w:style>
  <w:style w:type="paragraph" w:styleId="Undertitel">
    <w:name w:val="Subtitle"/>
    <w:basedOn w:val="Normal"/>
    <w:next w:val="Normal"/>
    <w:link w:val="UndertitelTegn"/>
    <w:uiPriority w:val="1"/>
    <w:qFormat/>
    <w:rsid w:val="002E1970"/>
    <w:pPr>
      <w:numPr>
        <w:ilvl w:val="1"/>
      </w:numPr>
    </w:pPr>
    <w:rPr>
      <w:rFonts w:asciiTheme="majorHAnsi" w:eastAsiaTheme="majorEastAsia" w:hAnsiTheme="majorHAnsi" w:cstheme="majorBidi"/>
      <w:iCs/>
      <w:color w:val="000000" w:themeColor="text1"/>
      <w:sz w:val="28"/>
    </w:rPr>
  </w:style>
  <w:style w:type="character" w:customStyle="1" w:styleId="UndertitelTegn">
    <w:name w:val="Undertitel Tegn"/>
    <w:basedOn w:val="Standardskrifttypeiafsnit"/>
    <w:link w:val="Undertitel"/>
    <w:uiPriority w:val="1"/>
    <w:rsid w:val="007204F4"/>
    <w:rPr>
      <w:rFonts w:asciiTheme="majorHAnsi" w:eastAsiaTheme="majorEastAsia" w:hAnsiTheme="majorHAnsi" w:cstheme="majorBidi"/>
      <w:iCs/>
      <w:color w:val="000000" w:themeColor="text1"/>
      <w:sz w:val="28"/>
    </w:rPr>
  </w:style>
  <w:style w:type="paragraph" w:customStyle="1" w:styleId="Appendix">
    <w:name w:val="Appendix"/>
    <w:basedOn w:val="Normal"/>
    <w:uiPriority w:val="1"/>
    <w:qFormat/>
    <w:rsid w:val="00FB0E54"/>
    <w:pPr>
      <w:pageBreakBefore/>
      <w:pBdr>
        <w:bottom w:val="single" w:sz="2" w:space="12" w:color="BFBFBF" w:themeColor="background1" w:themeShade="BF"/>
      </w:pBdr>
      <w:spacing w:before="480"/>
      <w:jc w:val="center"/>
    </w:pPr>
    <w:rPr>
      <w:rFonts w:asciiTheme="majorHAnsi" w:hAnsiTheme="majorHAnsi"/>
      <w:color w:val="983620" w:themeColor="accent2"/>
      <w:sz w:val="48"/>
    </w:rPr>
  </w:style>
  <w:style w:type="paragraph" w:styleId="Sidehoved">
    <w:name w:val="header"/>
    <w:basedOn w:val="Normal"/>
    <w:link w:val="SidehovedTegn"/>
    <w:uiPriority w:val="99"/>
    <w:rsid w:val="00A15157"/>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A15157"/>
  </w:style>
  <w:style w:type="paragraph" w:styleId="Sidefod">
    <w:name w:val="footer"/>
    <w:basedOn w:val="Normal"/>
    <w:link w:val="SidefodTegn"/>
    <w:uiPriority w:val="99"/>
    <w:rsid w:val="003411A7"/>
    <w:pPr>
      <w:tabs>
        <w:tab w:val="center" w:pos="4680"/>
        <w:tab w:val="right" w:pos="9360"/>
      </w:tabs>
      <w:spacing w:before="240" w:after="0" w:line="264" w:lineRule="auto"/>
    </w:pPr>
    <w:rPr>
      <w:color w:val="595959" w:themeColor="text1" w:themeTint="A6"/>
      <w:sz w:val="20"/>
    </w:rPr>
  </w:style>
  <w:style w:type="character" w:customStyle="1" w:styleId="SidefodTegn">
    <w:name w:val="Sidefod Tegn"/>
    <w:basedOn w:val="Standardskrifttypeiafsnit"/>
    <w:link w:val="Sidefod"/>
    <w:uiPriority w:val="99"/>
    <w:rsid w:val="003411A7"/>
    <w:rPr>
      <w:color w:val="595959" w:themeColor="text1" w:themeTint="A6"/>
      <w:sz w:val="20"/>
    </w:rPr>
  </w:style>
  <w:style w:type="paragraph" w:customStyle="1" w:styleId="Header-FooterRight">
    <w:name w:val="Header-Footer Right"/>
    <w:basedOn w:val="Normal"/>
    <w:uiPriority w:val="99"/>
    <w:rsid w:val="003411A7"/>
    <w:pPr>
      <w:spacing w:before="240" w:after="0" w:line="264" w:lineRule="auto"/>
      <w:jc w:val="right"/>
    </w:pPr>
    <w:rPr>
      <w:color w:val="595959" w:themeColor="text1" w:themeTint="A6"/>
      <w:sz w:val="20"/>
    </w:rPr>
  </w:style>
  <w:style w:type="character" w:customStyle="1" w:styleId="Overskrift1Tegn">
    <w:name w:val="Overskrift 1 Tegn"/>
    <w:basedOn w:val="Standardskrifttypeiafsnit"/>
    <w:link w:val="Overskrift1"/>
    <w:uiPriority w:val="1"/>
    <w:rsid w:val="005B0C93"/>
    <w:rPr>
      <w:rFonts w:asciiTheme="majorHAnsi" w:eastAsiaTheme="majorEastAsia" w:hAnsiTheme="majorHAnsi" w:cstheme="majorBidi"/>
      <w:bCs/>
      <w:color w:val="983620" w:themeColor="accent2"/>
      <w:sz w:val="48"/>
      <w:szCs w:val="28"/>
    </w:rPr>
  </w:style>
  <w:style w:type="character" w:customStyle="1" w:styleId="Overskrift2Tegn">
    <w:name w:val="Overskrift 2 Tegn"/>
    <w:basedOn w:val="Standardskrifttypeiafsnit"/>
    <w:link w:val="Overskrift2"/>
    <w:rsid w:val="00FE76BA"/>
    <w:rPr>
      <w:rFonts w:ascii="Times New Roman" w:eastAsiaTheme="majorEastAsia" w:hAnsi="Times New Roman" w:cs="Times New Roman"/>
      <w:bCs/>
      <w:color w:val="000000" w:themeColor="text1"/>
      <w:sz w:val="28"/>
      <w:szCs w:val="26"/>
    </w:rPr>
  </w:style>
  <w:style w:type="character" w:customStyle="1" w:styleId="Overskrift3Tegn">
    <w:name w:val="Overskrift 3 Tegn"/>
    <w:basedOn w:val="Standardskrifttypeiafsnit"/>
    <w:link w:val="Overskrift3"/>
    <w:uiPriority w:val="1"/>
    <w:rsid w:val="007447BE"/>
    <w:rPr>
      <w:rFonts w:ascii="Calisto MT" w:eastAsiaTheme="majorEastAsia" w:hAnsi="Calisto MT" w:cs="Times New Roman"/>
      <w:b/>
      <w:bCs/>
      <w:color w:val="000000" w:themeColor="text1"/>
      <w:lang w:val="en-GB"/>
    </w:rPr>
  </w:style>
  <w:style w:type="paragraph" w:styleId="Billedtekst">
    <w:name w:val="caption"/>
    <w:basedOn w:val="Normal"/>
    <w:next w:val="Normal"/>
    <w:uiPriority w:val="1"/>
    <w:qFormat/>
    <w:rsid w:val="00144C46"/>
    <w:pPr>
      <w:spacing w:after="200" w:line="240" w:lineRule="auto"/>
      <w:jc w:val="center"/>
    </w:pPr>
    <w:rPr>
      <w:bCs/>
      <w:i/>
      <w:color w:val="404040" w:themeColor="text1" w:themeTint="BF"/>
      <w:sz w:val="18"/>
      <w:szCs w:val="18"/>
    </w:rPr>
  </w:style>
  <w:style w:type="paragraph" w:styleId="Bibliografi">
    <w:name w:val="Bibliography"/>
    <w:basedOn w:val="Normal"/>
    <w:next w:val="Normal"/>
    <w:uiPriority w:val="1"/>
    <w:unhideWhenUsed/>
    <w:rsid w:val="00654459"/>
    <w:pPr>
      <w:spacing w:line="240" w:lineRule="auto"/>
    </w:pPr>
  </w:style>
  <w:style w:type="paragraph" w:styleId="Overskrift">
    <w:name w:val="TOC Heading"/>
    <w:basedOn w:val="Appendix"/>
    <w:next w:val="Normal"/>
    <w:uiPriority w:val="39"/>
    <w:qFormat/>
    <w:rsid w:val="006F61EB"/>
  </w:style>
  <w:style w:type="paragraph" w:styleId="Indholdsfortegnelse1">
    <w:name w:val="toc 1"/>
    <w:basedOn w:val="Normal"/>
    <w:next w:val="Normal"/>
    <w:autoRedefine/>
    <w:uiPriority w:val="39"/>
    <w:unhideWhenUsed/>
    <w:rsid w:val="006F61EB"/>
    <w:pPr>
      <w:spacing w:after="100"/>
    </w:pPr>
    <w:rPr>
      <w:color w:val="983620" w:themeColor="accent2"/>
    </w:rPr>
  </w:style>
  <w:style w:type="paragraph" w:styleId="Indholdsfortegnelse2">
    <w:name w:val="toc 2"/>
    <w:basedOn w:val="Normal"/>
    <w:next w:val="Normal"/>
    <w:autoRedefine/>
    <w:uiPriority w:val="39"/>
    <w:unhideWhenUsed/>
    <w:rsid w:val="006F61EB"/>
    <w:pPr>
      <w:spacing w:after="100"/>
      <w:ind w:left="240"/>
    </w:pPr>
  </w:style>
  <w:style w:type="paragraph" w:styleId="Indholdsfortegnelse3">
    <w:name w:val="toc 3"/>
    <w:basedOn w:val="Normal"/>
    <w:next w:val="Normal"/>
    <w:autoRedefine/>
    <w:uiPriority w:val="39"/>
    <w:unhideWhenUsed/>
    <w:rsid w:val="006F61EB"/>
    <w:pPr>
      <w:spacing w:after="100"/>
      <w:ind w:left="480"/>
    </w:pPr>
    <w:rPr>
      <w:sz w:val="20"/>
    </w:rPr>
  </w:style>
  <w:style w:type="character" w:styleId="Hyperlink">
    <w:name w:val="Hyperlink"/>
    <w:basedOn w:val="Standardskrifttypeiafsnit"/>
    <w:uiPriority w:val="99"/>
    <w:unhideWhenUsed/>
    <w:rsid w:val="006F61EB"/>
    <w:rPr>
      <w:color w:val="524A82" w:themeColor="hyperlink"/>
      <w:u w:val="single"/>
    </w:rPr>
  </w:style>
  <w:style w:type="paragraph" w:styleId="Opstilling-punkttegn">
    <w:name w:val="List Bullet"/>
    <w:basedOn w:val="Normal"/>
    <w:uiPriority w:val="1"/>
    <w:qFormat/>
    <w:rsid w:val="00295F26"/>
    <w:pPr>
      <w:numPr>
        <w:numId w:val="1"/>
      </w:numPr>
    </w:pPr>
  </w:style>
  <w:style w:type="paragraph" w:styleId="Opstilling-talellerbogst">
    <w:name w:val="List Number"/>
    <w:basedOn w:val="Normal"/>
    <w:uiPriority w:val="1"/>
    <w:qFormat/>
    <w:rsid w:val="00295F26"/>
    <w:pPr>
      <w:numPr>
        <w:numId w:val="2"/>
      </w:numPr>
    </w:pPr>
  </w:style>
  <w:style w:type="character" w:customStyle="1" w:styleId="Overskrift4Tegn">
    <w:name w:val="Overskrift 4 Tegn"/>
    <w:basedOn w:val="Standardskrifttypeiafsnit"/>
    <w:link w:val="Overskrift4"/>
    <w:uiPriority w:val="1"/>
    <w:rsid w:val="003907B3"/>
    <w:rPr>
      <w:rFonts w:asciiTheme="majorHAnsi" w:eastAsiaTheme="majorEastAsia" w:hAnsiTheme="majorHAnsi" w:cstheme="majorBidi"/>
      <w:bCs/>
      <w:iCs/>
      <w:color w:val="4B5A60" w:themeColor="accent1"/>
      <w:lang w:val="en-GB"/>
    </w:rPr>
  </w:style>
  <w:style w:type="character" w:customStyle="1" w:styleId="Overskrift6Tegn">
    <w:name w:val="Overskrift 6 Tegn"/>
    <w:basedOn w:val="Standardskrifttypeiafsnit"/>
    <w:link w:val="Overskrift6"/>
    <w:uiPriority w:val="1"/>
    <w:rsid w:val="005B0C93"/>
    <w:rPr>
      <w:rFonts w:asciiTheme="majorHAnsi" w:eastAsiaTheme="majorEastAsia" w:hAnsiTheme="majorHAnsi" w:cstheme="majorBidi"/>
      <w:i/>
      <w:iCs/>
      <w:color w:val="252C2F" w:themeColor="accent1" w:themeShade="7F"/>
    </w:rPr>
  </w:style>
  <w:style w:type="character" w:customStyle="1" w:styleId="Overskrift7Tegn">
    <w:name w:val="Overskrift 7 Tegn"/>
    <w:basedOn w:val="Standardskrifttypeiafsnit"/>
    <w:link w:val="Overskrift7"/>
    <w:uiPriority w:val="1"/>
    <w:semiHidden/>
    <w:rsid w:val="005B0C93"/>
    <w:rPr>
      <w:rFonts w:asciiTheme="majorHAnsi" w:eastAsiaTheme="majorEastAsia" w:hAnsiTheme="majorHAnsi" w:cstheme="majorBidi"/>
      <w:iCs/>
      <w:color w:val="595959" w:themeColor="text1" w:themeTint="A6"/>
    </w:rPr>
  </w:style>
  <w:style w:type="character" w:customStyle="1" w:styleId="Overskrift8Tegn">
    <w:name w:val="Overskrift 8 Tegn"/>
    <w:basedOn w:val="Standardskrifttypeiafsnit"/>
    <w:link w:val="Overskrift8"/>
    <w:uiPriority w:val="1"/>
    <w:semiHidden/>
    <w:rsid w:val="005B0C93"/>
    <w:rPr>
      <w:rFonts w:asciiTheme="majorHAnsi" w:eastAsiaTheme="majorEastAsia" w:hAnsiTheme="majorHAnsi" w:cstheme="majorBidi"/>
      <w:color w:val="983620" w:themeColor="accent2"/>
      <w:sz w:val="20"/>
      <w:szCs w:val="20"/>
    </w:rPr>
  </w:style>
  <w:style w:type="character" w:customStyle="1" w:styleId="Overskrift9Tegn">
    <w:name w:val="Overskrift 9 Tegn"/>
    <w:basedOn w:val="Standardskrifttypeiafsnit"/>
    <w:link w:val="Overskrift9"/>
    <w:uiPriority w:val="1"/>
    <w:semiHidden/>
    <w:rsid w:val="005B0C93"/>
    <w:rPr>
      <w:rFonts w:asciiTheme="majorHAnsi" w:eastAsiaTheme="majorEastAsia" w:hAnsiTheme="majorHAnsi" w:cstheme="majorBidi"/>
      <w:iCs/>
      <w:color w:val="595959" w:themeColor="text1" w:themeTint="A6"/>
      <w:sz w:val="20"/>
      <w:szCs w:val="20"/>
    </w:rPr>
  </w:style>
  <w:style w:type="paragraph" w:styleId="Citat">
    <w:name w:val="Quote"/>
    <w:basedOn w:val="Normal"/>
    <w:next w:val="Normal"/>
    <w:link w:val="CitatTegn"/>
    <w:uiPriority w:val="9"/>
    <w:unhideWhenUsed/>
    <w:qFormat/>
    <w:rsid w:val="001B255D"/>
    <w:pPr>
      <w:ind w:left="720" w:right="720"/>
    </w:pPr>
    <w:rPr>
      <w:i/>
      <w:iCs/>
      <w:color w:val="595959" w:themeColor="text1" w:themeTint="A6"/>
    </w:rPr>
  </w:style>
  <w:style w:type="character" w:customStyle="1" w:styleId="CitatTegn">
    <w:name w:val="Citat Tegn"/>
    <w:basedOn w:val="Standardskrifttypeiafsnit"/>
    <w:link w:val="Citat"/>
    <w:uiPriority w:val="9"/>
    <w:rsid w:val="007204F4"/>
    <w:rPr>
      <w:i/>
      <w:iCs/>
      <w:color w:val="595959" w:themeColor="text1" w:themeTint="A6"/>
    </w:rPr>
  </w:style>
  <w:style w:type="paragraph" w:styleId="Slutnotetekst">
    <w:name w:val="endnote text"/>
    <w:basedOn w:val="Normal"/>
    <w:link w:val="SlutnotetekstTegn"/>
    <w:uiPriority w:val="99"/>
    <w:unhideWhenUsed/>
    <w:rsid w:val="004A6D62"/>
    <w:pPr>
      <w:spacing w:after="0" w:line="240" w:lineRule="auto"/>
    </w:pPr>
  </w:style>
  <w:style w:type="character" w:customStyle="1" w:styleId="SlutnotetekstTegn">
    <w:name w:val="Slutnotetekst Tegn"/>
    <w:basedOn w:val="Standardskrifttypeiafsnit"/>
    <w:link w:val="Slutnotetekst"/>
    <w:uiPriority w:val="99"/>
    <w:rsid w:val="004A6D62"/>
  </w:style>
  <w:style w:type="character" w:styleId="Slutnotehenvisning">
    <w:name w:val="endnote reference"/>
    <w:basedOn w:val="Standardskrifttypeiafsnit"/>
    <w:uiPriority w:val="99"/>
    <w:unhideWhenUsed/>
    <w:rsid w:val="004A6D62"/>
    <w:rPr>
      <w:vertAlign w:val="superscript"/>
    </w:rPr>
  </w:style>
  <w:style w:type="paragraph" w:styleId="Listeafsnit">
    <w:name w:val="List Paragraph"/>
    <w:basedOn w:val="Normal"/>
    <w:uiPriority w:val="99"/>
    <w:unhideWhenUsed/>
    <w:qFormat/>
    <w:rsid w:val="00492EB3"/>
    <w:pPr>
      <w:numPr>
        <w:numId w:val="8"/>
      </w:numPr>
      <w:spacing w:line="480" w:lineRule="auto"/>
      <w:contextualSpacing/>
    </w:pPr>
    <w:rPr>
      <w:rFonts w:ascii="Times New Roman" w:hAnsi="Times New Roman" w:cs="Times New Roman"/>
      <w:lang w:val="en-GB"/>
    </w:rPr>
  </w:style>
  <w:style w:type="character" w:customStyle="1" w:styleId="Overskrift5Tegn">
    <w:name w:val="Overskrift 5 Tegn"/>
    <w:basedOn w:val="Standardskrifttypeiafsnit"/>
    <w:link w:val="Overskrift5"/>
    <w:uiPriority w:val="1"/>
    <w:rsid w:val="00D102FF"/>
    <w:rPr>
      <w:rFonts w:asciiTheme="majorHAnsi" w:eastAsiaTheme="majorEastAsia" w:hAnsiTheme="majorHAnsi" w:cstheme="majorBidi"/>
      <w:color w:val="252C2F" w:themeColor="accent1" w:themeShade="7F"/>
    </w:rPr>
  </w:style>
  <w:style w:type="paragraph" w:customStyle="1" w:styleId="NOR1">
    <w:name w:val="NOR_1"/>
    <w:basedOn w:val="Normal"/>
    <w:link w:val="NOR1Char"/>
    <w:rsid w:val="00A844AF"/>
    <w:pPr>
      <w:tabs>
        <w:tab w:val="left" w:pos="567"/>
      </w:tabs>
      <w:spacing w:after="0" w:line="312" w:lineRule="auto"/>
      <w:jc w:val="both"/>
    </w:pPr>
    <w:rPr>
      <w:rFonts w:ascii="Arial" w:eastAsia="Times New Roman" w:hAnsi="Arial" w:cs="Times New Roman"/>
      <w:sz w:val="20"/>
      <w:szCs w:val="16"/>
      <w:lang w:val="en-GB"/>
    </w:rPr>
  </w:style>
  <w:style w:type="character" w:customStyle="1" w:styleId="NOR1Char">
    <w:name w:val="NOR_1 Char"/>
    <w:link w:val="NOR1"/>
    <w:rsid w:val="00A844AF"/>
    <w:rPr>
      <w:rFonts w:ascii="Arial" w:eastAsia="Times New Roman" w:hAnsi="Arial" w:cs="Times New Roman"/>
      <w:sz w:val="20"/>
      <w:szCs w:val="16"/>
      <w:lang w:val="en-GB"/>
    </w:rPr>
  </w:style>
  <w:style w:type="paragraph" w:customStyle="1" w:styleId="NOR1bullettable">
    <w:name w:val="NOR_1_bullet_table"/>
    <w:basedOn w:val="Normal"/>
    <w:rsid w:val="002F6DC5"/>
    <w:pPr>
      <w:numPr>
        <w:numId w:val="3"/>
      </w:numPr>
      <w:spacing w:after="0" w:line="240" w:lineRule="auto"/>
    </w:pPr>
    <w:rPr>
      <w:rFonts w:ascii="Arial" w:eastAsia="Times New Roman" w:hAnsi="Arial" w:cs="Arial"/>
      <w:sz w:val="20"/>
      <w:szCs w:val="20"/>
      <w:lang w:val="en-GB" w:eastAsia="da-DK"/>
    </w:rPr>
  </w:style>
  <w:style w:type="paragraph" w:customStyle="1" w:styleId="NormalAriel">
    <w:name w:val="Normal Ariel"/>
    <w:basedOn w:val="Indholdsfortegnelse1"/>
    <w:link w:val="NormalArielChar"/>
    <w:rsid w:val="002F023A"/>
    <w:pPr>
      <w:tabs>
        <w:tab w:val="left" w:pos="851"/>
      </w:tabs>
      <w:spacing w:after="0" w:line="288" w:lineRule="auto"/>
      <w:jc w:val="both"/>
    </w:pPr>
    <w:rPr>
      <w:rFonts w:ascii="Arial" w:eastAsia="Times New Roman" w:hAnsi="Arial" w:cs="Times New Roman"/>
      <w:color w:val="auto"/>
      <w:sz w:val="22"/>
      <w:lang w:val="en-GB" w:eastAsia="da-DK"/>
    </w:rPr>
  </w:style>
  <w:style w:type="character" w:customStyle="1" w:styleId="NormalArielChar">
    <w:name w:val="Normal Ariel Char"/>
    <w:basedOn w:val="Standardskrifttypeiafsnit"/>
    <w:link w:val="NormalAriel"/>
    <w:rsid w:val="002F023A"/>
    <w:rPr>
      <w:rFonts w:ascii="Arial" w:eastAsia="Times New Roman" w:hAnsi="Arial" w:cs="Times New Roman"/>
      <w:sz w:val="22"/>
      <w:lang w:val="en-GB" w:eastAsia="da-DK"/>
    </w:rPr>
  </w:style>
  <w:style w:type="character" w:styleId="Sidetal">
    <w:name w:val="page number"/>
    <w:basedOn w:val="Standardskrifttypeiafsnit"/>
    <w:uiPriority w:val="99"/>
    <w:semiHidden/>
    <w:unhideWhenUsed/>
    <w:rsid w:val="00551FBC"/>
  </w:style>
  <w:style w:type="character" w:styleId="Kommentarhenvisning">
    <w:name w:val="annotation reference"/>
    <w:basedOn w:val="Standardskrifttypeiafsnit"/>
    <w:uiPriority w:val="99"/>
    <w:semiHidden/>
    <w:unhideWhenUsed/>
    <w:rsid w:val="00B211A7"/>
    <w:rPr>
      <w:sz w:val="16"/>
      <w:szCs w:val="16"/>
    </w:rPr>
  </w:style>
  <w:style w:type="paragraph" w:styleId="Kommentartekst">
    <w:name w:val="annotation text"/>
    <w:basedOn w:val="Normal"/>
    <w:link w:val="KommentartekstTegn"/>
    <w:uiPriority w:val="99"/>
    <w:unhideWhenUsed/>
    <w:rsid w:val="00B211A7"/>
    <w:pPr>
      <w:spacing w:line="240" w:lineRule="auto"/>
    </w:pPr>
    <w:rPr>
      <w:sz w:val="20"/>
      <w:szCs w:val="20"/>
    </w:rPr>
  </w:style>
  <w:style w:type="character" w:customStyle="1" w:styleId="KommentartekstTegn">
    <w:name w:val="Kommentartekst Tegn"/>
    <w:basedOn w:val="Standardskrifttypeiafsnit"/>
    <w:link w:val="Kommentartekst"/>
    <w:uiPriority w:val="99"/>
    <w:rsid w:val="00B211A7"/>
    <w:rPr>
      <w:sz w:val="20"/>
      <w:szCs w:val="20"/>
    </w:rPr>
  </w:style>
  <w:style w:type="character" w:customStyle="1" w:styleId="st">
    <w:name w:val="st"/>
    <w:basedOn w:val="Standardskrifttypeiafsnit"/>
    <w:rsid w:val="00FD098F"/>
  </w:style>
  <w:style w:type="paragraph" w:styleId="Korrektur">
    <w:name w:val="Revision"/>
    <w:hidden/>
    <w:uiPriority w:val="99"/>
    <w:semiHidden/>
    <w:rsid w:val="001A4309"/>
    <w:pPr>
      <w:spacing w:after="0" w:line="240" w:lineRule="auto"/>
    </w:pPr>
  </w:style>
  <w:style w:type="paragraph" w:styleId="Kommentaremne">
    <w:name w:val="annotation subject"/>
    <w:basedOn w:val="Kommentartekst"/>
    <w:next w:val="Kommentartekst"/>
    <w:link w:val="KommentaremneTegn"/>
    <w:uiPriority w:val="99"/>
    <w:semiHidden/>
    <w:unhideWhenUsed/>
    <w:rsid w:val="002122AC"/>
    <w:rPr>
      <w:b/>
      <w:bCs/>
    </w:rPr>
  </w:style>
  <w:style w:type="character" w:customStyle="1" w:styleId="KommentaremneTegn">
    <w:name w:val="Kommentaremne Tegn"/>
    <w:basedOn w:val="KommentartekstTegn"/>
    <w:link w:val="Kommentaremne"/>
    <w:uiPriority w:val="99"/>
    <w:semiHidden/>
    <w:rsid w:val="002122AC"/>
    <w:rPr>
      <w:b/>
      <w:bCs/>
      <w:sz w:val="20"/>
      <w:szCs w:val="20"/>
    </w:rPr>
  </w:style>
  <w:style w:type="paragraph" w:styleId="Dokumentoversigt">
    <w:name w:val="Document Map"/>
    <w:basedOn w:val="Normal"/>
    <w:link w:val="DokumentoversigtTegn"/>
    <w:uiPriority w:val="99"/>
    <w:semiHidden/>
    <w:unhideWhenUsed/>
    <w:rsid w:val="00081792"/>
    <w:pPr>
      <w:spacing w:after="0" w:line="240" w:lineRule="auto"/>
    </w:pPr>
    <w:rPr>
      <w:rFonts w:ascii="Lucida Grande" w:hAnsi="Lucida Grande"/>
    </w:rPr>
  </w:style>
  <w:style w:type="character" w:customStyle="1" w:styleId="DokumentoversigtTegn">
    <w:name w:val="Dokumentoversigt Tegn"/>
    <w:basedOn w:val="Standardskrifttypeiafsnit"/>
    <w:link w:val="Dokumentoversigt"/>
    <w:uiPriority w:val="99"/>
    <w:semiHidden/>
    <w:rsid w:val="00081792"/>
    <w:rPr>
      <w:rFonts w:ascii="Lucida Grande" w:hAnsi="Lucida Grande"/>
    </w:rPr>
  </w:style>
  <w:style w:type="paragraph" w:styleId="NormalWeb">
    <w:name w:val="Normal (Web)"/>
    <w:basedOn w:val="Normal"/>
    <w:uiPriority w:val="99"/>
    <w:unhideWhenUsed/>
    <w:rsid w:val="00F2095D"/>
    <w:pPr>
      <w:spacing w:before="100" w:beforeAutospacing="1" w:after="100" w:afterAutospacing="1" w:line="240" w:lineRule="auto"/>
    </w:pPr>
    <w:rPr>
      <w:rFonts w:ascii="Times New Roman" w:eastAsia="Times New Roman" w:hAnsi="Times New Roman" w:cs="Times New Roman"/>
      <w:lang w:val="da-DK" w:eastAsia="da-DK"/>
    </w:rPr>
  </w:style>
  <w:style w:type="character" w:customStyle="1" w:styleId="apple-converted-space">
    <w:name w:val="apple-converted-space"/>
    <w:basedOn w:val="Standardskrifttypeiafsnit"/>
    <w:rsid w:val="00F2095D"/>
  </w:style>
  <w:style w:type="paragraph" w:customStyle="1" w:styleId="h2">
    <w:name w:val="h2"/>
    <w:basedOn w:val="Normal"/>
    <w:rsid w:val="00F3644E"/>
    <w:pPr>
      <w:keepNext/>
      <w:spacing w:before="100" w:beforeAutospacing="1" w:after="100" w:afterAutospacing="1" w:line="240" w:lineRule="auto"/>
    </w:pPr>
    <w:rPr>
      <w:rFonts w:ascii="Times New Roman" w:hAnsi="Times New Roman" w:cs="Times New Roman"/>
      <w:b/>
      <w:bCs/>
      <w:sz w:val="27"/>
      <w:szCs w:val="27"/>
    </w:rPr>
  </w:style>
  <w:style w:type="paragraph" w:customStyle="1" w:styleId="h3">
    <w:name w:val="h3"/>
    <w:basedOn w:val="Normal"/>
    <w:rsid w:val="00F3644E"/>
    <w:pPr>
      <w:keepNext/>
      <w:spacing w:before="100" w:beforeAutospacing="1" w:after="100" w:afterAutospacing="1" w:line="240" w:lineRule="auto"/>
    </w:pPr>
    <w:rPr>
      <w:rFonts w:ascii="Times New Roman" w:hAnsi="Times New Roman" w:cs="Times New Roman"/>
      <w:b/>
      <w:bCs/>
      <w:i/>
      <w:iCs/>
      <w:sz w:val="27"/>
      <w:szCs w:val="27"/>
    </w:rPr>
  </w:style>
  <w:style w:type="character" w:customStyle="1" w:styleId="bold">
    <w:name w:val="bold"/>
    <w:basedOn w:val="Standardskrifttypeiafsnit"/>
    <w:rsid w:val="001A1DEB"/>
    <w:rPr>
      <w:b/>
      <w:bCs/>
    </w:rPr>
  </w:style>
  <w:style w:type="paragraph" w:customStyle="1" w:styleId="float">
    <w:name w:val="float"/>
    <w:basedOn w:val="Normal"/>
    <w:rsid w:val="001A1DEB"/>
    <w:pPr>
      <w:spacing w:before="100" w:beforeAutospacing="1" w:after="100" w:afterAutospacing="1" w:line="240" w:lineRule="auto"/>
    </w:pPr>
    <w:rPr>
      <w:rFonts w:ascii="Times New Roman" w:hAnsi="Times New Roman" w:cs="Times New Roman"/>
    </w:rPr>
  </w:style>
  <w:style w:type="character" w:customStyle="1" w:styleId="Caption1">
    <w:name w:val="Caption1"/>
    <w:basedOn w:val="Standardskrifttypeiafsnit"/>
    <w:rsid w:val="001A1DEB"/>
  </w:style>
  <w:style w:type="character" w:customStyle="1" w:styleId="simple">
    <w:name w:val="simple"/>
    <w:basedOn w:val="Standardskrifttypeiafsnit"/>
    <w:rsid w:val="001A1DEB"/>
  </w:style>
  <w:style w:type="paragraph" w:customStyle="1" w:styleId="h1">
    <w:name w:val="h1"/>
    <w:basedOn w:val="Normal"/>
    <w:rsid w:val="00203139"/>
    <w:pPr>
      <w:keepNext/>
      <w:spacing w:before="100" w:beforeAutospacing="1" w:after="100" w:afterAutospacing="1" w:line="240" w:lineRule="auto"/>
    </w:pPr>
    <w:rPr>
      <w:rFonts w:ascii="Times New Roman" w:hAnsi="Times New Roman" w:cs="Times New Roman"/>
      <w:b/>
      <w:bCs/>
      <w:sz w:val="36"/>
      <w:szCs w:val="36"/>
    </w:rPr>
  </w:style>
  <w:style w:type="paragraph" w:customStyle="1" w:styleId="Bibliografi1">
    <w:name w:val="Bibliografi1"/>
    <w:basedOn w:val="Normal"/>
    <w:link w:val="BibliographyTegn"/>
    <w:rsid w:val="00E81341"/>
    <w:pPr>
      <w:tabs>
        <w:tab w:val="left" w:pos="380"/>
      </w:tabs>
      <w:spacing w:line="240" w:lineRule="auto"/>
      <w:ind w:left="384" w:hanging="384"/>
      <w:jc w:val="both"/>
    </w:pPr>
    <w:rPr>
      <w:rFonts w:ascii="Calisto MT" w:hAnsi="Calisto MT" w:cs="Times New Roman"/>
      <w:lang w:val="en-GB"/>
    </w:rPr>
  </w:style>
  <w:style w:type="character" w:customStyle="1" w:styleId="BibliographyTegn">
    <w:name w:val="Bibliography Tegn"/>
    <w:basedOn w:val="Standardskrifttypeiafsnit"/>
    <w:link w:val="Bibliografi1"/>
    <w:rsid w:val="00E81341"/>
    <w:rPr>
      <w:rFonts w:ascii="Calisto MT" w:hAnsi="Calisto MT"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3814">
      <w:bodyDiv w:val="1"/>
      <w:marLeft w:val="0"/>
      <w:marRight w:val="0"/>
      <w:marTop w:val="0"/>
      <w:marBottom w:val="0"/>
      <w:divBdr>
        <w:top w:val="none" w:sz="0" w:space="0" w:color="auto"/>
        <w:left w:val="none" w:sz="0" w:space="0" w:color="auto"/>
        <w:bottom w:val="none" w:sz="0" w:space="0" w:color="auto"/>
        <w:right w:val="none" w:sz="0" w:space="0" w:color="auto"/>
      </w:divBdr>
    </w:div>
    <w:div w:id="232590200">
      <w:bodyDiv w:val="1"/>
      <w:marLeft w:val="0"/>
      <w:marRight w:val="0"/>
      <w:marTop w:val="0"/>
      <w:marBottom w:val="0"/>
      <w:divBdr>
        <w:top w:val="none" w:sz="0" w:space="0" w:color="auto"/>
        <w:left w:val="none" w:sz="0" w:space="0" w:color="auto"/>
        <w:bottom w:val="none" w:sz="0" w:space="0" w:color="auto"/>
        <w:right w:val="none" w:sz="0" w:space="0" w:color="auto"/>
      </w:divBdr>
    </w:div>
    <w:div w:id="432941711">
      <w:bodyDiv w:val="1"/>
      <w:marLeft w:val="0"/>
      <w:marRight w:val="0"/>
      <w:marTop w:val="0"/>
      <w:marBottom w:val="0"/>
      <w:divBdr>
        <w:top w:val="none" w:sz="0" w:space="0" w:color="auto"/>
        <w:left w:val="none" w:sz="0" w:space="0" w:color="auto"/>
        <w:bottom w:val="none" w:sz="0" w:space="0" w:color="auto"/>
        <w:right w:val="none" w:sz="0" w:space="0" w:color="auto"/>
      </w:divBdr>
    </w:div>
    <w:div w:id="777528582">
      <w:bodyDiv w:val="1"/>
      <w:marLeft w:val="0"/>
      <w:marRight w:val="0"/>
      <w:marTop w:val="0"/>
      <w:marBottom w:val="0"/>
      <w:divBdr>
        <w:top w:val="none" w:sz="0" w:space="0" w:color="auto"/>
        <w:left w:val="none" w:sz="0" w:space="0" w:color="auto"/>
        <w:bottom w:val="none" w:sz="0" w:space="0" w:color="auto"/>
        <w:right w:val="none" w:sz="0" w:space="0" w:color="auto"/>
      </w:divBdr>
    </w:div>
    <w:div w:id="201353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Capital">
  <a:themeElements>
    <a:clrScheme name="Term Paper">
      <a:dk1>
        <a:srgbClr val="000000"/>
      </a:dk1>
      <a:lt1>
        <a:srgbClr val="FFFFFF"/>
      </a:lt1>
      <a:dk2>
        <a:srgbClr val="6F6D5D"/>
      </a:dk2>
      <a:lt2>
        <a:srgbClr val="7C8F97"/>
      </a:lt2>
      <a:accent1>
        <a:srgbClr val="4B5A60"/>
      </a:accent1>
      <a:accent2>
        <a:srgbClr val="983620"/>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blipFill rotWithShape="1">
          <a:blip xmlns:r="http://schemas.openxmlformats.org/officeDocument/2006/relationships" r:embed="rId1">
            <a:duotone>
              <a:schemeClr val="phClr">
                <a:satMod val="150000"/>
                <a:lumMod val="50000"/>
              </a:schemeClr>
              <a:schemeClr val="phClr">
                <a:satMod val="300000"/>
                <a:lumMod val="125000"/>
              </a:schemeClr>
            </a:duotone>
          </a:blip>
          <a:tile tx="0" ty="0" sx="100000" sy="100000" flip="none" algn="tl"/>
        </a:blipFill>
        <a:blipFill rotWithShape="1">
          <a:blip xmlns:r="http://schemas.openxmlformats.org/officeDocument/2006/relationships" r:embed="rId2">
            <a:duotone>
              <a:schemeClr val="phClr">
                <a:satMod val="135000"/>
                <a:lumMod val="80000"/>
              </a:schemeClr>
              <a:schemeClr val="phClr">
                <a:satMod val="250000"/>
                <a:lumMod val="150000"/>
              </a:schemeClr>
            </a:duotone>
          </a:blip>
          <a:stretch/>
        </a:blipFill>
      </a:fillStyleLst>
      <a:lnStyleLst>
        <a:ln w="12700" cap="flat" cmpd="sng" algn="ctr">
          <a:solidFill>
            <a:schemeClr val="phClr">
              <a:shade val="95000"/>
              <a:satMod val="105000"/>
            </a:schemeClr>
          </a:solidFill>
          <a:prstDash val="solid"/>
        </a:ln>
        <a:ln w="31750" cap="flat" cmpd="sng" algn="ctr">
          <a:solidFill>
            <a:schemeClr val="phClr">
              <a:shade val="90000"/>
            </a:schemeClr>
          </a:solidFill>
          <a:prstDash val="solid"/>
        </a:ln>
        <a:ln w="44450" cap="flat" cmpd="sng" algn="ctr">
          <a:solidFill>
            <a:schemeClr val="phClr">
              <a:shade val="85000"/>
            </a:schemeClr>
          </a:solidFill>
          <a:prstDash val="solid"/>
        </a:ln>
      </a:lnStyleLst>
      <a:effectStyleLst>
        <a:effectStyle>
          <a:effectLst/>
        </a:effectStyle>
        <a:effectStyle>
          <a:effectLst>
            <a:outerShdw blurRad="63500" sx="101000" sy="101000" algn="ctr" rotWithShape="0">
              <a:srgbClr val="000000">
                <a:alpha val="40000"/>
              </a:srgbClr>
            </a:outerShdw>
          </a:effectLst>
          <a:scene3d>
            <a:camera prst="perspectiveFront" fov="3000000"/>
            <a:lightRig rig="threePt" dir="tl"/>
          </a:scene3d>
          <a:sp3d>
            <a:bevelT w="0" h="0"/>
          </a:sp3d>
        </a:effectStyle>
        <a:effectStyle>
          <a:effectLst>
            <a:innerShdw blurRad="190500">
              <a:srgbClr val="000000">
                <a:alpha val="50000"/>
              </a:srgbClr>
            </a:innerShdw>
          </a:effectLst>
          <a:scene3d>
            <a:camera prst="perspectiveFront" fov="4800000"/>
            <a:lightRig rig="twoPt" dir="t">
              <a:rot lat="0" lon="0" rev="4800000"/>
            </a:lightRig>
          </a:scene3d>
          <a:sp3d>
            <a:bevelT w="0" h="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3">
            <a:duotone>
              <a:schemeClr val="phClr">
                <a:satMod val="150000"/>
                <a:lumMod val="50000"/>
              </a:schemeClr>
              <a:schemeClr val="phClr">
                <a:satMod val="400000"/>
                <a:lumMod val="16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b:Source>
    <b:Tag>Laste</b:Tag>
    <b:SourceType>Book</b:SourceType>
    <b:Guid>{BD4ADEE4-EAA5-4B04-A87D-2E77C1151C40}</b:Guid>
    <b:Title>Lorem Ipsum Dolor Sit Amet</b:Title>
    <b:Year>Date</b:Year>
    <b:City>City</b:City>
    <b:Publisher>Publisher</b:Publisher>
    <b:Author>
      <b:Author>
        <b:NameList>
          <b:Person>
            <b:Last>Last Name</b:Last>
            <b:First>First Name</b:First>
          </b:Person>
        </b:NameList>
      </b:Author>
    </b:Author>
    <b:RefOrder>1</b:RefOrder>
  </b:Source>
  <b:Source>
    <b:Tag>Laste1</b:Tag>
    <b:SourceType>JournalArticle</b:SourceType>
    <b:Guid>{89CA9E05-3404-46CB-8061-6741D2EB17B5}</b:Guid>
    <b:Title>Dolor Sit Amet</b:Title>
    <b:Year>Date</b:Year>
    <b:JournalName>Lorem Ipsum</b:JournalName>
    <b:Pages>1 - 10</b:Pages>
    <b:Author>
      <b:Author>
        <b:NameList>
          <b:Person>
            <b:Last>Last Name</b:Last>
            <b:First>First Name</b:First>
          </b:Person>
        </b:NameList>
      </b:Author>
    </b:Author>
    <b:RefOrder>2</b:RefOrder>
  </b:Source>
  <b:Source>
    <b:Tag>Dolte</b:Tag>
    <b:SourceType>ArticleInAPeriodical</b:SourceType>
    <b:Guid>{2C792E63-AED4-412B-A2CD-AC7291C24484}</b:Guid>
    <b:Author>
      <b:Author>
        <b:NameList>
          <b:Person>
            <b:Last>Last Name</b:Last>
            <b:First>First Name</b:First>
          </b:Person>
        </b:NameList>
      </b:Author>
    </b:Author>
    <b:Title>Lorem Ipsum Dolor Sit Amet</b:Title>
    <b:Year>Date</b:Year>
    <b:City>City</b:City>
    <b:Publisher>Publisher</b:Publisher>
    <b:StateProvince>State</b:StateProvince>
    <b:CountryRegion>Country</b:CountryRegion>
    <b:PeriodicalTitle>Duis sed elit ante</b:PeriodicalTitle>
    <b:Pages>10-20</b:Pages>
    <b:RefOrder>3</b:RefOrder>
  </b:Source>
</b:Sources>
</file>

<file path=customXml/item2.xml><?xml version="1.0" encoding="utf-8"?>
<b:Sources xmlns:b="http://schemas.openxmlformats.org/officeDocument/2006/bibliography" xmlns="http://schemas.openxmlformats.org/officeDocument/2006/bibliography" SelectedStyle="/CHICAGO.XSL" StyleName="Chicago">
  <b:Source>
    <b:Tag>Laste</b:Tag>
    <b:SourceType>Book</b:SourceType>
    <b:Guid>{BD4ADEE4-EAA5-4B04-A87D-2E77C1151C40}</b:Guid>
    <b:Title>Lorem Ipsum Dolor Sit Amet</b:Title>
    <b:Year>Date</b:Year>
    <b:City>City</b:City>
    <b:Publisher>Publisher</b:Publisher>
    <b:Author>
      <b:Author>
        <b:NameList>
          <b:Person>
            <b:Last>Last Name</b:Last>
            <b:First>First Name</b:First>
          </b:Person>
        </b:NameList>
      </b:Author>
    </b:Author>
    <b:RefOrder>1</b:RefOrder>
  </b:Source>
  <b:Source>
    <b:Tag>Laste1</b:Tag>
    <b:SourceType>JournalArticle</b:SourceType>
    <b:Guid>{89CA9E05-3404-46CB-8061-6741D2EB17B5}</b:Guid>
    <b:Title>Dolor Sit Amet</b:Title>
    <b:Year>Date</b:Year>
    <b:JournalName>Lorem Ipsum</b:JournalName>
    <b:Pages>1 - 10</b:Pages>
    <b:Author>
      <b:Author>
        <b:NameList>
          <b:Person>
            <b:Last>Last Name</b:Last>
            <b:First>First Name</b:First>
          </b:Person>
        </b:NameList>
      </b:Author>
    </b:Author>
    <b:RefOrder>2</b:RefOrder>
  </b:Source>
  <b:Source>
    <b:Tag>Dolte</b:Tag>
    <b:SourceType>ArticleInAPeriodical</b:SourceType>
    <b:Guid>{2C792E63-AED4-412B-A2CD-AC7291C24484}</b:Guid>
    <b:Author>
      <b:Author>
        <b:NameList>
          <b:Person>
            <b:Last>Last Name</b:Last>
            <b:First>First Name</b:First>
          </b:Person>
        </b:NameList>
      </b:Author>
    </b:Author>
    <b:Title>Lorem Ipsum Dolor Sit Amet</b:Title>
    <b:Year>Date</b:Year>
    <b:City>City</b:City>
    <b:Publisher>Publisher</b:Publisher>
    <b:StateProvince>State</b:StateProvince>
    <b:CountryRegion>Country</b:CountryRegion>
    <b:PeriodicalTitle>Duis sed elit ante</b:PeriodicalTitle>
    <b:Pages>10-20</b:Pages>
    <b:RefOrder>3</b:RefOrder>
  </b:Source>
</b:Sources>
</file>

<file path=customXml/itemProps1.xml><?xml version="1.0" encoding="utf-8"?>
<ds:datastoreItem xmlns:ds="http://schemas.openxmlformats.org/officeDocument/2006/customXml" ds:itemID="{399EA23B-A514-E94A-B95B-40970D2A9EEA}">
  <ds:schemaRefs>
    <ds:schemaRef ds:uri="http://schemas.openxmlformats.org/officeDocument/2006/bibliography"/>
  </ds:schemaRefs>
</ds:datastoreItem>
</file>

<file path=customXml/itemProps2.xml><?xml version="1.0" encoding="utf-8"?>
<ds:datastoreItem xmlns:ds="http://schemas.openxmlformats.org/officeDocument/2006/customXml" ds:itemID="{5D543C53-2B32-CD48-AE1B-31D8E3FF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9021</Words>
  <Characters>55029</Characters>
  <Application>Microsoft Office Word</Application>
  <DocSecurity>0</DocSecurity>
  <Lines>458</Lines>
  <Paragraphs>127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v.1.7</dc:subject>
  <dc:creator>Christian Carranza</dc:creator>
  <cp:keywords/>
  <dc:description/>
  <cp:lastModifiedBy>Christian Lildal Carranza</cp:lastModifiedBy>
  <cp:revision>2</cp:revision>
  <cp:lastPrinted>2014-03-14T09:15:00Z</cp:lastPrinted>
  <dcterms:created xsi:type="dcterms:W3CDTF">2022-05-01T10:16:00Z</dcterms:created>
  <dcterms:modified xsi:type="dcterms:W3CDTF">2022-05-01T10:16:00Z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id="5T3kv1Al"/&gt;&lt;style id="http://www.zotero.org/styles/american-medical-association" hasBibliography="1" bibliographyStyleHasBeenSet="1"/&gt;&lt;prefs&gt;&lt;pref name="fieldType" value="Field"/&gt;&lt;pref name="store</vt:lpwstr>
  </property>
  <property fmtid="{D5CDD505-2E9C-101B-9397-08002B2CF9AE}" pid="3" name="ZOTERO_PREF_2">
    <vt:lpwstr>References" value="true"/&gt;&lt;pref name="delayCitationUpdates" value="true"/&gt;&lt;pref name="dontAskDelayCitationUpdates" value="true"/&gt;&lt;/prefs&gt;&lt;/data&gt;</vt:lpwstr>
  </property>
</Properties>
</file>