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D88" w:rsidRDefault="00FF2D88" w:rsidP="00FF2D88">
      <w:pPr>
        <w:rPr>
          <w:rFonts w:cstheme="minorHAnsi"/>
          <w:b/>
          <w:bCs/>
          <w:sz w:val="28"/>
          <w:szCs w:val="28"/>
        </w:rPr>
      </w:pPr>
      <w:r w:rsidRPr="009603A8">
        <w:rPr>
          <w:rFonts w:cstheme="minorHAnsi"/>
          <w:b/>
          <w:bCs/>
          <w:sz w:val="28"/>
          <w:szCs w:val="28"/>
        </w:rPr>
        <w:t>Appendix</w:t>
      </w:r>
    </w:p>
    <w:p w:rsidR="00FF2D88" w:rsidRPr="00CA724E" w:rsidRDefault="00FF2D88" w:rsidP="00FF2D88">
      <w:pPr>
        <w:spacing w:line="360" w:lineRule="auto"/>
        <w:rPr>
          <w:rFonts w:cstheme="minorHAnsi"/>
          <w:b/>
          <w:bCs/>
          <w:sz w:val="24"/>
          <w:szCs w:val="24"/>
        </w:rPr>
      </w:pPr>
      <w:r w:rsidRPr="00CA724E">
        <w:rPr>
          <w:rFonts w:cstheme="minorHAnsi"/>
          <w:b/>
          <w:bCs/>
          <w:sz w:val="24"/>
          <w:szCs w:val="24"/>
        </w:rPr>
        <w:t>A</w:t>
      </w:r>
      <w:r>
        <w:rPr>
          <w:rFonts w:cstheme="minorHAnsi"/>
          <w:b/>
          <w:bCs/>
          <w:sz w:val="24"/>
          <w:szCs w:val="24"/>
        </w:rPr>
        <w:t>1</w:t>
      </w:r>
      <w:r w:rsidRPr="00CA724E">
        <w:rPr>
          <w:rFonts w:cstheme="minorHAnsi"/>
          <w:b/>
          <w:bCs/>
          <w:sz w:val="24"/>
          <w:szCs w:val="24"/>
        </w:rPr>
        <w:t xml:space="preserve">  Weights</w:t>
      </w:r>
    </w:p>
    <w:tbl>
      <w:tblPr>
        <w:tblStyle w:val="TableGrid"/>
        <w:tblpPr w:leftFromText="180" w:rightFromText="180" w:vertAnchor="text" w:horzAnchor="margin" w:tblpY="40"/>
        <w:tblW w:w="5000" w:type="pct"/>
        <w:tblLook w:val="04A0" w:firstRow="1" w:lastRow="0" w:firstColumn="1" w:lastColumn="0" w:noHBand="0" w:noVBand="1"/>
      </w:tblPr>
      <w:tblGrid>
        <w:gridCol w:w="3823"/>
        <w:gridCol w:w="3969"/>
        <w:gridCol w:w="1224"/>
      </w:tblGrid>
      <w:tr w:rsidR="00FF2D88" w:rsidTr="006F4C71">
        <w:tc>
          <w:tcPr>
            <w:tcW w:w="5000" w:type="pct"/>
            <w:gridSpan w:val="3"/>
            <w:vAlign w:val="bottom"/>
          </w:tcPr>
          <w:p w:rsidR="00FF2D88" w:rsidRPr="00D05F20" w:rsidRDefault="00FF2D88" w:rsidP="006F4C71">
            <w:pPr>
              <w:spacing w:line="360" w:lineRule="auto"/>
              <w:rPr>
                <w:rFonts w:ascii="Calibri" w:hAnsi="Calibri" w:cs="Calibri"/>
                <w:b/>
                <w:bCs/>
                <w:color w:val="000000"/>
              </w:rPr>
            </w:pPr>
            <w:r w:rsidRPr="006B5B90">
              <w:rPr>
                <w:rFonts w:ascii="Calibri" w:hAnsi="Calibri" w:cs="Calibri"/>
                <w:b/>
                <w:bCs/>
                <w:color w:val="000000"/>
              </w:rPr>
              <w:t>Table A1:</w:t>
            </w:r>
            <w:r>
              <w:rPr>
                <w:rFonts w:ascii="Calibri" w:hAnsi="Calibri" w:cs="Calibri"/>
                <w:b/>
                <w:bCs/>
                <w:color w:val="000000"/>
              </w:rPr>
              <w:t xml:space="preserve"> </w:t>
            </w:r>
            <w:r w:rsidRPr="00933F54">
              <w:rPr>
                <w:rFonts w:ascii="Calibri" w:hAnsi="Calibri" w:cs="Calibri"/>
                <w:color w:val="000000"/>
              </w:rPr>
              <w:t>Odds ratios of being included in study sample, based on all eligible ambulance call outs during the study period</w:t>
            </w:r>
            <w:r>
              <w:rPr>
                <w:rFonts w:ascii="Calibri" w:hAnsi="Calibri" w:cs="Calibri"/>
                <w:b/>
                <w:bCs/>
                <w:color w:val="000000"/>
              </w:rPr>
              <w:t xml:space="preserve"> </w:t>
            </w:r>
          </w:p>
        </w:tc>
      </w:tr>
      <w:tr w:rsidR="00FF2D88" w:rsidTr="006F4C71">
        <w:tc>
          <w:tcPr>
            <w:tcW w:w="2120" w:type="pct"/>
            <w:tcBorders>
              <w:right w:val="single" w:sz="4" w:space="0" w:color="auto"/>
            </w:tcBorders>
            <w:vAlign w:val="bottom"/>
          </w:tcPr>
          <w:p w:rsidR="00FF2D88" w:rsidRPr="00933F54" w:rsidRDefault="00FF2D88" w:rsidP="006F4C71">
            <w:pPr>
              <w:spacing w:line="360" w:lineRule="auto"/>
              <w:rPr>
                <w:rFonts w:cstheme="minorHAnsi"/>
                <w:b/>
                <w:bCs/>
                <w:sz w:val="24"/>
                <w:szCs w:val="24"/>
              </w:rPr>
            </w:pPr>
            <w:r w:rsidRPr="00933F54">
              <w:rPr>
                <w:rFonts w:cstheme="minorHAnsi"/>
                <w:b/>
                <w:bCs/>
                <w:sz w:val="24"/>
                <w:szCs w:val="24"/>
              </w:rPr>
              <w:t>Characteristic</w:t>
            </w:r>
          </w:p>
        </w:tc>
        <w:tc>
          <w:tcPr>
            <w:tcW w:w="2880" w:type="pct"/>
            <w:gridSpan w:val="2"/>
            <w:tcBorders>
              <w:left w:val="single" w:sz="4" w:space="0" w:color="auto"/>
            </w:tcBorders>
            <w:vAlign w:val="bottom"/>
          </w:tcPr>
          <w:p w:rsidR="00FF2D88" w:rsidRPr="00933F54" w:rsidRDefault="00FF2D88" w:rsidP="006F4C71">
            <w:pPr>
              <w:spacing w:line="360" w:lineRule="auto"/>
              <w:jc w:val="right"/>
              <w:rPr>
                <w:rFonts w:cstheme="minorHAnsi"/>
                <w:b/>
                <w:bCs/>
                <w:sz w:val="24"/>
                <w:szCs w:val="24"/>
              </w:rPr>
            </w:pPr>
            <w:r w:rsidRPr="00933F54">
              <w:rPr>
                <w:rFonts w:ascii="Calibri" w:hAnsi="Calibri" w:cs="Calibri"/>
                <w:b/>
                <w:bCs/>
                <w:color w:val="000000"/>
              </w:rPr>
              <w:t>Odds ratio (95% Confidence Interval)</w:t>
            </w:r>
          </w:p>
        </w:tc>
      </w:tr>
      <w:tr w:rsidR="00FF2D88" w:rsidTr="006F4C71">
        <w:tc>
          <w:tcPr>
            <w:tcW w:w="2120" w:type="pct"/>
            <w:tcBorders>
              <w:right w:val="single" w:sz="4" w:space="0" w:color="auto"/>
            </w:tcBorders>
            <w:vAlign w:val="bottom"/>
          </w:tcPr>
          <w:p w:rsidR="00FF2D88" w:rsidRDefault="00FF2D88" w:rsidP="006F4C71">
            <w:pPr>
              <w:spacing w:line="360" w:lineRule="auto"/>
              <w:rPr>
                <w:rFonts w:cstheme="minorHAnsi"/>
                <w:sz w:val="24"/>
                <w:szCs w:val="24"/>
              </w:rPr>
            </w:pPr>
            <w:r>
              <w:rPr>
                <w:rFonts w:ascii="Calibri" w:hAnsi="Calibri" w:cs="Calibri"/>
                <w:color w:val="000000"/>
              </w:rPr>
              <w:t>Age (ref: 50-54)</w:t>
            </w:r>
          </w:p>
        </w:tc>
        <w:tc>
          <w:tcPr>
            <w:tcW w:w="2201" w:type="pct"/>
            <w:tcBorders>
              <w:left w:val="single" w:sz="4" w:space="0" w:color="auto"/>
              <w:bottom w:val="single" w:sz="4" w:space="0" w:color="auto"/>
              <w:right w:val="nil"/>
            </w:tcBorders>
            <w:vAlign w:val="bottom"/>
          </w:tcPr>
          <w:p w:rsidR="00FF2D88" w:rsidRDefault="00FF2D88" w:rsidP="006F4C71">
            <w:pPr>
              <w:spacing w:line="360" w:lineRule="auto"/>
              <w:rPr>
                <w:rFonts w:cstheme="minorHAnsi"/>
                <w:sz w:val="24"/>
                <w:szCs w:val="24"/>
              </w:rPr>
            </w:pPr>
          </w:p>
        </w:tc>
        <w:tc>
          <w:tcPr>
            <w:tcW w:w="679" w:type="pct"/>
            <w:tcBorders>
              <w:left w:val="nil"/>
            </w:tcBorders>
            <w:vAlign w:val="bottom"/>
          </w:tcPr>
          <w:p w:rsidR="00FF2D88" w:rsidRDefault="00FF2D88" w:rsidP="006F4C71">
            <w:pPr>
              <w:spacing w:line="360" w:lineRule="auto"/>
              <w:rPr>
                <w:rFonts w:cstheme="minorHAnsi"/>
                <w:sz w:val="24"/>
                <w:szCs w:val="24"/>
              </w:rPr>
            </w:pPr>
          </w:p>
        </w:tc>
      </w:tr>
      <w:tr w:rsidR="00FF2D88" w:rsidTr="006F4C71">
        <w:tc>
          <w:tcPr>
            <w:tcW w:w="2120" w:type="pct"/>
            <w:tcBorders>
              <w:right w:val="single" w:sz="4" w:space="0" w:color="auto"/>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55-59</w:t>
            </w:r>
          </w:p>
        </w:tc>
        <w:tc>
          <w:tcPr>
            <w:tcW w:w="2201" w:type="pct"/>
            <w:tcBorders>
              <w:left w:val="single" w:sz="4" w:space="0" w:color="auto"/>
              <w:right w:val="nil"/>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1.11</w:t>
            </w:r>
          </w:p>
        </w:tc>
        <w:tc>
          <w:tcPr>
            <w:tcW w:w="679" w:type="pct"/>
            <w:tcBorders>
              <w:left w:val="nil"/>
            </w:tcBorders>
            <w:vAlign w:val="bottom"/>
          </w:tcPr>
          <w:p w:rsidR="00FF2D88" w:rsidRDefault="00FF2D88" w:rsidP="006F4C71">
            <w:pPr>
              <w:spacing w:line="360" w:lineRule="auto"/>
              <w:rPr>
                <w:rFonts w:cstheme="minorHAnsi"/>
                <w:sz w:val="24"/>
                <w:szCs w:val="24"/>
              </w:rPr>
            </w:pPr>
            <w:r>
              <w:rPr>
                <w:rFonts w:ascii="Calibri" w:hAnsi="Calibri" w:cs="Calibri"/>
                <w:color w:val="000000"/>
              </w:rPr>
              <w:t>(0.86-1.45)</w:t>
            </w:r>
          </w:p>
        </w:tc>
      </w:tr>
      <w:tr w:rsidR="00FF2D88" w:rsidTr="006F4C71">
        <w:tc>
          <w:tcPr>
            <w:tcW w:w="2120" w:type="pct"/>
            <w:tcBorders>
              <w:right w:val="single" w:sz="4" w:space="0" w:color="auto"/>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60-64</w:t>
            </w:r>
          </w:p>
        </w:tc>
        <w:tc>
          <w:tcPr>
            <w:tcW w:w="2201" w:type="pct"/>
            <w:tcBorders>
              <w:left w:val="single" w:sz="4" w:space="0" w:color="auto"/>
              <w:right w:val="nil"/>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1.56</w:t>
            </w:r>
          </w:p>
        </w:tc>
        <w:tc>
          <w:tcPr>
            <w:tcW w:w="679" w:type="pct"/>
            <w:tcBorders>
              <w:left w:val="nil"/>
            </w:tcBorders>
            <w:vAlign w:val="bottom"/>
          </w:tcPr>
          <w:p w:rsidR="00FF2D88" w:rsidRDefault="00FF2D88" w:rsidP="006F4C71">
            <w:pPr>
              <w:spacing w:line="360" w:lineRule="auto"/>
              <w:rPr>
                <w:rFonts w:cstheme="minorHAnsi"/>
                <w:sz w:val="24"/>
                <w:szCs w:val="24"/>
              </w:rPr>
            </w:pPr>
            <w:r>
              <w:rPr>
                <w:rFonts w:ascii="Calibri" w:hAnsi="Calibri" w:cs="Calibri"/>
                <w:color w:val="000000"/>
              </w:rPr>
              <w:t>(1.23-1.98)</w:t>
            </w:r>
          </w:p>
        </w:tc>
      </w:tr>
      <w:tr w:rsidR="00FF2D88" w:rsidTr="006F4C71">
        <w:tc>
          <w:tcPr>
            <w:tcW w:w="2120" w:type="pct"/>
            <w:tcBorders>
              <w:right w:val="single" w:sz="4" w:space="0" w:color="auto"/>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65-69</w:t>
            </w:r>
          </w:p>
        </w:tc>
        <w:tc>
          <w:tcPr>
            <w:tcW w:w="2201" w:type="pct"/>
            <w:tcBorders>
              <w:left w:val="single" w:sz="4" w:space="0" w:color="auto"/>
              <w:right w:val="nil"/>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1.77</w:t>
            </w:r>
          </w:p>
        </w:tc>
        <w:tc>
          <w:tcPr>
            <w:tcW w:w="679" w:type="pct"/>
            <w:tcBorders>
              <w:left w:val="nil"/>
            </w:tcBorders>
            <w:vAlign w:val="bottom"/>
          </w:tcPr>
          <w:p w:rsidR="00FF2D88" w:rsidRDefault="00FF2D88" w:rsidP="006F4C71">
            <w:pPr>
              <w:spacing w:line="360" w:lineRule="auto"/>
              <w:rPr>
                <w:rFonts w:cstheme="minorHAnsi"/>
                <w:sz w:val="24"/>
                <w:szCs w:val="24"/>
              </w:rPr>
            </w:pPr>
            <w:r>
              <w:rPr>
                <w:rFonts w:ascii="Calibri" w:hAnsi="Calibri" w:cs="Calibri"/>
                <w:color w:val="000000"/>
              </w:rPr>
              <w:t>(1.40-2.24)</w:t>
            </w:r>
          </w:p>
        </w:tc>
      </w:tr>
      <w:tr w:rsidR="00FF2D88" w:rsidTr="006F4C71">
        <w:tc>
          <w:tcPr>
            <w:tcW w:w="2120" w:type="pct"/>
            <w:tcBorders>
              <w:right w:val="single" w:sz="4" w:space="0" w:color="auto"/>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70-74</w:t>
            </w:r>
          </w:p>
        </w:tc>
        <w:tc>
          <w:tcPr>
            <w:tcW w:w="2201" w:type="pct"/>
            <w:tcBorders>
              <w:left w:val="single" w:sz="4" w:space="0" w:color="auto"/>
              <w:right w:val="nil"/>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1.95</w:t>
            </w:r>
          </w:p>
        </w:tc>
        <w:tc>
          <w:tcPr>
            <w:tcW w:w="679" w:type="pct"/>
            <w:tcBorders>
              <w:left w:val="nil"/>
            </w:tcBorders>
            <w:vAlign w:val="bottom"/>
          </w:tcPr>
          <w:p w:rsidR="00FF2D88" w:rsidRDefault="00FF2D88" w:rsidP="006F4C71">
            <w:pPr>
              <w:spacing w:line="360" w:lineRule="auto"/>
              <w:rPr>
                <w:rFonts w:cstheme="minorHAnsi"/>
                <w:sz w:val="24"/>
                <w:szCs w:val="24"/>
              </w:rPr>
            </w:pPr>
            <w:r>
              <w:rPr>
                <w:rFonts w:ascii="Calibri" w:hAnsi="Calibri" w:cs="Calibri"/>
                <w:color w:val="000000"/>
              </w:rPr>
              <w:t>(1.56-2.44)</w:t>
            </w:r>
          </w:p>
        </w:tc>
      </w:tr>
      <w:tr w:rsidR="00FF2D88" w:rsidTr="006F4C71">
        <w:tc>
          <w:tcPr>
            <w:tcW w:w="2120" w:type="pct"/>
            <w:tcBorders>
              <w:right w:val="single" w:sz="4" w:space="0" w:color="auto"/>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75-79</w:t>
            </w:r>
          </w:p>
        </w:tc>
        <w:tc>
          <w:tcPr>
            <w:tcW w:w="2201" w:type="pct"/>
            <w:tcBorders>
              <w:left w:val="single" w:sz="4" w:space="0" w:color="auto"/>
              <w:right w:val="nil"/>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2.34</w:t>
            </w:r>
          </w:p>
        </w:tc>
        <w:tc>
          <w:tcPr>
            <w:tcW w:w="679" w:type="pct"/>
            <w:tcBorders>
              <w:left w:val="nil"/>
            </w:tcBorders>
            <w:vAlign w:val="bottom"/>
          </w:tcPr>
          <w:p w:rsidR="00FF2D88" w:rsidRDefault="00FF2D88" w:rsidP="006F4C71">
            <w:pPr>
              <w:spacing w:line="360" w:lineRule="auto"/>
              <w:rPr>
                <w:rFonts w:cstheme="minorHAnsi"/>
                <w:sz w:val="24"/>
                <w:szCs w:val="24"/>
              </w:rPr>
            </w:pPr>
            <w:r>
              <w:rPr>
                <w:rFonts w:ascii="Calibri" w:hAnsi="Calibri" w:cs="Calibri"/>
                <w:color w:val="000000"/>
              </w:rPr>
              <w:t>(1.88-2.90)</w:t>
            </w:r>
          </w:p>
        </w:tc>
      </w:tr>
      <w:tr w:rsidR="00FF2D88" w:rsidTr="006F4C71">
        <w:tc>
          <w:tcPr>
            <w:tcW w:w="2120" w:type="pct"/>
            <w:tcBorders>
              <w:right w:val="single" w:sz="4" w:space="0" w:color="auto"/>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80-84</w:t>
            </w:r>
          </w:p>
        </w:tc>
        <w:tc>
          <w:tcPr>
            <w:tcW w:w="2201" w:type="pct"/>
            <w:tcBorders>
              <w:left w:val="single" w:sz="4" w:space="0" w:color="auto"/>
              <w:right w:val="nil"/>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2.70</w:t>
            </w:r>
          </w:p>
        </w:tc>
        <w:tc>
          <w:tcPr>
            <w:tcW w:w="679" w:type="pct"/>
            <w:tcBorders>
              <w:left w:val="nil"/>
            </w:tcBorders>
            <w:vAlign w:val="bottom"/>
          </w:tcPr>
          <w:p w:rsidR="00FF2D88" w:rsidRDefault="00FF2D88" w:rsidP="006F4C71">
            <w:pPr>
              <w:spacing w:line="360" w:lineRule="auto"/>
              <w:rPr>
                <w:rFonts w:cstheme="minorHAnsi"/>
                <w:sz w:val="24"/>
                <w:szCs w:val="24"/>
              </w:rPr>
            </w:pPr>
            <w:r>
              <w:rPr>
                <w:rFonts w:ascii="Calibri" w:hAnsi="Calibri" w:cs="Calibri"/>
                <w:color w:val="000000"/>
              </w:rPr>
              <w:t>(2.19-3.34)</w:t>
            </w:r>
          </w:p>
        </w:tc>
      </w:tr>
      <w:tr w:rsidR="00FF2D88" w:rsidTr="006F4C71">
        <w:tc>
          <w:tcPr>
            <w:tcW w:w="2120" w:type="pct"/>
            <w:tcBorders>
              <w:right w:val="single" w:sz="4" w:space="0" w:color="auto"/>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85-89</w:t>
            </w:r>
          </w:p>
        </w:tc>
        <w:tc>
          <w:tcPr>
            <w:tcW w:w="2201" w:type="pct"/>
            <w:tcBorders>
              <w:left w:val="single" w:sz="4" w:space="0" w:color="auto"/>
              <w:right w:val="nil"/>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2.98</w:t>
            </w:r>
          </w:p>
        </w:tc>
        <w:tc>
          <w:tcPr>
            <w:tcW w:w="679" w:type="pct"/>
            <w:tcBorders>
              <w:left w:val="nil"/>
            </w:tcBorders>
            <w:vAlign w:val="bottom"/>
          </w:tcPr>
          <w:p w:rsidR="00FF2D88" w:rsidRDefault="00FF2D88" w:rsidP="006F4C71">
            <w:pPr>
              <w:spacing w:line="360" w:lineRule="auto"/>
              <w:rPr>
                <w:rFonts w:cstheme="minorHAnsi"/>
                <w:sz w:val="24"/>
                <w:szCs w:val="24"/>
              </w:rPr>
            </w:pPr>
            <w:r>
              <w:rPr>
                <w:rFonts w:ascii="Calibri" w:hAnsi="Calibri" w:cs="Calibri"/>
                <w:color w:val="000000"/>
              </w:rPr>
              <w:t>(2.41-3.67)</w:t>
            </w:r>
          </w:p>
        </w:tc>
      </w:tr>
      <w:tr w:rsidR="00FF2D88" w:rsidTr="006F4C71">
        <w:tc>
          <w:tcPr>
            <w:tcW w:w="2120" w:type="pct"/>
            <w:tcBorders>
              <w:right w:val="single" w:sz="4" w:space="0" w:color="auto"/>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≥90</w:t>
            </w:r>
          </w:p>
        </w:tc>
        <w:tc>
          <w:tcPr>
            <w:tcW w:w="2201" w:type="pct"/>
            <w:tcBorders>
              <w:left w:val="single" w:sz="4" w:space="0" w:color="auto"/>
              <w:right w:val="nil"/>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3.26</w:t>
            </w:r>
          </w:p>
        </w:tc>
        <w:tc>
          <w:tcPr>
            <w:tcW w:w="679" w:type="pct"/>
            <w:tcBorders>
              <w:left w:val="nil"/>
            </w:tcBorders>
            <w:vAlign w:val="bottom"/>
          </w:tcPr>
          <w:p w:rsidR="00FF2D88" w:rsidRDefault="00FF2D88" w:rsidP="006F4C71">
            <w:pPr>
              <w:spacing w:line="360" w:lineRule="auto"/>
              <w:rPr>
                <w:rFonts w:cstheme="minorHAnsi"/>
                <w:sz w:val="24"/>
                <w:szCs w:val="24"/>
              </w:rPr>
            </w:pPr>
            <w:r>
              <w:rPr>
                <w:rFonts w:ascii="Calibri" w:hAnsi="Calibri" w:cs="Calibri"/>
                <w:color w:val="000000"/>
              </w:rPr>
              <w:t>(2.63-4.04)</w:t>
            </w:r>
          </w:p>
        </w:tc>
      </w:tr>
      <w:tr w:rsidR="00FF2D88" w:rsidTr="006F4C71">
        <w:tc>
          <w:tcPr>
            <w:tcW w:w="2120" w:type="pct"/>
            <w:tcBorders>
              <w:right w:val="single" w:sz="4" w:space="0" w:color="auto"/>
            </w:tcBorders>
            <w:vAlign w:val="bottom"/>
          </w:tcPr>
          <w:p w:rsidR="00FF2D88" w:rsidRDefault="00FF2D88" w:rsidP="006F4C71">
            <w:pPr>
              <w:spacing w:line="360" w:lineRule="auto"/>
              <w:rPr>
                <w:rFonts w:cstheme="minorHAnsi"/>
                <w:sz w:val="24"/>
                <w:szCs w:val="24"/>
              </w:rPr>
            </w:pPr>
            <w:r>
              <w:rPr>
                <w:rFonts w:ascii="Calibri" w:hAnsi="Calibri" w:cs="Calibri"/>
                <w:color w:val="000000"/>
              </w:rPr>
              <w:t>Female</w:t>
            </w:r>
          </w:p>
        </w:tc>
        <w:tc>
          <w:tcPr>
            <w:tcW w:w="2201" w:type="pct"/>
            <w:tcBorders>
              <w:left w:val="single" w:sz="4" w:space="0" w:color="auto"/>
              <w:right w:val="nil"/>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1.08</w:t>
            </w:r>
          </w:p>
        </w:tc>
        <w:tc>
          <w:tcPr>
            <w:tcW w:w="679" w:type="pct"/>
            <w:tcBorders>
              <w:left w:val="nil"/>
            </w:tcBorders>
            <w:vAlign w:val="bottom"/>
          </w:tcPr>
          <w:p w:rsidR="00FF2D88" w:rsidRDefault="00FF2D88" w:rsidP="006F4C71">
            <w:pPr>
              <w:spacing w:line="360" w:lineRule="auto"/>
              <w:rPr>
                <w:rFonts w:cstheme="minorHAnsi"/>
                <w:sz w:val="24"/>
                <w:szCs w:val="24"/>
              </w:rPr>
            </w:pPr>
            <w:r>
              <w:rPr>
                <w:rFonts w:ascii="Calibri" w:hAnsi="Calibri" w:cs="Calibri"/>
                <w:color w:val="000000"/>
              </w:rPr>
              <w:t>(1.00-1.16)</w:t>
            </w:r>
          </w:p>
        </w:tc>
      </w:tr>
      <w:tr w:rsidR="00FF2D88" w:rsidTr="006F4C71">
        <w:tc>
          <w:tcPr>
            <w:tcW w:w="2120" w:type="pct"/>
            <w:tcBorders>
              <w:right w:val="single" w:sz="4" w:space="0" w:color="auto"/>
            </w:tcBorders>
          </w:tcPr>
          <w:p w:rsidR="00FF2D88" w:rsidRDefault="00FF2D88" w:rsidP="006F4C71">
            <w:pPr>
              <w:rPr>
                <w:rFonts w:ascii="Calibri" w:hAnsi="Calibri" w:cs="Calibri"/>
                <w:color w:val="000000"/>
              </w:rPr>
            </w:pPr>
            <w:r>
              <w:rPr>
                <w:rFonts w:ascii="Calibri" w:hAnsi="Calibri" w:cs="Calibri"/>
                <w:color w:val="000000"/>
              </w:rPr>
              <w:t>Deprivation quintile (ref: 1, Most)</w:t>
            </w:r>
          </w:p>
          <w:p w:rsidR="00FF2D88" w:rsidRDefault="00FF2D88" w:rsidP="006F4C71">
            <w:pPr>
              <w:spacing w:line="360" w:lineRule="auto"/>
              <w:rPr>
                <w:rFonts w:cstheme="minorHAnsi"/>
                <w:sz w:val="24"/>
                <w:szCs w:val="24"/>
              </w:rPr>
            </w:pPr>
          </w:p>
        </w:tc>
        <w:tc>
          <w:tcPr>
            <w:tcW w:w="2201" w:type="pct"/>
            <w:tcBorders>
              <w:left w:val="single" w:sz="4" w:space="0" w:color="auto"/>
              <w:right w:val="nil"/>
            </w:tcBorders>
          </w:tcPr>
          <w:p w:rsidR="00FF2D88" w:rsidRDefault="00FF2D88" w:rsidP="006F4C71">
            <w:pPr>
              <w:spacing w:line="360" w:lineRule="auto"/>
              <w:rPr>
                <w:rFonts w:cstheme="minorHAnsi"/>
                <w:sz w:val="24"/>
                <w:szCs w:val="24"/>
              </w:rPr>
            </w:pPr>
          </w:p>
        </w:tc>
        <w:tc>
          <w:tcPr>
            <w:tcW w:w="679" w:type="pct"/>
            <w:tcBorders>
              <w:left w:val="nil"/>
            </w:tcBorders>
          </w:tcPr>
          <w:p w:rsidR="00FF2D88" w:rsidRDefault="00FF2D88" w:rsidP="006F4C71">
            <w:pPr>
              <w:spacing w:line="360" w:lineRule="auto"/>
              <w:rPr>
                <w:rFonts w:cstheme="minorHAnsi"/>
                <w:sz w:val="24"/>
                <w:szCs w:val="24"/>
              </w:rPr>
            </w:pPr>
          </w:p>
        </w:tc>
      </w:tr>
      <w:tr w:rsidR="00FF2D88" w:rsidTr="006F4C71">
        <w:tc>
          <w:tcPr>
            <w:tcW w:w="2120" w:type="pct"/>
            <w:tcBorders>
              <w:right w:val="single" w:sz="4" w:space="0" w:color="auto"/>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2</w:t>
            </w:r>
          </w:p>
        </w:tc>
        <w:tc>
          <w:tcPr>
            <w:tcW w:w="2201" w:type="pct"/>
            <w:tcBorders>
              <w:left w:val="single" w:sz="4" w:space="0" w:color="auto"/>
              <w:right w:val="nil"/>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1.12</w:t>
            </w:r>
          </w:p>
        </w:tc>
        <w:tc>
          <w:tcPr>
            <w:tcW w:w="679" w:type="pct"/>
            <w:tcBorders>
              <w:left w:val="nil"/>
            </w:tcBorders>
            <w:vAlign w:val="bottom"/>
          </w:tcPr>
          <w:p w:rsidR="00FF2D88" w:rsidRDefault="00FF2D88" w:rsidP="006F4C71">
            <w:pPr>
              <w:spacing w:line="360" w:lineRule="auto"/>
              <w:rPr>
                <w:rFonts w:cstheme="minorHAnsi"/>
                <w:sz w:val="24"/>
                <w:szCs w:val="24"/>
              </w:rPr>
            </w:pPr>
            <w:r>
              <w:rPr>
                <w:rFonts w:ascii="Calibri" w:hAnsi="Calibri" w:cs="Calibri"/>
                <w:color w:val="000000"/>
              </w:rPr>
              <w:t>(1.02-1.24)</w:t>
            </w:r>
          </w:p>
        </w:tc>
      </w:tr>
      <w:tr w:rsidR="00FF2D88" w:rsidTr="006F4C71">
        <w:tc>
          <w:tcPr>
            <w:tcW w:w="2120" w:type="pct"/>
            <w:tcBorders>
              <w:right w:val="single" w:sz="4" w:space="0" w:color="auto"/>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3</w:t>
            </w:r>
          </w:p>
        </w:tc>
        <w:tc>
          <w:tcPr>
            <w:tcW w:w="2201" w:type="pct"/>
            <w:tcBorders>
              <w:left w:val="single" w:sz="4" w:space="0" w:color="auto"/>
              <w:right w:val="nil"/>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1.13</w:t>
            </w:r>
          </w:p>
        </w:tc>
        <w:tc>
          <w:tcPr>
            <w:tcW w:w="679" w:type="pct"/>
            <w:tcBorders>
              <w:left w:val="nil"/>
            </w:tcBorders>
            <w:vAlign w:val="bottom"/>
          </w:tcPr>
          <w:p w:rsidR="00FF2D88" w:rsidRDefault="00FF2D88" w:rsidP="006F4C71">
            <w:pPr>
              <w:spacing w:line="360" w:lineRule="auto"/>
              <w:rPr>
                <w:rFonts w:cstheme="minorHAnsi"/>
                <w:sz w:val="24"/>
                <w:szCs w:val="24"/>
              </w:rPr>
            </w:pPr>
            <w:r>
              <w:rPr>
                <w:rFonts w:ascii="Calibri" w:hAnsi="Calibri" w:cs="Calibri"/>
                <w:color w:val="000000"/>
              </w:rPr>
              <w:t>(1.00-1.27)</w:t>
            </w:r>
          </w:p>
        </w:tc>
      </w:tr>
      <w:tr w:rsidR="00FF2D88" w:rsidTr="006F4C71">
        <w:tc>
          <w:tcPr>
            <w:tcW w:w="2120" w:type="pct"/>
            <w:tcBorders>
              <w:right w:val="single" w:sz="4" w:space="0" w:color="auto"/>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4</w:t>
            </w:r>
          </w:p>
        </w:tc>
        <w:tc>
          <w:tcPr>
            <w:tcW w:w="2201" w:type="pct"/>
            <w:tcBorders>
              <w:left w:val="single" w:sz="4" w:space="0" w:color="auto"/>
              <w:right w:val="nil"/>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1.04</w:t>
            </w:r>
          </w:p>
        </w:tc>
        <w:tc>
          <w:tcPr>
            <w:tcW w:w="679" w:type="pct"/>
            <w:tcBorders>
              <w:left w:val="nil"/>
            </w:tcBorders>
            <w:vAlign w:val="bottom"/>
          </w:tcPr>
          <w:p w:rsidR="00FF2D88" w:rsidRDefault="00FF2D88" w:rsidP="006F4C71">
            <w:pPr>
              <w:spacing w:line="360" w:lineRule="auto"/>
              <w:rPr>
                <w:rFonts w:cstheme="minorHAnsi"/>
                <w:sz w:val="24"/>
                <w:szCs w:val="24"/>
              </w:rPr>
            </w:pPr>
            <w:r>
              <w:rPr>
                <w:rFonts w:ascii="Calibri" w:hAnsi="Calibri" w:cs="Calibri"/>
                <w:color w:val="000000"/>
              </w:rPr>
              <w:t>(0.91-1.17)</w:t>
            </w:r>
          </w:p>
        </w:tc>
      </w:tr>
      <w:tr w:rsidR="00FF2D88" w:rsidTr="006F4C71">
        <w:tc>
          <w:tcPr>
            <w:tcW w:w="2120" w:type="pct"/>
            <w:tcBorders>
              <w:right w:val="single" w:sz="4" w:space="0" w:color="auto"/>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5 (Least)</w:t>
            </w:r>
          </w:p>
        </w:tc>
        <w:tc>
          <w:tcPr>
            <w:tcW w:w="2201" w:type="pct"/>
            <w:tcBorders>
              <w:left w:val="single" w:sz="4" w:space="0" w:color="auto"/>
              <w:right w:val="nil"/>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1.09</w:t>
            </w:r>
          </w:p>
        </w:tc>
        <w:tc>
          <w:tcPr>
            <w:tcW w:w="679" w:type="pct"/>
            <w:tcBorders>
              <w:left w:val="nil"/>
            </w:tcBorders>
            <w:vAlign w:val="bottom"/>
          </w:tcPr>
          <w:p w:rsidR="00FF2D88" w:rsidRDefault="00FF2D88" w:rsidP="006F4C71">
            <w:pPr>
              <w:spacing w:line="360" w:lineRule="auto"/>
              <w:rPr>
                <w:rFonts w:cstheme="minorHAnsi"/>
                <w:sz w:val="24"/>
                <w:szCs w:val="24"/>
              </w:rPr>
            </w:pPr>
            <w:r>
              <w:rPr>
                <w:rFonts w:ascii="Calibri" w:hAnsi="Calibri" w:cs="Calibri"/>
                <w:color w:val="000000"/>
              </w:rPr>
              <w:t>(0.96-1.24)</w:t>
            </w:r>
          </w:p>
        </w:tc>
      </w:tr>
      <w:tr w:rsidR="00FF2D88" w:rsidTr="006F4C71">
        <w:tc>
          <w:tcPr>
            <w:tcW w:w="2120" w:type="pct"/>
            <w:tcBorders>
              <w:right w:val="single" w:sz="4" w:space="0" w:color="auto"/>
            </w:tcBorders>
            <w:vAlign w:val="bottom"/>
          </w:tcPr>
          <w:p w:rsidR="00FF2D88" w:rsidRDefault="00FF2D88" w:rsidP="006F4C71">
            <w:pPr>
              <w:spacing w:line="360" w:lineRule="auto"/>
              <w:rPr>
                <w:rFonts w:cstheme="minorHAnsi"/>
                <w:sz w:val="24"/>
                <w:szCs w:val="24"/>
              </w:rPr>
            </w:pPr>
            <w:r w:rsidRPr="009603A8">
              <w:rPr>
                <w:rFonts w:cstheme="minorHAnsi"/>
                <w:bCs/>
              </w:rPr>
              <w:t xml:space="preserve">NEWS2 ≥ 5 </w:t>
            </w:r>
          </w:p>
        </w:tc>
        <w:tc>
          <w:tcPr>
            <w:tcW w:w="2201" w:type="pct"/>
            <w:tcBorders>
              <w:left w:val="single" w:sz="4" w:space="0" w:color="auto"/>
              <w:right w:val="nil"/>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0.74</w:t>
            </w:r>
          </w:p>
        </w:tc>
        <w:tc>
          <w:tcPr>
            <w:tcW w:w="679" w:type="pct"/>
            <w:tcBorders>
              <w:left w:val="nil"/>
            </w:tcBorders>
            <w:vAlign w:val="bottom"/>
          </w:tcPr>
          <w:p w:rsidR="00FF2D88" w:rsidRDefault="00FF2D88" w:rsidP="006F4C71">
            <w:pPr>
              <w:spacing w:line="360" w:lineRule="auto"/>
              <w:rPr>
                <w:rFonts w:cstheme="minorHAnsi"/>
                <w:sz w:val="24"/>
                <w:szCs w:val="24"/>
              </w:rPr>
            </w:pPr>
            <w:r>
              <w:rPr>
                <w:rFonts w:ascii="Calibri" w:hAnsi="Calibri" w:cs="Calibri"/>
                <w:color w:val="000000"/>
              </w:rPr>
              <w:t>(0.64-0.86)</w:t>
            </w:r>
          </w:p>
        </w:tc>
      </w:tr>
      <w:tr w:rsidR="00FF2D88" w:rsidTr="006F4C71">
        <w:tc>
          <w:tcPr>
            <w:tcW w:w="2120" w:type="pct"/>
            <w:tcBorders>
              <w:right w:val="single" w:sz="4" w:space="0" w:color="auto"/>
            </w:tcBorders>
            <w:vAlign w:val="bottom"/>
          </w:tcPr>
          <w:p w:rsidR="00FF2D88" w:rsidRDefault="00FF2D88" w:rsidP="006F4C71">
            <w:pPr>
              <w:spacing w:line="360" w:lineRule="auto"/>
              <w:rPr>
                <w:rFonts w:cstheme="minorHAnsi"/>
                <w:sz w:val="24"/>
                <w:szCs w:val="24"/>
              </w:rPr>
            </w:pPr>
            <w:r>
              <w:rPr>
                <w:rFonts w:ascii="Calibri" w:hAnsi="Calibri" w:cs="Calibri"/>
                <w:color w:val="000000"/>
              </w:rPr>
              <w:t xml:space="preserve">Rural </w:t>
            </w:r>
          </w:p>
        </w:tc>
        <w:tc>
          <w:tcPr>
            <w:tcW w:w="2201" w:type="pct"/>
            <w:tcBorders>
              <w:left w:val="single" w:sz="4" w:space="0" w:color="auto"/>
              <w:right w:val="nil"/>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1.11</w:t>
            </w:r>
          </w:p>
        </w:tc>
        <w:tc>
          <w:tcPr>
            <w:tcW w:w="679" w:type="pct"/>
            <w:tcBorders>
              <w:left w:val="nil"/>
            </w:tcBorders>
            <w:vAlign w:val="bottom"/>
          </w:tcPr>
          <w:p w:rsidR="00FF2D88" w:rsidRDefault="00FF2D88" w:rsidP="006F4C71">
            <w:pPr>
              <w:spacing w:line="360" w:lineRule="auto"/>
              <w:rPr>
                <w:rFonts w:cstheme="minorHAnsi"/>
                <w:sz w:val="24"/>
                <w:szCs w:val="24"/>
              </w:rPr>
            </w:pPr>
            <w:r>
              <w:rPr>
                <w:rFonts w:ascii="Calibri" w:hAnsi="Calibri" w:cs="Calibri"/>
                <w:color w:val="000000"/>
              </w:rPr>
              <w:t>(1.01-1.22)</w:t>
            </w:r>
          </w:p>
        </w:tc>
      </w:tr>
      <w:tr w:rsidR="00FF2D88" w:rsidTr="006F4C71">
        <w:tc>
          <w:tcPr>
            <w:tcW w:w="2120" w:type="pct"/>
            <w:tcBorders>
              <w:right w:val="single" w:sz="4" w:space="0" w:color="auto"/>
            </w:tcBorders>
            <w:vAlign w:val="bottom"/>
          </w:tcPr>
          <w:p w:rsidR="00FF2D88" w:rsidRDefault="00FF2D88" w:rsidP="006F4C71">
            <w:pPr>
              <w:spacing w:line="360" w:lineRule="auto"/>
              <w:rPr>
                <w:rFonts w:cstheme="minorHAnsi"/>
                <w:sz w:val="24"/>
                <w:szCs w:val="24"/>
              </w:rPr>
            </w:pPr>
            <w:r>
              <w:rPr>
                <w:rFonts w:ascii="Calibri" w:hAnsi="Calibri" w:cs="Calibri"/>
                <w:color w:val="000000"/>
              </w:rPr>
              <w:t xml:space="preserve">Care home resident  </w:t>
            </w:r>
          </w:p>
        </w:tc>
        <w:tc>
          <w:tcPr>
            <w:tcW w:w="2201" w:type="pct"/>
            <w:tcBorders>
              <w:left w:val="single" w:sz="4" w:space="0" w:color="auto"/>
              <w:right w:val="nil"/>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1.10</w:t>
            </w:r>
          </w:p>
        </w:tc>
        <w:tc>
          <w:tcPr>
            <w:tcW w:w="679" w:type="pct"/>
            <w:tcBorders>
              <w:left w:val="nil"/>
            </w:tcBorders>
            <w:vAlign w:val="bottom"/>
          </w:tcPr>
          <w:p w:rsidR="00FF2D88" w:rsidRDefault="00FF2D88" w:rsidP="006F4C71">
            <w:pPr>
              <w:spacing w:line="360" w:lineRule="auto"/>
              <w:rPr>
                <w:rFonts w:cstheme="minorHAnsi"/>
                <w:sz w:val="24"/>
                <w:szCs w:val="24"/>
              </w:rPr>
            </w:pPr>
            <w:r>
              <w:rPr>
                <w:rFonts w:ascii="Calibri" w:hAnsi="Calibri" w:cs="Calibri"/>
                <w:color w:val="000000"/>
              </w:rPr>
              <w:t>(0.99-1.23)</w:t>
            </w:r>
          </w:p>
        </w:tc>
      </w:tr>
      <w:tr w:rsidR="00FF2D88" w:rsidTr="006F4C71">
        <w:tc>
          <w:tcPr>
            <w:tcW w:w="2120" w:type="pct"/>
            <w:tcBorders>
              <w:right w:val="single" w:sz="4" w:space="0" w:color="auto"/>
            </w:tcBorders>
            <w:vAlign w:val="bottom"/>
          </w:tcPr>
          <w:p w:rsidR="00FF2D88" w:rsidRDefault="00FF2D88" w:rsidP="006F4C71">
            <w:pPr>
              <w:spacing w:line="360" w:lineRule="auto"/>
              <w:rPr>
                <w:rFonts w:ascii="Calibri" w:hAnsi="Calibri" w:cs="Calibri"/>
                <w:color w:val="000000"/>
              </w:rPr>
            </w:pPr>
            <w:r>
              <w:rPr>
                <w:rFonts w:ascii="Calibri" w:hAnsi="Calibri" w:cs="Calibri"/>
                <w:color w:val="000000"/>
              </w:rPr>
              <w:t>Ambulance priority category (ref: 2)</w:t>
            </w:r>
          </w:p>
        </w:tc>
        <w:tc>
          <w:tcPr>
            <w:tcW w:w="2201" w:type="pct"/>
            <w:tcBorders>
              <w:left w:val="single" w:sz="4" w:space="0" w:color="auto"/>
              <w:right w:val="nil"/>
            </w:tcBorders>
            <w:vAlign w:val="bottom"/>
          </w:tcPr>
          <w:p w:rsidR="00FF2D88" w:rsidRDefault="00FF2D88" w:rsidP="006F4C71">
            <w:pPr>
              <w:spacing w:line="360" w:lineRule="auto"/>
              <w:jc w:val="right"/>
              <w:rPr>
                <w:rFonts w:ascii="Calibri" w:hAnsi="Calibri" w:cs="Calibri"/>
                <w:color w:val="000000"/>
              </w:rPr>
            </w:pPr>
          </w:p>
        </w:tc>
        <w:tc>
          <w:tcPr>
            <w:tcW w:w="679" w:type="pct"/>
            <w:tcBorders>
              <w:left w:val="nil"/>
            </w:tcBorders>
            <w:vAlign w:val="bottom"/>
          </w:tcPr>
          <w:p w:rsidR="00FF2D88" w:rsidRDefault="00FF2D88" w:rsidP="006F4C71">
            <w:pPr>
              <w:spacing w:line="360" w:lineRule="auto"/>
              <w:rPr>
                <w:rFonts w:ascii="Calibri" w:hAnsi="Calibri" w:cs="Calibri"/>
                <w:color w:val="000000"/>
              </w:rPr>
            </w:pPr>
          </w:p>
        </w:tc>
      </w:tr>
      <w:tr w:rsidR="00FF2D88" w:rsidTr="006F4C71">
        <w:tc>
          <w:tcPr>
            <w:tcW w:w="2120" w:type="pct"/>
            <w:tcBorders>
              <w:right w:val="single" w:sz="4" w:space="0" w:color="auto"/>
            </w:tcBorders>
            <w:vAlign w:val="bottom"/>
          </w:tcPr>
          <w:p w:rsidR="00FF2D88" w:rsidRDefault="00FF2D88" w:rsidP="006F4C71">
            <w:pPr>
              <w:spacing w:line="360" w:lineRule="auto"/>
              <w:jc w:val="right"/>
              <w:rPr>
                <w:rFonts w:ascii="Calibri" w:hAnsi="Calibri" w:cs="Calibri"/>
                <w:color w:val="000000"/>
              </w:rPr>
            </w:pPr>
            <w:r>
              <w:rPr>
                <w:rFonts w:ascii="Calibri" w:hAnsi="Calibri" w:cs="Calibri"/>
                <w:color w:val="000000"/>
              </w:rPr>
              <w:t>3</w:t>
            </w:r>
          </w:p>
        </w:tc>
        <w:tc>
          <w:tcPr>
            <w:tcW w:w="2201" w:type="pct"/>
            <w:tcBorders>
              <w:left w:val="single" w:sz="4" w:space="0" w:color="auto"/>
              <w:right w:val="nil"/>
            </w:tcBorders>
            <w:vAlign w:val="bottom"/>
          </w:tcPr>
          <w:p w:rsidR="00FF2D88" w:rsidRDefault="00FF2D88" w:rsidP="006F4C71">
            <w:pPr>
              <w:spacing w:line="360" w:lineRule="auto"/>
              <w:jc w:val="right"/>
              <w:rPr>
                <w:rFonts w:ascii="Calibri" w:hAnsi="Calibri" w:cs="Calibri"/>
                <w:color w:val="000000"/>
              </w:rPr>
            </w:pPr>
            <w:r>
              <w:rPr>
                <w:rFonts w:ascii="Calibri" w:hAnsi="Calibri" w:cs="Calibri"/>
                <w:color w:val="000000"/>
              </w:rPr>
              <w:t>1.52</w:t>
            </w:r>
          </w:p>
        </w:tc>
        <w:tc>
          <w:tcPr>
            <w:tcW w:w="679" w:type="pct"/>
            <w:tcBorders>
              <w:left w:val="nil"/>
            </w:tcBorders>
            <w:vAlign w:val="bottom"/>
          </w:tcPr>
          <w:p w:rsidR="00FF2D88" w:rsidRDefault="00FF2D88" w:rsidP="006F4C71">
            <w:pPr>
              <w:spacing w:line="360" w:lineRule="auto"/>
              <w:rPr>
                <w:rFonts w:ascii="Calibri" w:hAnsi="Calibri" w:cs="Calibri"/>
                <w:color w:val="000000"/>
              </w:rPr>
            </w:pPr>
            <w:r>
              <w:rPr>
                <w:rFonts w:ascii="Calibri" w:hAnsi="Calibri" w:cs="Calibri"/>
                <w:color w:val="000000"/>
              </w:rPr>
              <w:t>(1.40-1.65)</w:t>
            </w:r>
          </w:p>
        </w:tc>
      </w:tr>
      <w:tr w:rsidR="00FF2D88" w:rsidTr="006F4C71">
        <w:tc>
          <w:tcPr>
            <w:tcW w:w="2120" w:type="pct"/>
            <w:tcBorders>
              <w:right w:val="single" w:sz="4" w:space="0" w:color="auto"/>
            </w:tcBorders>
            <w:vAlign w:val="bottom"/>
          </w:tcPr>
          <w:p w:rsidR="00FF2D88" w:rsidRDefault="00FF2D88" w:rsidP="006F4C71">
            <w:pPr>
              <w:spacing w:line="360" w:lineRule="auto"/>
              <w:jc w:val="right"/>
              <w:rPr>
                <w:rFonts w:ascii="Calibri" w:hAnsi="Calibri" w:cs="Calibri"/>
                <w:color w:val="000000"/>
              </w:rPr>
            </w:pPr>
            <w:r>
              <w:rPr>
                <w:rFonts w:ascii="Calibri" w:hAnsi="Calibri" w:cs="Calibri"/>
                <w:color w:val="000000"/>
              </w:rPr>
              <w:t>4</w:t>
            </w:r>
          </w:p>
        </w:tc>
        <w:tc>
          <w:tcPr>
            <w:tcW w:w="2201" w:type="pct"/>
            <w:tcBorders>
              <w:left w:val="single" w:sz="4" w:space="0" w:color="auto"/>
              <w:right w:val="nil"/>
            </w:tcBorders>
            <w:vAlign w:val="bottom"/>
          </w:tcPr>
          <w:p w:rsidR="00FF2D88" w:rsidRDefault="00FF2D88" w:rsidP="006F4C71">
            <w:pPr>
              <w:spacing w:line="360" w:lineRule="auto"/>
              <w:jc w:val="right"/>
              <w:rPr>
                <w:rFonts w:ascii="Calibri" w:hAnsi="Calibri" w:cs="Calibri"/>
                <w:color w:val="000000"/>
              </w:rPr>
            </w:pPr>
            <w:r>
              <w:rPr>
                <w:rFonts w:ascii="Calibri" w:hAnsi="Calibri" w:cs="Calibri"/>
                <w:color w:val="000000"/>
              </w:rPr>
              <w:t>0.71</w:t>
            </w:r>
          </w:p>
        </w:tc>
        <w:tc>
          <w:tcPr>
            <w:tcW w:w="679" w:type="pct"/>
            <w:tcBorders>
              <w:left w:val="nil"/>
            </w:tcBorders>
            <w:vAlign w:val="bottom"/>
          </w:tcPr>
          <w:p w:rsidR="00FF2D88" w:rsidRDefault="00FF2D88" w:rsidP="006F4C71">
            <w:pPr>
              <w:spacing w:line="360" w:lineRule="auto"/>
              <w:rPr>
                <w:rFonts w:ascii="Calibri" w:hAnsi="Calibri" w:cs="Calibri"/>
                <w:color w:val="000000"/>
              </w:rPr>
            </w:pPr>
            <w:r>
              <w:rPr>
                <w:rFonts w:ascii="Calibri" w:hAnsi="Calibri" w:cs="Calibri"/>
                <w:color w:val="000000"/>
              </w:rPr>
              <w:t>(0.59-0.85)</w:t>
            </w:r>
          </w:p>
        </w:tc>
      </w:tr>
      <w:tr w:rsidR="00FF2D88" w:rsidTr="006F4C71">
        <w:tc>
          <w:tcPr>
            <w:tcW w:w="2120" w:type="pct"/>
            <w:tcBorders>
              <w:right w:val="single" w:sz="4" w:space="0" w:color="auto"/>
            </w:tcBorders>
            <w:vAlign w:val="bottom"/>
          </w:tcPr>
          <w:p w:rsidR="00FF2D88" w:rsidRDefault="00FF2D88" w:rsidP="006F4C71">
            <w:pPr>
              <w:spacing w:line="360" w:lineRule="auto"/>
              <w:rPr>
                <w:rFonts w:cstheme="minorHAnsi"/>
                <w:sz w:val="24"/>
                <w:szCs w:val="24"/>
              </w:rPr>
            </w:pPr>
            <w:r>
              <w:rPr>
                <w:rFonts w:ascii="Calibri" w:hAnsi="Calibri" w:cs="Calibri"/>
                <w:color w:val="000000"/>
              </w:rPr>
              <w:t>Baseline</w:t>
            </w:r>
          </w:p>
        </w:tc>
        <w:tc>
          <w:tcPr>
            <w:tcW w:w="2201" w:type="pct"/>
            <w:tcBorders>
              <w:left w:val="single" w:sz="4" w:space="0" w:color="auto"/>
              <w:right w:val="nil"/>
            </w:tcBorders>
            <w:vAlign w:val="bottom"/>
          </w:tcPr>
          <w:p w:rsidR="00FF2D88" w:rsidRDefault="00FF2D88" w:rsidP="006F4C71">
            <w:pPr>
              <w:spacing w:line="360" w:lineRule="auto"/>
              <w:jc w:val="right"/>
              <w:rPr>
                <w:rFonts w:cstheme="minorHAnsi"/>
                <w:sz w:val="24"/>
                <w:szCs w:val="24"/>
              </w:rPr>
            </w:pPr>
            <w:r>
              <w:rPr>
                <w:rFonts w:ascii="Calibri" w:hAnsi="Calibri" w:cs="Calibri"/>
                <w:color w:val="000000"/>
              </w:rPr>
              <w:t>0.01</w:t>
            </w:r>
          </w:p>
        </w:tc>
        <w:tc>
          <w:tcPr>
            <w:tcW w:w="679" w:type="pct"/>
            <w:tcBorders>
              <w:left w:val="nil"/>
            </w:tcBorders>
            <w:vAlign w:val="bottom"/>
          </w:tcPr>
          <w:p w:rsidR="00FF2D88" w:rsidRDefault="00FF2D88" w:rsidP="006F4C71">
            <w:pPr>
              <w:spacing w:line="360" w:lineRule="auto"/>
              <w:rPr>
                <w:rFonts w:cstheme="minorHAnsi"/>
                <w:sz w:val="24"/>
                <w:szCs w:val="24"/>
              </w:rPr>
            </w:pPr>
            <w:r>
              <w:rPr>
                <w:rFonts w:ascii="Calibri" w:hAnsi="Calibri" w:cs="Calibri"/>
                <w:color w:val="000000"/>
              </w:rPr>
              <w:t>(0.01-0.02)</w:t>
            </w:r>
          </w:p>
        </w:tc>
      </w:tr>
    </w:tbl>
    <w:p w:rsidR="00FF2D88" w:rsidRDefault="00FF2D88" w:rsidP="00FF2D88">
      <w:pPr>
        <w:spacing w:line="360" w:lineRule="auto"/>
        <w:rPr>
          <w:rFonts w:cstheme="minorHAnsi"/>
          <w:sz w:val="24"/>
          <w:szCs w:val="24"/>
        </w:rPr>
      </w:pPr>
    </w:p>
    <w:p w:rsidR="00FF2D88" w:rsidRDefault="00FF2D88" w:rsidP="00FF2D88">
      <w:pPr>
        <w:spacing w:line="360" w:lineRule="auto"/>
        <w:rPr>
          <w:rFonts w:cstheme="minorHAnsi"/>
          <w:sz w:val="24"/>
          <w:szCs w:val="24"/>
        </w:rPr>
      </w:pPr>
      <w:r>
        <w:rPr>
          <w:sz w:val="24"/>
          <w:szCs w:val="24"/>
        </w:rPr>
        <w:t xml:space="preserve">Survey weights were generated with inverse probability weighting. We used data from all eligible ambulance calls (patient aged ≥50, Glasgow Coma Scale score = 15 and not ‘category 1’ 999 calls) in the North East Ambulance Service region during the survey period </w:t>
      </w:r>
      <w:r w:rsidRPr="00A3452C">
        <w:rPr>
          <w:sz w:val="24"/>
          <w:szCs w:val="24"/>
        </w:rPr>
        <w:t>(n=86,311)</w:t>
      </w:r>
      <w:r>
        <w:rPr>
          <w:sz w:val="24"/>
          <w:szCs w:val="24"/>
        </w:rPr>
        <w:t xml:space="preserve"> </w:t>
      </w:r>
      <w:r>
        <w:rPr>
          <w:sz w:val="24"/>
          <w:szCs w:val="24"/>
        </w:rPr>
        <w:lastRenderedPageBreak/>
        <w:t xml:space="preserve">to produce a population dataset to generate weights.  </w:t>
      </w:r>
      <w:r>
        <w:rPr>
          <w:rFonts w:cstheme="minorHAnsi"/>
          <w:sz w:val="24"/>
          <w:szCs w:val="24"/>
        </w:rPr>
        <w:t xml:space="preserve">The population dataset was sourced from electronic emergency call logs. </w:t>
      </w:r>
    </w:p>
    <w:p w:rsidR="00FF2D88" w:rsidRDefault="00FF2D88" w:rsidP="00FF2D88">
      <w:pPr>
        <w:spacing w:line="360" w:lineRule="auto"/>
        <w:rPr>
          <w:rFonts w:cstheme="minorHAnsi"/>
          <w:sz w:val="24"/>
          <w:szCs w:val="24"/>
        </w:rPr>
      </w:pPr>
      <w:r>
        <w:rPr>
          <w:rFonts w:cstheme="minorHAnsi"/>
          <w:sz w:val="24"/>
          <w:szCs w:val="24"/>
        </w:rPr>
        <w:t>Weights accounted for age, gender, Index of Multiple Deprivation quintile, rurality, NEWS2 of patients, whether the patient was located at a care home and the ambulance priority category of the call. Ambulance priority categories are assigned by means of a uniform approach nationally in England and specify the urgency of a patient’s condition [</w:t>
      </w:r>
      <w:r w:rsidRPr="008E4131">
        <w:rPr>
          <w:rFonts w:cstheme="minorHAnsi"/>
          <w:sz w:val="24"/>
          <w:szCs w:val="24"/>
        </w:rPr>
        <w:t>https://www.england.nhs.uk/wp-content/uploads/2018/10/ambulance-response-programme-review.pdf</w:t>
      </w:r>
      <w:r>
        <w:rPr>
          <w:rFonts w:cstheme="minorHAnsi"/>
          <w:sz w:val="24"/>
          <w:szCs w:val="24"/>
        </w:rPr>
        <w:t xml:space="preserve">]. </w:t>
      </w:r>
    </w:p>
    <w:p w:rsidR="00FF2D88" w:rsidRDefault="00FF2D88" w:rsidP="00FF2D88">
      <w:pPr>
        <w:spacing w:line="360" w:lineRule="auto"/>
        <w:rPr>
          <w:rFonts w:cstheme="minorHAnsi"/>
          <w:sz w:val="24"/>
          <w:szCs w:val="24"/>
        </w:rPr>
      </w:pPr>
      <w:r>
        <w:rPr>
          <w:rFonts w:cstheme="minorHAnsi"/>
          <w:sz w:val="24"/>
          <w:szCs w:val="24"/>
        </w:rPr>
        <w:t>Table A1 shows the odds ratio of patients in the population data set being included in the study data set. Older and female patients were more likely to be included, while those with NEWS ≥ 5 had lower odds. Deprivation did not appear to have a significant effect on inclusion in the study.</w:t>
      </w:r>
    </w:p>
    <w:p w:rsidR="00FF2D88" w:rsidRDefault="00FF2D88" w:rsidP="00FF2D88">
      <w:pPr>
        <w:spacing w:line="360" w:lineRule="auto"/>
        <w:rPr>
          <w:rFonts w:cstheme="minorHAnsi"/>
          <w:sz w:val="24"/>
          <w:szCs w:val="24"/>
        </w:rPr>
      </w:pPr>
      <w:r>
        <w:rPr>
          <w:rFonts w:cstheme="minorHAnsi"/>
          <w:sz w:val="24"/>
          <w:szCs w:val="24"/>
        </w:rPr>
        <w:t>A small number of patients in our study were not included in the population dataset due to the patient’s age not being recorded in the electronic emergency call logs (45), or the patient being initially classified as category 1 (175). This is because some patients whose urgency category was downgraded from category 1 once a study paramedic arrived on scene were included in our study. Patients in the study dataset, but not included in the population dataset, were retained in our analysis but assigned a neutral weighting of 1.</w:t>
      </w:r>
    </w:p>
    <w:p w:rsidR="00FF2D88" w:rsidRDefault="00FF2D88" w:rsidP="00FF2D88">
      <w:pPr>
        <w:spacing w:line="360" w:lineRule="auto"/>
        <w:rPr>
          <w:rFonts w:cstheme="minorHAnsi"/>
          <w:sz w:val="24"/>
          <w:szCs w:val="24"/>
        </w:rPr>
      </w:pPr>
    </w:p>
    <w:p w:rsidR="00FF2D88" w:rsidRDefault="00FF2D88" w:rsidP="00FF2D88">
      <w:pPr>
        <w:spacing w:line="360" w:lineRule="auto"/>
        <w:rPr>
          <w:rFonts w:cstheme="minorHAnsi"/>
          <w:sz w:val="24"/>
          <w:szCs w:val="24"/>
        </w:rPr>
      </w:pPr>
    </w:p>
    <w:p w:rsidR="00FF2D88" w:rsidRDefault="00FF2D88" w:rsidP="00FF2D88">
      <w:pPr>
        <w:rPr>
          <w:rFonts w:cstheme="minorHAnsi"/>
          <w:sz w:val="24"/>
          <w:szCs w:val="24"/>
        </w:rPr>
      </w:pPr>
      <w:r>
        <w:rPr>
          <w:rFonts w:cstheme="minorHAnsi"/>
          <w:sz w:val="24"/>
          <w:szCs w:val="24"/>
        </w:rPr>
        <w:br w:type="page"/>
      </w:r>
    </w:p>
    <w:p w:rsidR="00FF2D88" w:rsidRPr="009603A8" w:rsidRDefault="00FF2D88" w:rsidP="00FF2D88">
      <w:pPr>
        <w:spacing w:line="360" w:lineRule="auto"/>
        <w:rPr>
          <w:rFonts w:cstheme="minorHAnsi"/>
          <w:b/>
          <w:bCs/>
          <w:sz w:val="24"/>
          <w:szCs w:val="24"/>
        </w:rPr>
      </w:pPr>
      <w:r w:rsidRPr="009603A8">
        <w:rPr>
          <w:rFonts w:cstheme="minorHAnsi"/>
          <w:b/>
          <w:bCs/>
          <w:sz w:val="24"/>
          <w:szCs w:val="24"/>
        </w:rPr>
        <w:lastRenderedPageBreak/>
        <w:t>A</w:t>
      </w:r>
      <w:r>
        <w:rPr>
          <w:rFonts w:cstheme="minorHAnsi"/>
          <w:b/>
          <w:bCs/>
          <w:sz w:val="24"/>
          <w:szCs w:val="24"/>
        </w:rPr>
        <w:t>2</w:t>
      </w:r>
      <w:r w:rsidRPr="009603A8">
        <w:rPr>
          <w:rFonts w:cstheme="minorHAnsi"/>
          <w:b/>
          <w:bCs/>
          <w:sz w:val="24"/>
          <w:szCs w:val="24"/>
        </w:rPr>
        <w:t xml:space="preserve"> Area Deprivation</w:t>
      </w:r>
    </w:p>
    <w:tbl>
      <w:tblPr>
        <w:tblStyle w:val="TableGrid"/>
        <w:tblW w:w="0" w:type="auto"/>
        <w:tblLook w:val="04A0" w:firstRow="1" w:lastRow="0" w:firstColumn="1" w:lastColumn="0" w:noHBand="0" w:noVBand="1"/>
      </w:tblPr>
      <w:tblGrid>
        <w:gridCol w:w="1555"/>
        <w:gridCol w:w="3685"/>
        <w:gridCol w:w="3776"/>
      </w:tblGrid>
      <w:tr w:rsidR="00FF2D88" w:rsidRPr="009603A8" w:rsidTr="006F4C71">
        <w:tc>
          <w:tcPr>
            <w:tcW w:w="9016" w:type="dxa"/>
            <w:gridSpan w:val="3"/>
          </w:tcPr>
          <w:p w:rsidR="00FF2D88" w:rsidRPr="006B5B90" w:rsidRDefault="00FF2D88" w:rsidP="006F4C71">
            <w:pPr>
              <w:spacing w:line="360" w:lineRule="auto"/>
              <w:rPr>
                <w:rFonts w:cstheme="minorHAnsi"/>
              </w:rPr>
            </w:pPr>
            <w:r w:rsidRPr="006B5B90">
              <w:rPr>
                <w:rFonts w:cstheme="minorHAnsi"/>
                <w:b/>
                <w:bCs/>
              </w:rPr>
              <w:t>Table A2:</w:t>
            </w:r>
            <w:r w:rsidRPr="006B5B90">
              <w:rPr>
                <w:rFonts w:cstheme="minorHAnsi"/>
              </w:rPr>
              <w:t xml:space="preserve"> Percentage of small areas (Lower Super Output Areas) in the North East of England in each deprivation quintile. Deprivation measured by English Index of Multiple Deprivation (2019). </w:t>
            </w:r>
          </w:p>
        </w:tc>
      </w:tr>
      <w:tr w:rsidR="00FF2D88" w:rsidRPr="009603A8" w:rsidTr="006F4C71">
        <w:tc>
          <w:tcPr>
            <w:tcW w:w="1555" w:type="dxa"/>
          </w:tcPr>
          <w:p w:rsidR="00FF2D88" w:rsidRPr="006B5B90" w:rsidRDefault="00FF2D88" w:rsidP="006F4C71">
            <w:pPr>
              <w:spacing w:line="360" w:lineRule="auto"/>
              <w:rPr>
                <w:rFonts w:cstheme="minorHAnsi"/>
                <w:b/>
                <w:bCs/>
              </w:rPr>
            </w:pPr>
            <w:r w:rsidRPr="006B5B90">
              <w:rPr>
                <w:rFonts w:cstheme="minorHAnsi"/>
                <w:b/>
                <w:bCs/>
              </w:rPr>
              <w:t>Deprivation quintile</w:t>
            </w:r>
          </w:p>
        </w:tc>
        <w:tc>
          <w:tcPr>
            <w:tcW w:w="3685" w:type="dxa"/>
          </w:tcPr>
          <w:p w:rsidR="00FF2D88" w:rsidRPr="006B5B90" w:rsidRDefault="00FF2D88" w:rsidP="006F4C71">
            <w:pPr>
              <w:spacing w:line="360" w:lineRule="auto"/>
              <w:rPr>
                <w:rFonts w:cstheme="minorHAnsi"/>
                <w:b/>
                <w:bCs/>
              </w:rPr>
            </w:pPr>
            <w:r w:rsidRPr="006B5B90">
              <w:rPr>
                <w:rFonts w:cstheme="minorHAnsi"/>
                <w:b/>
                <w:bCs/>
              </w:rPr>
              <w:t>Percentage of small areas (LSOAs) in the North East of England in each deprivation quintile</w:t>
            </w:r>
          </w:p>
        </w:tc>
        <w:tc>
          <w:tcPr>
            <w:tcW w:w="3776" w:type="dxa"/>
          </w:tcPr>
          <w:p w:rsidR="00FF2D88" w:rsidRPr="006B5B90" w:rsidRDefault="00FF2D88" w:rsidP="006F4C71">
            <w:pPr>
              <w:spacing w:line="360" w:lineRule="auto"/>
              <w:rPr>
                <w:rFonts w:cstheme="minorHAnsi"/>
                <w:b/>
                <w:bCs/>
              </w:rPr>
            </w:pPr>
            <w:r w:rsidRPr="006B5B90">
              <w:rPr>
                <w:rFonts w:cstheme="minorHAnsi"/>
                <w:b/>
                <w:bCs/>
              </w:rPr>
              <w:t>Number (percentage) of calls to each deprivation quintile (unweighted).</w:t>
            </w:r>
          </w:p>
        </w:tc>
      </w:tr>
      <w:tr w:rsidR="00FF2D88" w:rsidRPr="009603A8" w:rsidTr="006F4C71">
        <w:tc>
          <w:tcPr>
            <w:tcW w:w="1555" w:type="dxa"/>
          </w:tcPr>
          <w:p w:rsidR="00FF2D88" w:rsidRPr="006B5B90" w:rsidRDefault="00FF2D88" w:rsidP="006F4C71">
            <w:pPr>
              <w:spacing w:line="360" w:lineRule="auto"/>
              <w:rPr>
                <w:rFonts w:cstheme="minorHAnsi"/>
              </w:rPr>
            </w:pPr>
            <w:r w:rsidRPr="006B5B90">
              <w:rPr>
                <w:rFonts w:cstheme="minorHAnsi"/>
              </w:rPr>
              <w:t>1 (Most)</w:t>
            </w:r>
          </w:p>
        </w:tc>
        <w:tc>
          <w:tcPr>
            <w:tcW w:w="3685" w:type="dxa"/>
          </w:tcPr>
          <w:p w:rsidR="00FF2D88" w:rsidRPr="006B5B90" w:rsidRDefault="00FF2D88" w:rsidP="006F4C71">
            <w:pPr>
              <w:spacing w:line="360" w:lineRule="auto"/>
              <w:jc w:val="right"/>
              <w:rPr>
                <w:rFonts w:cstheme="minorHAnsi"/>
              </w:rPr>
            </w:pPr>
            <w:r w:rsidRPr="006B5B90">
              <w:rPr>
                <w:rFonts w:cstheme="minorHAnsi"/>
              </w:rPr>
              <w:t>35</w:t>
            </w:r>
          </w:p>
        </w:tc>
        <w:tc>
          <w:tcPr>
            <w:tcW w:w="3776" w:type="dxa"/>
            <w:vAlign w:val="center"/>
          </w:tcPr>
          <w:p w:rsidR="00FF2D88" w:rsidRPr="006B5B90" w:rsidRDefault="00FF2D88" w:rsidP="006F4C71">
            <w:pPr>
              <w:spacing w:line="360" w:lineRule="auto"/>
              <w:jc w:val="right"/>
              <w:rPr>
                <w:rFonts w:cstheme="minorHAnsi"/>
              </w:rPr>
            </w:pPr>
            <w:r w:rsidRPr="006B5B90">
              <w:rPr>
                <w:rFonts w:ascii="Calibri" w:hAnsi="Calibri" w:cs="Calibri"/>
                <w:color w:val="000000"/>
              </w:rPr>
              <w:t>1068 (34.9)</w:t>
            </w:r>
          </w:p>
        </w:tc>
      </w:tr>
      <w:tr w:rsidR="00FF2D88" w:rsidRPr="009603A8" w:rsidTr="006F4C71">
        <w:tc>
          <w:tcPr>
            <w:tcW w:w="1555" w:type="dxa"/>
          </w:tcPr>
          <w:p w:rsidR="00FF2D88" w:rsidRPr="006B5B90" w:rsidRDefault="00FF2D88" w:rsidP="006F4C71">
            <w:pPr>
              <w:spacing w:line="360" w:lineRule="auto"/>
              <w:rPr>
                <w:rFonts w:cstheme="minorHAnsi"/>
              </w:rPr>
            </w:pPr>
            <w:r w:rsidRPr="006B5B90">
              <w:rPr>
                <w:rFonts w:cstheme="minorHAnsi"/>
              </w:rPr>
              <w:t>2</w:t>
            </w:r>
          </w:p>
        </w:tc>
        <w:tc>
          <w:tcPr>
            <w:tcW w:w="3685" w:type="dxa"/>
          </w:tcPr>
          <w:p w:rsidR="00FF2D88" w:rsidRPr="006B5B90" w:rsidRDefault="00FF2D88" w:rsidP="006F4C71">
            <w:pPr>
              <w:spacing w:line="360" w:lineRule="auto"/>
              <w:jc w:val="right"/>
              <w:rPr>
                <w:rFonts w:cstheme="minorHAnsi"/>
              </w:rPr>
            </w:pPr>
            <w:r w:rsidRPr="006B5B90">
              <w:rPr>
                <w:rFonts w:cstheme="minorHAnsi"/>
              </w:rPr>
              <w:t>22</w:t>
            </w:r>
          </w:p>
        </w:tc>
        <w:tc>
          <w:tcPr>
            <w:tcW w:w="3776" w:type="dxa"/>
            <w:vAlign w:val="center"/>
          </w:tcPr>
          <w:p w:rsidR="00FF2D88" w:rsidRPr="006B5B90" w:rsidRDefault="00FF2D88" w:rsidP="006F4C71">
            <w:pPr>
              <w:spacing w:line="360" w:lineRule="auto"/>
              <w:jc w:val="right"/>
              <w:rPr>
                <w:rFonts w:cstheme="minorHAnsi"/>
              </w:rPr>
            </w:pPr>
            <w:r w:rsidRPr="006B5B90">
              <w:rPr>
                <w:rFonts w:ascii="Calibri" w:hAnsi="Calibri" w:cs="Calibri"/>
                <w:color w:val="000000"/>
              </w:rPr>
              <w:t>792 (25.9)</w:t>
            </w:r>
          </w:p>
        </w:tc>
      </w:tr>
      <w:tr w:rsidR="00FF2D88" w:rsidRPr="009603A8" w:rsidTr="006F4C71">
        <w:tc>
          <w:tcPr>
            <w:tcW w:w="1555" w:type="dxa"/>
          </w:tcPr>
          <w:p w:rsidR="00FF2D88" w:rsidRPr="006B5B90" w:rsidRDefault="00FF2D88" w:rsidP="006F4C71">
            <w:pPr>
              <w:spacing w:line="360" w:lineRule="auto"/>
              <w:rPr>
                <w:rFonts w:cstheme="minorHAnsi"/>
              </w:rPr>
            </w:pPr>
            <w:r w:rsidRPr="006B5B90">
              <w:rPr>
                <w:rFonts w:cstheme="minorHAnsi"/>
              </w:rPr>
              <w:t>3</w:t>
            </w:r>
          </w:p>
        </w:tc>
        <w:tc>
          <w:tcPr>
            <w:tcW w:w="3685" w:type="dxa"/>
          </w:tcPr>
          <w:p w:rsidR="00FF2D88" w:rsidRPr="006B5B90" w:rsidRDefault="00FF2D88" w:rsidP="006F4C71">
            <w:pPr>
              <w:spacing w:line="360" w:lineRule="auto"/>
              <w:jc w:val="right"/>
              <w:rPr>
                <w:rFonts w:cstheme="minorHAnsi"/>
              </w:rPr>
            </w:pPr>
            <w:r w:rsidRPr="006B5B90">
              <w:rPr>
                <w:rFonts w:cstheme="minorHAnsi"/>
              </w:rPr>
              <w:t>14</w:t>
            </w:r>
          </w:p>
        </w:tc>
        <w:tc>
          <w:tcPr>
            <w:tcW w:w="3776" w:type="dxa"/>
            <w:vAlign w:val="center"/>
          </w:tcPr>
          <w:p w:rsidR="00FF2D88" w:rsidRPr="006B5B90" w:rsidRDefault="00FF2D88" w:rsidP="006F4C71">
            <w:pPr>
              <w:spacing w:line="360" w:lineRule="auto"/>
              <w:jc w:val="right"/>
              <w:rPr>
                <w:rFonts w:cstheme="minorHAnsi"/>
              </w:rPr>
            </w:pPr>
            <w:r w:rsidRPr="006B5B90">
              <w:rPr>
                <w:rFonts w:ascii="Calibri" w:hAnsi="Calibri" w:cs="Calibri"/>
                <w:color w:val="000000"/>
              </w:rPr>
              <w:t>467 (15.3)</w:t>
            </w:r>
          </w:p>
        </w:tc>
      </w:tr>
      <w:tr w:rsidR="00FF2D88" w:rsidRPr="009603A8" w:rsidTr="006F4C71">
        <w:tc>
          <w:tcPr>
            <w:tcW w:w="1555" w:type="dxa"/>
          </w:tcPr>
          <w:p w:rsidR="00FF2D88" w:rsidRPr="006B5B90" w:rsidRDefault="00FF2D88" w:rsidP="006F4C71">
            <w:pPr>
              <w:spacing w:line="360" w:lineRule="auto"/>
              <w:rPr>
                <w:rFonts w:cstheme="minorHAnsi"/>
              </w:rPr>
            </w:pPr>
            <w:r w:rsidRPr="006B5B90">
              <w:rPr>
                <w:rFonts w:cstheme="minorHAnsi"/>
              </w:rPr>
              <w:t>4</w:t>
            </w:r>
          </w:p>
        </w:tc>
        <w:tc>
          <w:tcPr>
            <w:tcW w:w="3685" w:type="dxa"/>
          </w:tcPr>
          <w:p w:rsidR="00FF2D88" w:rsidRPr="006B5B90" w:rsidRDefault="00FF2D88" w:rsidP="006F4C71">
            <w:pPr>
              <w:spacing w:line="360" w:lineRule="auto"/>
              <w:jc w:val="right"/>
              <w:rPr>
                <w:rFonts w:cstheme="minorHAnsi"/>
              </w:rPr>
            </w:pPr>
            <w:r w:rsidRPr="006B5B90">
              <w:rPr>
                <w:rFonts w:cstheme="minorHAnsi"/>
              </w:rPr>
              <w:t>15</w:t>
            </w:r>
          </w:p>
        </w:tc>
        <w:tc>
          <w:tcPr>
            <w:tcW w:w="3776" w:type="dxa"/>
            <w:vAlign w:val="center"/>
          </w:tcPr>
          <w:p w:rsidR="00FF2D88" w:rsidRPr="006B5B90" w:rsidRDefault="00FF2D88" w:rsidP="006F4C71">
            <w:pPr>
              <w:spacing w:line="360" w:lineRule="auto"/>
              <w:jc w:val="right"/>
              <w:rPr>
                <w:rFonts w:cstheme="minorHAnsi"/>
              </w:rPr>
            </w:pPr>
            <w:r w:rsidRPr="006B5B90">
              <w:rPr>
                <w:rFonts w:ascii="Calibri" w:hAnsi="Calibri" w:cs="Calibri"/>
                <w:color w:val="000000"/>
              </w:rPr>
              <w:t>390 (12.8)</w:t>
            </w:r>
          </w:p>
        </w:tc>
      </w:tr>
      <w:tr w:rsidR="00FF2D88" w:rsidRPr="009603A8" w:rsidTr="006F4C71">
        <w:tc>
          <w:tcPr>
            <w:tcW w:w="1555" w:type="dxa"/>
          </w:tcPr>
          <w:p w:rsidR="00FF2D88" w:rsidRPr="006B5B90" w:rsidRDefault="00FF2D88" w:rsidP="006F4C71">
            <w:pPr>
              <w:spacing w:line="360" w:lineRule="auto"/>
              <w:rPr>
                <w:rFonts w:cstheme="minorHAnsi"/>
              </w:rPr>
            </w:pPr>
            <w:r w:rsidRPr="006B5B90">
              <w:rPr>
                <w:rFonts w:cstheme="minorHAnsi"/>
              </w:rPr>
              <w:t>5 (Least)</w:t>
            </w:r>
          </w:p>
        </w:tc>
        <w:tc>
          <w:tcPr>
            <w:tcW w:w="3685" w:type="dxa"/>
          </w:tcPr>
          <w:p w:rsidR="00FF2D88" w:rsidRPr="006B5B90" w:rsidRDefault="00FF2D88" w:rsidP="006F4C71">
            <w:pPr>
              <w:spacing w:line="360" w:lineRule="auto"/>
              <w:jc w:val="right"/>
              <w:rPr>
                <w:rFonts w:cstheme="minorHAnsi"/>
              </w:rPr>
            </w:pPr>
            <w:r w:rsidRPr="006B5B90">
              <w:rPr>
                <w:rFonts w:cstheme="minorHAnsi"/>
              </w:rPr>
              <w:t>14</w:t>
            </w:r>
          </w:p>
        </w:tc>
        <w:tc>
          <w:tcPr>
            <w:tcW w:w="3776" w:type="dxa"/>
            <w:vAlign w:val="center"/>
          </w:tcPr>
          <w:p w:rsidR="00FF2D88" w:rsidRPr="006B5B90" w:rsidRDefault="00FF2D88" w:rsidP="006F4C71">
            <w:pPr>
              <w:spacing w:line="360" w:lineRule="auto"/>
              <w:jc w:val="right"/>
              <w:rPr>
                <w:rFonts w:cstheme="minorHAnsi"/>
              </w:rPr>
            </w:pPr>
            <w:r w:rsidRPr="006B5B90">
              <w:rPr>
                <w:rFonts w:ascii="Calibri" w:hAnsi="Calibri" w:cs="Calibri"/>
                <w:color w:val="000000"/>
              </w:rPr>
              <w:t>339 (11.1)</w:t>
            </w:r>
          </w:p>
        </w:tc>
      </w:tr>
    </w:tbl>
    <w:p w:rsidR="00FF2D88" w:rsidRDefault="00FF2D88" w:rsidP="00FF2D88">
      <w:pPr>
        <w:spacing w:line="360" w:lineRule="auto"/>
        <w:rPr>
          <w:rFonts w:cstheme="minorHAnsi"/>
          <w:b/>
          <w:bCs/>
          <w:sz w:val="24"/>
          <w:szCs w:val="24"/>
        </w:rPr>
      </w:pPr>
    </w:p>
    <w:p w:rsidR="00FF2D88" w:rsidRPr="009603A8" w:rsidRDefault="00FF2D88" w:rsidP="00FF2D88">
      <w:pPr>
        <w:spacing w:line="360" w:lineRule="auto"/>
        <w:rPr>
          <w:rFonts w:cstheme="minorHAnsi"/>
          <w:b/>
          <w:bCs/>
          <w:sz w:val="24"/>
          <w:szCs w:val="24"/>
        </w:rPr>
      </w:pPr>
      <w:r w:rsidRPr="009603A8">
        <w:rPr>
          <w:rFonts w:cstheme="minorHAnsi"/>
          <w:b/>
          <w:bCs/>
          <w:sz w:val="24"/>
          <w:szCs w:val="24"/>
        </w:rPr>
        <w:t>A</w:t>
      </w:r>
      <w:r>
        <w:rPr>
          <w:rFonts w:cstheme="minorHAnsi"/>
          <w:b/>
          <w:bCs/>
          <w:sz w:val="24"/>
          <w:szCs w:val="24"/>
        </w:rPr>
        <w:t>3</w:t>
      </w:r>
      <w:r w:rsidRPr="009603A8">
        <w:rPr>
          <w:rFonts w:cstheme="minorHAnsi"/>
          <w:b/>
          <w:bCs/>
          <w:sz w:val="24"/>
          <w:szCs w:val="24"/>
        </w:rPr>
        <w:t xml:space="preserve"> </w:t>
      </w:r>
      <w:r>
        <w:rPr>
          <w:rFonts w:cstheme="minorHAnsi"/>
          <w:b/>
          <w:bCs/>
          <w:sz w:val="24"/>
          <w:szCs w:val="24"/>
        </w:rPr>
        <w:t>Conveyance with increased frailty score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4523"/>
        <w:gridCol w:w="1345"/>
      </w:tblGrid>
      <w:tr w:rsidR="00FF2D88" w:rsidRPr="009603A8" w:rsidTr="006F4C71">
        <w:trPr>
          <w:trHeight w:val="320"/>
        </w:trPr>
        <w:tc>
          <w:tcPr>
            <w:tcW w:w="5000" w:type="pct"/>
            <w:gridSpan w:val="3"/>
            <w:shd w:val="clear" w:color="auto" w:fill="auto"/>
            <w:noWrap/>
          </w:tcPr>
          <w:p w:rsidR="00FF2D88" w:rsidRPr="006C50CC" w:rsidRDefault="00FF2D88" w:rsidP="006F4C71">
            <w:pPr>
              <w:spacing w:after="0" w:line="240" w:lineRule="auto"/>
              <w:rPr>
                <w:rFonts w:eastAsia="Times New Roman" w:cstheme="minorHAnsi"/>
                <w:b/>
                <w:bCs/>
                <w:color w:val="000000"/>
                <w:lang w:eastAsia="en-GB"/>
              </w:rPr>
            </w:pPr>
            <w:r w:rsidRPr="006B5B90">
              <w:rPr>
                <w:rFonts w:eastAsia="Times New Roman" w:cstheme="minorHAnsi"/>
                <w:b/>
                <w:bCs/>
                <w:color w:val="000000"/>
                <w:lang w:eastAsia="en-GB"/>
              </w:rPr>
              <w:t xml:space="preserve">Table A3: </w:t>
            </w:r>
            <w:r w:rsidRPr="006B5B90">
              <w:rPr>
                <w:rFonts w:eastAsia="Times New Roman" w:cstheme="minorHAnsi"/>
                <w:color w:val="000000"/>
                <w:lang w:eastAsia="en-GB"/>
              </w:rPr>
              <w:t>Odds ratios of a patient being conveyed to hospital conveyance, if their Clinical Frailty Score increased in the two weeks prior to their ambulance call.</w:t>
            </w:r>
            <w:r>
              <w:rPr>
                <w:rFonts w:eastAsia="Times New Roman" w:cstheme="minorHAnsi"/>
                <w:b/>
                <w:bCs/>
                <w:color w:val="000000"/>
                <w:lang w:eastAsia="en-GB"/>
              </w:rPr>
              <w:t xml:space="preserve"> </w:t>
            </w:r>
          </w:p>
        </w:tc>
      </w:tr>
      <w:tr w:rsidR="00FF2D88" w:rsidRPr="009603A8" w:rsidTr="006F4C71">
        <w:trPr>
          <w:trHeight w:val="320"/>
        </w:trPr>
        <w:tc>
          <w:tcPr>
            <w:tcW w:w="1748" w:type="pct"/>
            <w:shd w:val="clear" w:color="auto" w:fill="auto"/>
            <w:noWrap/>
            <w:hideMark/>
          </w:tcPr>
          <w:p w:rsidR="00FF2D88" w:rsidRPr="006C50CC" w:rsidRDefault="00FF2D88" w:rsidP="006F4C71">
            <w:pPr>
              <w:spacing w:after="0" w:line="240" w:lineRule="auto"/>
              <w:rPr>
                <w:rFonts w:eastAsia="Times New Roman" w:cstheme="minorHAnsi"/>
                <w:lang w:eastAsia="en-GB"/>
              </w:rPr>
            </w:pPr>
            <w:r w:rsidRPr="006C50CC">
              <w:rPr>
                <w:rFonts w:eastAsia="Times New Roman" w:cstheme="minorHAnsi"/>
                <w:b/>
                <w:bCs/>
                <w:color w:val="000000"/>
                <w:lang w:eastAsia="en-GB"/>
              </w:rPr>
              <w:t>Characteristic</w:t>
            </w:r>
          </w:p>
        </w:tc>
        <w:tc>
          <w:tcPr>
            <w:tcW w:w="3252" w:type="pct"/>
            <w:gridSpan w:val="2"/>
            <w:shd w:val="clear" w:color="auto" w:fill="auto"/>
            <w:noWrap/>
            <w:vAlign w:val="center"/>
            <w:hideMark/>
          </w:tcPr>
          <w:p w:rsidR="00FF2D88" w:rsidRPr="006C50CC" w:rsidRDefault="00FF2D88" w:rsidP="006F4C71">
            <w:pPr>
              <w:spacing w:after="0" w:line="240" w:lineRule="auto"/>
              <w:jc w:val="right"/>
              <w:rPr>
                <w:rFonts w:eastAsia="Times New Roman" w:cstheme="minorHAnsi"/>
                <w:lang w:eastAsia="en-GB"/>
              </w:rPr>
            </w:pPr>
            <w:r w:rsidRPr="006C50CC">
              <w:rPr>
                <w:rFonts w:eastAsia="Times New Roman" w:cstheme="minorHAnsi"/>
                <w:b/>
                <w:bCs/>
                <w:color w:val="000000"/>
                <w:lang w:eastAsia="en-GB"/>
              </w:rPr>
              <w:t>Odds ratio</w:t>
            </w:r>
          </w:p>
        </w:tc>
      </w:tr>
      <w:tr w:rsidR="00FF2D88" w:rsidRPr="009603A8" w:rsidTr="006F4C71">
        <w:trPr>
          <w:trHeight w:val="320"/>
        </w:trPr>
        <w:tc>
          <w:tcPr>
            <w:tcW w:w="1748" w:type="pct"/>
            <w:shd w:val="clear" w:color="auto" w:fill="auto"/>
            <w:noWrap/>
            <w:vAlign w:val="bottom"/>
          </w:tcPr>
          <w:p w:rsidR="00FF2D88" w:rsidRPr="006C50CC" w:rsidRDefault="00FF2D88" w:rsidP="006F4C71">
            <w:pPr>
              <w:spacing w:after="0" w:line="240" w:lineRule="auto"/>
              <w:rPr>
                <w:rFonts w:eastAsia="Times New Roman" w:cstheme="minorHAnsi"/>
                <w:color w:val="000000"/>
                <w:lang w:eastAsia="en-GB"/>
              </w:rPr>
            </w:pPr>
            <w:r w:rsidRPr="006C50CC">
              <w:rPr>
                <w:rFonts w:eastAsia="Times New Roman" w:cstheme="minorHAnsi"/>
                <w:color w:val="000000"/>
                <w:lang w:eastAsia="en-GB"/>
              </w:rPr>
              <w:t xml:space="preserve">Frailty </w:t>
            </w:r>
            <w:r>
              <w:rPr>
                <w:rFonts w:eastAsia="Times New Roman" w:cstheme="minorHAnsi"/>
                <w:color w:val="000000"/>
                <w:lang w:eastAsia="en-GB"/>
              </w:rPr>
              <w:t xml:space="preserve">score increased </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r>
              <w:rPr>
                <w:rFonts w:ascii="Calibri" w:hAnsi="Calibri" w:cs="Calibri"/>
                <w:color w:val="000000"/>
              </w:rPr>
              <w:t>2.16</w:t>
            </w: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color w:val="000000"/>
                <w:lang w:eastAsia="en-GB"/>
              </w:rPr>
            </w:pPr>
            <w:r>
              <w:rPr>
                <w:rFonts w:ascii="Calibri" w:hAnsi="Calibri" w:cs="Calibri"/>
                <w:color w:val="000000"/>
              </w:rPr>
              <w:t>(1.48-3.15)</w:t>
            </w: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rPr>
                <w:rFonts w:eastAsia="Times New Roman" w:cstheme="minorHAnsi"/>
                <w:color w:val="000000"/>
                <w:lang w:eastAsia="en-GB"/>
              </w:rPr>
            </w:pPr>
            <w:r w:rsidRPr="006C50CC">
              <w:rPr>
                <w:rFonts w:eastAsia="Times New Roman" w:cstheme="minorHAnsi"/>
                <w:color w:val="000000"/>
                <w:lang w:eastAsia="en-GB"/>
              </w:rPr>
              <w:t>NEWS2</w:t>
            </w:r>
            <w:r>
              <w:rPr>
                <w:rFonts w:eastAsia="Times New Roman" w:cstheme="minorHAnsi"/>
                <w:color w:val="000000"/>
                <w:lang w:eastAsia="en-GB"/>
              </w:rPr>
              <w:t xml:space="preserve"> </w:t>
            </w:r>
            <w:r w:rsidRPr="006C50CC">
              <w:rPr>
                <w:rFonts w:eastAsia="Times New Roman" w:cstheme="minorHAnsi"/>
                <w:color w:val="000000"/>
                <w:lang w:eastAsia="en-GB"/>
              </w:rPr>
              <w:t>≥</w:t>
            </w:r>
            <w:r>
              <w:rPr>
                <w:rFonts w:eastAsia="Times New Roman" w:cstheme="minorHAnsi"/>
                <w:color w:val="000000"/>
                <w:lang w:eastAsia="en-GB"/>
              </w:rPr>
              <w:t xml:space="preserve"> </w:t>
            </w:r>
            <w:r w:rsidRPr="006C50CC">
              <w:rPr>
                <w:rFonts w:eastAsia="Times New Roman" w:cstheme="minorHAnsi"/>
                <w:color w:val="000000"/>
                <w:lang w:eastAsia="en-GB"/>
              </w:rPr>
              <w:t>5</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r>
              <w:rPr>
                <w:rFonts w:ascii="Calibri" w:hAnsi="Calibri" w:cs="Calibri"/>
                <w:color w:val="000000"/>
              </w:rPr>
              <w:t>5.24</w:t>
            </w: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color w:val="000000"/>
                <w:lang w:eastAsia="en-GB"/>
              </w:rPr>
            </w:pPr>
            <w:r>
              <w:rPr>
                <w:rFonts w:ascii="Calibri" w:hAnsi="Calibri" w:cs="Calibri"/>
                <w:color w:val="000000"/>
              </w:rPr>
              <w:t>(2.54-10.79)</w:t>
            </w: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rPr>
                <w:rFonts w:cstheme="minorHAnsi"/>
              </w:rPr>
            </w:pPr>
            <w:r w:rsidRPr="006C50CC">
              <w:rPr>
                <w:rFonts w:cstheme="minorHAnsi"/>
              </w:rPr>
              <w:t>Deprivation</w:t>
            </w:r>
            <w:r w:rsidRPr="006C50CC">
              <w:rPr>
                <w:rFonts w:eastAsia="Times New Roman" w:cstheme="minorHAnsi"/>
                <w:lang w:eastAsia="en-GB"/>
              </w:rPr>
              <w:t xml:space="preserve"> (ref</w:t>
            </w:r>
            <w:r>
              <w:rPr>
                <w:rFonts w:eastAsia="Times New Roman" w:cstheme="minorHAnsi"/>
                <w:lang w:eastAsia="en-GB"/>
              </w:rPr>
              <w:t xml:space="preserve">: 1, </w:t>
            </w:r>
            <w:r w:rsidRPr="006C50CC">
              <w:rPr>
                <w:rFonts w:eastAsia="Times New Roman" w:cstheme="minorHAnsi"/>
                <w:lang w:eastAsia="en-GB"/>
              </w:rPr>
              <w:t>Most)</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lang w:eastAsia="en-GB"/>
              </w:rPr>
            </w:pP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lang w:eastAsia="en-GB"/>
              </w:rPr>
            </w:pP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jc w:val="right"/>
              <w:rPr>
                <w:rFonts w:eastAsia="Times New Roman" w:cstheme="minorHAnsi"/>
                <w:color w:val="000000"/>
                <w:lang w:eastAsia="en-GB"/>
              </w:rPr>
            </w:pPr>
            <w:r w:rsidRPr="006C50CC">
              <w:rPr>
                <w:rFonts w:eastAsia="Times New Roman" w:cstheme="minorHAnsi"/>
                <w:color w:val="000000"/>
                <w:lang w:eastAsia="en-GB"/>
              </w:rPr>
              <w:t>2</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r>
              <w:rPr>
                <w:rFonts w:ascii="Calibri" w:hAnsi="Calibri" w:cs="Calibri"/>
                <w:color w:val="000000"/>
              </w:rPr>
              <w:t>1.09</w:t>
            </w: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color w:val="000000"/>
                <w:lang w:eastAsia="en-GB"/>
              </w:rPr>
            </w:pPr>
            <w:r>
              <w:rPr>
                <w:rFonts w:ascii="Calibri" w:hAnsi="Calibri" w:cs="Calibri"/>
                <w:color w:val="000000"/>
              </w:rPr>
              <w:t>(0.77-1.54)</w:t>
            </w: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jc w:val="right"/>
              <w:rPr>
                <w:rFonts w:eastAsia="Times New Roman" w:cstheme="minorHAnsi"/>
                <w:color w:val="000000"/>
                <w:lang w:eastAsia="en-GB"/>
              </w:rPr>
            </w:pPr>
            <w:r w:rsidRPr="006C50CC">
              <w:rPr>
                <w:rFonts w:eastAsia="Times New Roman" w:cstheme="minorHAnsi"/>
                <w:color w:val="000000"/>
                <w:lang w:eastAsia="en-GB"/>
              </w:rPr>
              <w:t>3</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r>
              <w:rPr>
                <w:rFonts w:ascii="Calibri" w:hAnsi="Calibri" w:cs="Calibri"/>
                <w:color w:val="000000"/>
              </w:rPr>
              <w:t>1.32</w:t>
            </w: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color w:val="000000"/>
                <w:lang w:eastAsia="en-GB"/>
              </w:rPr>
            </w:pPr>
            <w:r>
              <w:rPr>
                <w:rFonts w:ascii="Calibri" w:hAnsi="Calibri" w:cs="Calibri"/>
                <w:color w:val="000000"/>
              </w:rPr>
              <w:t>(0.89-1.96)</w:t>
            </w: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jc w:val="right"/>
              <w:rPr>
                <w:rFonts w:eastAsia="Times New Roman" w:cstheme="minorHAnsi"/>
                <w:color w:val="000000"/>
                <w:lang w:eastAsia="en-GB"/>
              </w:rPr>
            </w:pPr>
            <w:r w:rsidRPr="006C50CC">
              <w:rPr>
                <w:rFonts w:eastAsia="Times New Roman" w:cstheme="minorHAnsi"/>
                <w:color w:val="000000"/>
                <w:lang w:eastAsia="en-GB"/>
              </w:rPr>
              <w:t>4</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r>
              <w:rPr>
                <w:rFonts w:ascii="Calibri" w:hAnsi="Calibri" w:cs="Calibri"/>
                <w:color w:val="000000"/>
              </w:rPr>
              <w:t>1.19</w:t>
            </w: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color w:val="000000"/>
                <w:lang w:eastAsia="en-GB"/>
              </w:rPr>
            </w:pPr>
            <w:r>
              <w:rPr>
                <w:rFonts w:ascii="Calibri" w:hAnsi="Calibri" w:cs="Calibri"/>
                <w:color w:val="000000"/>
              </w:rPr>
              <w:t>(0.79-1.78)</w:t>
            </w: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jc w:val="right"/>
              <w:rPr>
                <w:rFonts w:eastAsia="Times New Roman" w:cstheme="minorHAnsi"/>
                <w:color w:val="000000"/>
                <w:lang w:eastAsia="en-GB"/>
              </w:rPr>
            </w:pPr>
            <w:r w:rsidRPr="006C50CC">
              <w:rPr>
                <w:rFonts w:eastAsia="Times New Roman" w:cstheme="minorHAnsi"/>
                <w:color w:val="000000"/>
                <w:lang w:eastAsia="en-GB"/>
              </w:rPr>
              <w:t>5 (Least)</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r>
              <w:rPr>
                <w:rFonts w:ascii="Calibri" w:hAnsi="Calibri" w:cs="Calibri"/>
                <w:color w:val="000000"/>
              </w:rPr>
              <w:t>1.38</w:t>
            </w: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color w:val="000000"/>
                <w:lang w:eastAsia="en-GB"/>
              </w:rPr>
            </w:pPr>
            <w:r>
              <w:rPr>
                <w:rFonts w:ascii="Calibri" w:hAnsi="Calibri" w:cs="Calibri"/>
                <w:color w:val="000000"/>
              </w:rPr>
              <w:t>(0.90-2.13)</w:t>
            </w: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rPr>
                <w:rFonts w:eastAsia="Times New Roman" w:cstheme="minorHAnsi"/>
                <w:color w:val="000000"/>
                <w:lang w:eastAsia="en-GB"/>
              </w:rPr>
            </w:pPr>
            <w:r w:rsidRPr="006C50CC">
              <w:rPr>
                <w:rFonts w:eastAsia="Times New Roman" w:cstheme="minorHAnsi"/>
                <w:color w:val="000000"/>
                <w:lang w:eastAsia="en-GB"/>
              </w:rPr>
              <w:t>Age</w:t>
            </w:r>
            <w:r>
              <w:rPr>
                <w:rFonts w:eastAsia="Times New Roman" w:cstheme="minorHAnsi"/>
                <w:color w:val="000000"/>
                <w:lang w:eastAsia="en-GB"/>
              </w:rPr>
              <w:t xml:space="preserve"> (ref: 50-54)</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lang w:eastAsia="en-GB"/>
              </w:rPr>
            </w:pP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jc w:val="right"/>
              <w:rPr>
                <w:rFonts w:eastAsia="Times New Roman" w:cstheme="minorHAnsi"/>
                <w:color w:val="000000"/>
                <w:lang w:eastAsia="en-GB"/>
              </w:rPr>
            </w:pPr>
            <w:r w:rsidRPr="006C50CC">
              <w:rPr>
                <w:rFonts w:eastAsia="Times New Roman" w:cstheme="minorHAnsi"/>
                <w:color w:val="000000"/>
                <w:lang w:eastAsia="en-GB"/>
              </w:rPr>
              <w:t>55-59</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r>
              <w:rPr>
                <w:rFonts w:ascii="Calibri" w:hAnsi="Calibri" w:cs="Calibri"/>
                <w:color w:val="000000"/>
              </w:rPr>
              <w:t>0.88</w:t>
            </w: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color w:val="000000"/>
                <w:lang w:eastAsia="en-GB"/>
              </w:rPr>
            </w:pPr>
            <w:r>
              <w:rPr>
                <w:rFonts w:ascii="Calibri" w:hAnsi="Calibri" w:cs="Calibri"/>
                <w:color w:val="000000"/>
              </w:rPr>
              <w:t>(0.38-2.03)</w:t>
            </w: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jc w:val="right"/>
              <w:rPr>
                <w:rFonts w:eastAsia="Times New Roman" w:cstheme="minorHAnsi"/>
                <w:color w:val="000000"/>
                <w:lang w:eastAsia="en-GB"/>
              </w:rPr>
            </w:pPr>
            <w:r w:rsidRPr="006C50CC">
              <w:rPr>
                <w:rFonts w:eastAsia="Times New Roman" w:cstheme="minorHAnsi"/>
                <w:color w:val="000000"/>
                <w:lang w:eastAsia="en-GB"/>
              </w:rPr>
              <w:t>60-64</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r>
              <w:rPr>
                <w:rFonts w:ascii="Calibri" w:hAnsi="Calibri" w:cs="Calibri"/>
                <w:color w:val="000000"/>
              </w:rPr>
              <w:t>0.76</w:t>
            </w: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color w:val="000000"/>
                <w:lang w:eastAsia="en-GB"/>
              </w:rPr>
            </w:pPr>
            <w:r>
              <w:rPr>
                <w:rFonts w:ascii="Calibri" w:hAnsi="Calibri" w:cs="Calibri"/>
                <w:color w:val="000000"/>
              </w:rPr>
              <w:t>(0.37-1.56)</w:t>
            </w: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jc w:val="right"/>
              <w:rPr>
                <w:rFonts w:eastAsia="Times New Roman" w:cstheme="minorHAnsi"/>
                <w:color w:val="000000"/>
                <w:lang w:eastAsia="en-GB"/>
              </w:rPr>
            </w:pPr>
            <w:r w:rsidRPr="006C50CC">
              <w:rPr>
                <w:rFonts w:eastAsia="Times New Roman" w:cstheme="minorHAnsi"/>
                <w:color w:val="000000"/>
                <w:lang w:eastAsia="en-GB"/>
              </w:rPr>
              <w:t>65-69</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r>
              <w:rPr>
                <w:rFonts w:ascii="Calibri" w:hAnsi="Calibri" w:cs="Calibri"/>
                <w:color w:val="000000"/>
              </w:rPr>
              <w:t>0.94</w:t>
            </w: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color w:val="000000"/>
                <w:lang w:eastAsia="en-GB"/>
              </w:rPr>
            </w:pPr>
            <w:r>
              <w:rPr>
                <w:rFonts w:ascii="Calibri" w:hAnsi="Calibri" w:cs="Calibri"/>
                <w:color w:val="000000"/>
              </w:rPr>
              <w:t>(0.45-1.97)</w:t>
            </w: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jc w:val="right"/>
              <w:rPr>
                <w:rFonts w:eastAsia="Times New Roman" w:cstheme="minorHAnsi"/>
                <w:color w:val="000000"/>
                <w:lang w:eastAsia="en-GB"/>
              </w:rPr>
            </w:pPr>
            <w:r w:rsidRPr="006C50CC">
              <w:rPr>
                <w:rFonts w:eastAsia="Times New Roman" w:cstheme="minorHAnsi"/>
                <w:color w:val="000000"/>
                <w:lang w:eastAsia="en-GB"/>
              </w:rPr>
              <w:t>70-74</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r>
              <w:rPr>
                <w:rFonts w:ascii="Calibri" w:hAnsi="Calibri" w:cs="Calibri"/>
                <w:color w:val="000000"/>
              </w:rPr>
              <w:t>0.62</w:t>
            </w: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color w:val="000000"/>
                <w:lang w:eastAsia="en-GB"/>
              </w:rPr>
            </w:pPr>
            <w:r>
              <w:rPr>
                <w:rFonts w:ascii="Calibri" w:hAnsi="Calibri" w:cs="Calibri"/>
                <w:color w:val="000000"/>
              </w:rPr>
              <w:t>(0.31-1.22)</w:t>
            </w: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jc w:val="right"/>
              <w:rPr>
                <w:rFonts w:eastAsia="Times New Roman" w:cstheme="minorHAnsi"/>
                <w:color w:val="000000"/>
                <w:lang w:eastAsia="en-GB"/>
              </w:rPr>
            </w:pPr>
            <w:r w:rsidRPr="006C50CC">
              <w:rPr>
                <w:rFonts w:eastAsia="Times New Roman" w:cstheme="minorHAnsi"/>
                <w:color w:val="000000"/>
                <w:lang w:eastAsia="en-GB"/>
              </w:rPr>
              <w:t>75-79</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r>
              <w:rPr>
                <w:rFonts w:ascii="Calibri" w:hAnsi="Calibri" w:cs="Calibri"/>
                <w:color w:val="000000"/>
              </w:rPr>
              <w:t>0.59</w:t>
            </w: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color w:val="000000"/>
                <w:lang w:eastAsia="en-GB"/>
              </w:rPr>
            </w:pPr>
            <w:r>
              <w:rPr>
                <w:rFonts w:ascii="Calibri" w:hAnsi="Calibri" w:cs="Calibri"/>
                <w:color w:val="000000"/>
              </w:rPr>
              <w:t>(0.30-1.16)</w:t>
            </w: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jc w:val="right"/>
              <w:rPr>
                <w:rFonts w:eastAsia="Times New Roman" w:cstheme="minorHAnsi"/>
                <w:color w:val="000000"/>
                <w:lang w:eastAsia="en-GB"/>
              </w:rPr>
            </w:pPr>
            <w:r w:rsidRPr="006C50CC">
              <w:rPr>
                <w:rFonts w:eastAsia="Times New Roman" w:cstheme="minorHAnsi"/>
                <w:color w:val="000000"/>
                <w:lang w:eastAsia="en-GB"/>
              </w:rPr>
              <w:t>80-84</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r>
              <w:rPr>
                <w:rFonts w:ascii="Calibri" w:hAnsi="Calibri" w:cs="Calibri"/>
                <w:color w:val="000000"/>
              </w:rPr>
              <w:t>0.54</w:t>
            </w: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color w:val="000000"/>
                <w:lang w:eastAsia="en-GB"/>
              </w:rPr>
            </w:pPr>
            <w:r>
              <w:rPr>
                <w:rFonts w:ascii="Calibri" w:hAnsi="Calibri" w:cs="Calibri"/>
                <w:color w:val="000000"/>
              </w:rPr>
              <w:t>(0.28-1.03)</w:t>
            </w: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jc w:val="right"/>
              <w:rPr>
                <w:rFonts w:eastAsia="Times New Roman" w:cstheme="minorHAnsi"/>
                <w:color w:val="000000"/>
                <w:lang w:eastAsia="en-GB"/>
              </w:rPr>
            </w:pPr>
            <w:r w:rsidRPr="006C50CC">
              <w:rPr>
                <w:rFonts w:eastAsia="Times New Roman" w:cstheme="minorHAnsi"/>
                <w:color w:val="000000"/>
                <w:lang w:eastAsia="en-GB"/>
              </w:rPr>
              <w:t>85-89</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r>
              <w:rPr>
                <w:rFonts w:ascii="Calibri" w:hAnsi="Calibri" w:cs="Calibri"/>
                <w:color w:val="000000"/>
              </w:rPr>
              <w:t>0.66</w:t>
            </w: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color w:val="000000"/>
                <w:lang w:eastAsia="en-GB"/>
              </w:rPr>
            </w:pPr>
            <w:r>
              <w:rPr>
                <w:rFonts w:ascii="Calibri" w:hAnsi="Calibri" w:cs="Calibri"/>
                <w:color w:val="000000"/>
              </w:rPr>
              <w:t>(0.34-1.28)</w:t>
            </w: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jc w:val="right"/>
              <w:rPr>
                <w:rFonts w:eastAsia="Times New Roman" w:cstheme="minorHAnsi"/>
                <w:color w:val="000000"/>
                <w:lang w:eastAsia="en-GB"/>
              </w:rPr>
            </w:pPr>
            <w:r w:rsidRPr="006C50CC">
              <w:rPr>
                <w:rFonts w:eastAsia="Times New Roman" w:cstheme="minorHAnsi"/>
                <w:color w:val="000000"/>
                <w:lang w:eastAsia="en-GB"/>
              </w:rPr>
              <w:t>90+</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r>
              <w:rPr>
                <w:rFonts w:ascii="Calibri" w:hAnsi="Calibri" w:cs="Calibri"/>
                <w:color w:val="000000"/>
              </w:rPr>
              <w:t>0.56</w:t>
            </w: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color w:val="000000"/>
                <w:lang w:eastAsia="en-GB"/>
              </w:rPr>
            </w:pPr>
            <w:r>
              <w:rPr>
                <w:rFonts w:ascii="Calibri" w:hAnsi="Calibri" w:cs="Calibri"/>
                <w:color w:val="000000"/>
              </w:rPr>
              <w:t>(0.29-1.10)</w:t>
            </w: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rPr>
                <w:rFonts w:eastAsia="Times New Roman" w:cstheme="minorHAnsi"/>
                <w:color w:val="000000"/>
                <w:lang w:eastAsia="en-GB"/>
              </w:rPr>
            </w:pPr>
            <w:r w:rsidRPr="006C50CC">
              <w:rPr>
                <w:rFonts w:eastAsia="Times New Roman" w:cstheme="minorHAnsi"/>
                <w:color w:val="000000"/>
                <w:lang w:eastAsia="en-GB"/>
              </w:rPr>
              <w:t>Male</w:t>
            </w:r>
            <w:r>
              <w:rPr>
                <w:rFonts w:eastAsia="Times New Roman" w:cstheme="minorHAnsi"/>
                <w:color w:val="000000"/>
                <w:lang w:eastAsia="en-GB"/>
              </w:rPr>
              <w:t xml:space="preserve"> </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r>
              <w:rPr>
                <w:rFonts w:ascii="Calibri" w:hAnsi="Calibri" w:cs="Calibri"/>
                <w:color w:val="000000"/>
              </w:rPr>
              <w:t>1.14</w:t>
            </w: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color w:val="000000"/>
                <w:lang w:eastAsia="en-GB"/>
              </w:rPr>
            </w:pPr>
            <w:r>
              <w:rPr>
                <w:rFonts w:ascii="Calibri" w:hAnsi="Calibri" w:cs="Calibri"/>
                <w:color w:val="000000"/>
              </w:rPr>
              <w:t>(0.87-1.50)</w:t>
            </w: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rPr>
                <w:rFonts w:eastAsia="Times New Roman" w:cstheme="minorHAnsi"/>
                <w:color w:val="000000"/>
                <w:lang w:eastAsia="en-GB"/>
              </w:rPr>
            </w:pPr>
            <w:r w:rsidRPr="006C50CC">
              <w:rPr>
                <w:rFonts w:eastAsia="Times New Roman" w:cstheme="minorHAnsi"/>
                <w:color w:val="000000"/>
                <w:lang w:eastAsia="en-GB"/>
              </w:rPr>
              <w:t>Rural</w:t>
            </w:r>
            <w:r>
              <w:rPr>
                <w:rFonts w:eastAsia="Times New Roman" w:cstheme="minorHAnsi"/>
                <w:color w:val="000000"/>
                <w:lang w:eastAsia="en-GB"/>
              </w:rPr>
              <w:t xml:space="preserve"> </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r>
              <w:rPr>
                <w:rFonts w:ascii="Calibri" w:hAnsi="Calibri" w:cs="Calibri"/>
                <w:color w:val="000000"/>
              </w:rPr>
              <w:t>0.94</w:t>
            </w: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color w:val="000000"/>
                <w:lang w:eastAsia="en-GB"/>
              </w:rPr>
            </w:pPr>
            <w:r>
              <w:rPr>
                <w:rFonts w:ascii="Calibri" w:hAnsi="Calibri" w:cs="Calibri"/>
                <w:color w:val="000000"/>
              </w:rPr>
              <w:t>(0.69-1.30)</w:t>
            </w:r>
          </w:p>
        </w:tc>
      </w:tr>
      <w:tr w:rsidR="00FF2D88" w:rsidRPr="009603A8" w:rsidTr="006F4C71">
        <w:trPr>
          <w:trHeight w:val="320"/>
        </w:trPr>
        <w:tc>
          <w:tcPr>
            <w:tcW w:w="1748" w:type="pct"/>
            <w:shd w:val="clear" w:color="auto" w:fill="auto"/>
            <w:noWrap/>
            <w:vAlign w:val="bottom"/>
            <w:hideMark/>
          </w:tcPr>
          <w:p w:rsidR="00FF2D88" w:rsidRPr="006C50CC" w:rsidRDefault="00FF2D88" w:rsidP="006F4C71">
            <w:pPr>
              <w:spacing w:after="0" w:line="240" w:lineRule="auto"/>
              <w:rPr>
                <w:rFonts w:eastAsia="Times New Roman" w:cstheme="minorHAnsi"/>
                <w:color w:val="000000"/>
                <w:lang w:eastAsia="en-GB"/>
              </w:rPr>
            </w:pPr>
            <w:r w:rsidRPr="006C50CC">
              <w:rPr>
                <w:rFonts w:eastAsia="Times New Roman" w:cstheme="minorHAnsi"/>
                <w:color w:val="000000"/>
                <w:lang w:eastAsia="en-GB"/>
              </w:rPr>
              <w:t>Constant</w:t>
            </w:r>
          </w:p>
        </w:tc>
        <w:tc>
          <w:tcPr>
            <w:tcW w:w="2533" w:type="pct"/>
            <w:tcBorders>
              <w:right w:val="nil"/>
            </w:tcBorders>
            <w:shd w:val="clear" w:color="auto" w:fill="auto"/>
            <w:noWrap/>
            <w:vAlign w:val="center"/>
          </w:tcPr>
          <w:p w:rsidR="00FF2D88" w:rsidRPr="006C50CC" w:rsidRDefault="00FF2D88" w:rsidP="006F4C71">
            <w:pPr>
              <w:spacing w:after="0" w:line="240" w:lineRule="auto"/>
              <w:jc w:val="right"/>
              <w:rPr>
                <w:rFonts w:eastAsia="Times New Roman" w:cstheme="minorHAnsi"/>
                <w:color w:val="000000"/>
                <w:lang w:eastAsia="en-GB"/>
              </w:rPr>
            </w:pPr>
            <w:r>
              <w:rPr>
                <w:rFonts w:ascii="Calibri" w:hAnsi="Calibri" w:cs="Calibri"/>
                <w:color w:val="000000"/>
              </w:rPr>
              <w:t>2.82</w:t>
            </w:r>
          </w:p>
        </w:tc>
        <w:tc>
          <w:tcPr>
            <w:tcW w:w="719" w:type="pct"/>
            <w:tcBorders>
              <w:left w:val="nil"/>
            </w:tcBorders>
            <w:shd w:val="clear" w:color="auto" w:fill="auto"/>
            <w:noWrap/>
            <w:vAlign w:val="center"/>
          </w:tcPr>
          <w:p w:rsidR="00FF2D88" w:rsidRPr="006C50CC" w:rsidRDefault="00FF2D88" w:rsidP="006F4C71">
            <w:pPr>
              <w:spacing w:after="0" w:line="240" w:lineRule="auto"/>
              <w:rPr>
                <w:rFonts w:eastAsia="Times New Roman" w:cstheme="minorHAnsi"/>
                <w:color w:val="000000"/>
                <w:lang w:eastAsia="en-GB"/>
              </w:rPr>
            </w:pPr>
            <w:r>
              <w:rPr>
                <w:rFonts w:ascii="Calibri" w:hAnsi="Calibri" w:cs="Calibri"/>
                <w:color w:val="000000"/>
              </w:rPr>
              <w:t>(1.71-4.63)</w:t>
            </w:r>
          </w:p>
        </w:tc>
      </w:tr>
    </w:tbl>
    <w:p w:rsidR="00FF2D88" w:rsidRDefault="00FF2D88" w:rsidP="00FF2D88">
      <w:pPr>
        <w:spacing w:line="360" w:lineRule="auto"/>
        <w:rPr>
          <w:rFonts w:cstheme="minorHAnsi"/>
          <w:b/>
          <w:bCs/>
          <w:sz w:val="24"/>
          <w:szCs w:val="24"/>
        </w:rPr>
      </w:pPr>
    </w:p>
    <w:p w:rsidR="00FF2D88" w:rsidRDefault="00FF2D88" w:rsidP="00FF2D88">
      <w:pPr>
        <w:rPr>
          <w:rFonts w:cstheme="minorHAnsi"/>
          <w:b/>
          <w:bCs/>
          <w:sz w:val="24"/>
          <w:szCs w:val="24"/>
        </w:rPr>
      </w:pPr>
      <w:r>
        <w:rPr>
          <w:rFonts w:cstheme="minorHAnsi"/>
          <w:b/>
          <w:bCs/>
          <w:sz w:val="24"/>
          <w:szCs w:val="24"/>
        </w:rPr>
        <w:br w:type="page"/>
      </w:r>
    </w:p>
    <w:p w:rsidR="00FF2D88" w:rsidRDefault="00FF2D88" w:rsidP="00FF2D88">
      <w:pPr>
        <w:spacing w:line="360" w:lineRule="auto"/>
        <w:rPr>
          <w:rFonts w:cstheme="minorHAnsi"/>
          <w:b/>
          <w:bCs/>
          <w:sz w:val="24"/>
          <w:szCs w:val="24"/>
        </w:rPr>
      </w:pPr>
      <w:r w:rsidRPr="00F7266A">
        <w:rPr>
          <w:rFonts w:cstheme="minorHAnsi"/>
          <w:b/>
          <w:bCs/>
          <w:sz w:val="24"/>
          <w:szCs w:val="24"/>
        </w:rPr>
        <w:lastRenderedPageBreak/>
        <w:t>A</w:t>
      </w:r>
      <w:r w:rsidRPr="003D504B">
        <w:rPr>
          <w:rFonts w:cstheme="minorHAnsi"/>
          <w:b/>
          <w:bCs/>
          <w:sz w:val="24"/>
          <w:szCs w:val="24"/>
        </w:rPr>
        <w:t>4</w:t>
      </w:r>
      <w:r w:rsidRPr="00F7266A">
        <w:rPr>
          <w:rFonts w:cstheme="minorHAnsi"/>
          <w:b/>
          <w:bCs/>
          <w:sz w:val="24"/>
          <w:szCs w:val="24"/>
        </w:rPr>
        <w:t xml:space="preserve"> Study month</w:t>
      </w:r>
    </w:p>
    <w:tbl>
      <w:tblPr>
        <w:tblStyle w:val="TableGrid"/>
        <w:tblW w:w="0" w:type="auto"/>
        <w:tblLook w:val="04A0" w:firstRow="1" w:lastRow="0" w:firstColumn="1" w:lastColumn="0" w:noHBand="0" w:noVBand="1"/>
      </w:tblPr>
      <w:tblGrid>
        <w:gridCol w:w="9016"/>
      </w:tblGrid>
      <w:tr w:rsidR="00FF2D88" w:rsidTr="006F4C71">
        <w:tc>
          <w:tcPr>
            <w:tcW w:w="9016" w:type="dxa"/>
          </w:tcPr>
          <w:p w:rsidR="00FF2D88" w:rsidRDefault="00FF2D88" w:rsidP="006F4C71">
            <w:pPr>
              <w:spacing w:line="360" w:lineRule="auto"/>
              <w:rPr>
                <w:rFonts w:cstheme="minorHAnsi"/>
                <w:b/>
                <w:bCs/>
                <w:sz w:val="24"/>
                <w:szCs w:val="24"/>
              </w:rPr>
            </w:pPr>
            <w:r>
              <w:rPr>
                <w:rFonts w:cstheme="minorHAnsi"/>
                <w:b/>
                <w:bCs/>
                <w:noProof/>
                <w:sz w:val="24"/>
                <w:szCs w:val="24"/>
                <w:lang w:val="en-US"/>
              </w:rPr>
              <w:drawing>
                <wp:inline distT="0" distB="0" distL="0" distR="0" wp14:anchorId="5BB5289F" wp14:editId="4FE44928">
                  <wp:extent cx="5592278" cy="3995635"/>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5598121" cy="3999810"/>
                          </a:xfrm>
                          <a:prstGeom prst="rect">
                            <a:avLst/>
                          </a:prstGeom>
                        </pic:spPr>
                      </pic:pic>
                    </a:graphicData>
                  </a:graphic>
                </wp:inline>
              </w:drawing>
            </w:r>
          </w:p>
        </w:tc>
      </w:tr>
      <w:tr w:rsidR="00FF2D88" w:rsidTr="006F4C71">
        <w:tc>
          <w:tcPr>
            <w:tcW w:w="9016" w:type="dxa"/>
          </w:tcPr>
          <w:p w:rsidR="00FF2D88" w:rsidRPr="003D504B" w:rsidRDefault="00FF2D88" w:rsidP="006F4C71">
            <w:pPr>
              <w:spacing w:line="360" w:lineRule="auto"/>
              <w:rPr>
                <w:rFonts w:cstheme="minorHAnsi"/>
              </w:rPr>
            </w:pPr>
            <w:r w:rsidRPr="003D504B">
              <w:rPr>
                <w:rFonts w:cstheme="minorHAnsi"/>
                <w:b/>
                <w:bCs/>
              </w:rPr>
              <w:t xml:space="preserve">Figure </w:t>
            </w:r>
            <w:r w:rsidRPr="00A3452C">
              <w:rPr>
                <w:rFonts w:cstheme="minorHAnsi"/>
                <w:b/>
                <w:bCs/>
              </w:rPr>
              <w:t>A4</w:t>
            </w:r>
            <w:r w:rsidRPr="003D504B">
              <w:rPr>
                <w:rFonts w:cstheme="minorHAnsi"/>
                <w:b/>
                <w:bCs/>
              </w:rPr>
              <w:t xml:space="preserve">: </w:t>
            </w:r>
            <w:r w:rsidRPr="003D504B">
              <w:rPr>
                <w:rFonts w:cstheme="minorHAnsi"/>
              </w:rPr>
              <w:t>Patient Clinical Frailty Scale scores (mean and 95% confidence intervals) for each month of the study. CFS scores on the day of ambulance call and the estimate of patients’ score two weeks prior to the call are shown. Dashed line indicates the mean CFS score over the six-month period.</w:t>
            </w:r>
          </w:p>
        </w:tc>
      </w:tr>
    </w:tbl>
    <w:p w:rsidR="00FF2D88" w:rsidRDefault="00FF2D88" w:rsidP="00FF2D88">
      <w:pPr>
        <w:spacing w:line="360" w:lineRule="auto"/>
        <w:rPr>
          <w:rFonts w:cstheme="minorHAnsi"/>
          <w:sz w:val="24"/>
          <w:szCs w:val="24"/>
        </w:rPr>
      </w:pPr>
    </w:p>
    <w:p w:rsidR="00FF2D88" w:rsidRPr="003D504B" w:rsidRDefault="00FF2D88" w:rsidP="00FF2D88">
      <w:pPr>
        <w:spacing w:line="360" w:lineRule="auto"/>
        <w:rPr>
          <w:rFonts w:cstheme="minorHAnsi"/>
          <w:sz w:val="24"/>
          <w:szCs w:val="24"/>
        </w:rPr>
      </w:pPr>
      <w:r w:rsidRPr="003D504B">
        <w:rPr>
          <w:rFonts w:cstheme="minorHAnsi"/>
          <w:sz w:val="24"/>
          <w:szCs w:val="24"/>
        </w:rPr>
        <w:t>CFS scores did not vary significantly over the course of the study</w:t>
      </w:r>
      <w:r>
        <w:rPr>
          <w:rFonts w:cstheme="minorHAnsi"/>
          <w:sz w:val="24"/>
          <w:szCs w:val="24"/>
        </w:rPr>
        <w:t xml:space="preserve"> (Figure A4). Large changes in the NEAS region’s COVID-19 case rate over the study period did not appear to be associated with patient CFS scores; the seven-day rolling case rate per 100,000 people in the North East of England dropped from 494.4 (4 January 2021) to 19.3 (16 May </w:t>
      </w:r>
      <w:r w:rsidRPr="00CD0105">
        <w:rPr>
          <w:rFonts w:cstheme="minorHAnsi"/>
          <w:sz w:val="24"/>
          <w:szCs w:val="24"/>
        </w:rPr>
        <w:t>2021) before increasing to 495.6 (30 June 2021) over the study period [</w:t>
      </w:r>
      <w:r>
        <w:rPr>
          <w:rFonts w:cstheme="minorHAnsi"/>
          <w:sz w:val="24"/>
          <w:szCs w:val="24"/>
        </w:rPr>
        <w:t>https</w:t>
      </w:r>
      <w:r w:rsidRPr="000431E4">
        <w:rPr>
          <w:rFonts w:cstheme="minorHAnsi"/>
          <w:color w:val="000000" w:themeColor="text1"/>
          <w:sz w:val="24"/>
          <w:szCs w:val="24"/>
        </w:rPr>
        <w:t>://coronavirus.data.gov.uk</w:t>
      </w:r>
      <w:r w:rsidRPr="003D504B">
        <w:rPr>
          <w:rFonts w:cstheme="minorHAnsi"/>
          <w:color w:val="000000"/>
          <w:sz w:val="24"/>
          <w:szCs w:val="24"/>
        </w:rPr>
        <w:t>]</w:t>
      </w:r>
      <w:r>
        <w:rPr>
          <w:rFonts w:cstheme="minorHAnsi"/>
          <w:color w:val="000000"/>
          <w:sz w:val="24"/>
          <w:szCs w:val="24"/>
        </w:rPr>
        <w:t>.</w:t>
      </w:r>
    </w:p>
    <w:p w:rsidR="00FF2D88" w:rsidRDefault="00FF2D88" w:rsidP="00FF2D88">
      <w:pPr>
        <w:rPr>
          <w:rFonts w:cstheme="minorHAnsi"/>
          <w:b/>
          <w:bCs/>
          <w:sz w:val="24"/>
          <w:szCs w:val="24"/>
        </w:rPr>
      </w:pPr>
    </w:p>
    <w:p w:rsidR="001760E5" w:rsidRDefault="00FF2D88">
      <w:bookmarkStart w:id="0" w:name="_GoBack"/>
      <w:bookmarkEnd w:id="0"/>
    </w:p>
    <w:sectPr w:rsidR="001760E5" w:rsidSect="0020671B">
      <w:headerReference w:type="default" r:id="rId5"/>
      <w:footerReference w:type="default" r:id="rId6"/>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5059017"/>
      <w:docPartObj>
        <w:docPartGallery w:val="Page Numbers (Bottom of Page)"/>
        <w:docPartUnique/>
      </w:docPartObj>
    </w:sdtPr>
    <w:sdtEndPr/>
    <w:sdtContent>
      <w:sdt>
        <w:sdtPr>
          <w:id w:val="1728636285"/>
          <w:docPartObj>
            <w:docPartGallery w:val="Page Numbers (Top of Page)"/>
            <w:docPartUnique/>
          </w:docPartObj>
        </w:sdtPr>
        <w:sdtEndPr/>
        <w:sdtContent>
          <w:p w:rsidR="00215E83" w:rsidRDefault="00FF2D8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rsidR="00215E83" w:rsidRDefault="00FF2D8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00E6467A" w:rsidTr="006C50CC">
      <w:tc>
        <w:tcPr>
          <w:tcW w:w="3005" w:type="dxa"/>
        </w:tcPr>
        <w:p w:rsidR="00E6467A" w:rsidRDefault="00FF2D88" w:rsidP="006C50CC">
          <w:pPr>
            <w:pStyle w:val="Header"/>
            <w:ind w:left="-115"/>
          </w:pPr>
        </w:p>
      </w:tc>
      <w:tc>
        <w:tcPr>
          <w:tcW w:w="3005" w:type="dxa"/>
        </w:tcPr>
        <w:p w:rsidR="00E6467A" w:rsidRDefault="00FF2D88" w:rsidP="006C50CC">
          <w:pPr>
            <w:pStyle w:val="Header"/>
            <w:jc w:val="center"/>
          </w:pPr>
        </w:p>
      </w:tc>
      <w:tc>
        <w:tcPr>
          <w:tcW w:w="3005" w:type="dxa"/>
        </w:tcPr>
        <w:p w:rsidR="00E6467A" w:rsidRDefault="00FF2D88" w:rsidP="006C50CC">
          <w:pPr>
            <w:pStyle w:val="Header"/>
            <w:ind w:right="-115"/>
            <w:jc w:val="right"/>
          </w:pPr>
        </w:p>
      </w:tc>
    </w:tr>
  </w:tbl>
  <w:p w:rsidR="00E6467A" w:rsidRDefault="00FF2D88" w:rsidP="001C29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D88"/>
    <w:rsid w:val="008A3324"/>
    <w:rsid w:val="00996CDB"/>
    <w:rsid w:val="00BA546E"/>
    <w:rsid w:val="00FF2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366735-31C0-4401-A0CA-598950946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D8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D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2D88"/>
    <w:rPr>
      <w:lang w:val="en-GB"/>
    </w:rPr>
  </w:style>
  <w:style w:type="paragraph" w:styleId="Footer">
    <w:name w:val="footer"/>
    <w:basedOn w:val="Normal"/>
    <w:link w:val="FooterChar"/>
    <w:uiPriority w:val="99"/>
    <w:unhideWhenUsed/>
    <w:rsid w:val="00FF2D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2D88"/>
    <w:rPr>
      <w:lang w:val="en-GB"/>
    </w:rPr>
  </w:style>
  <w:style w:type="table" w:styleId="TableGrid">
    <w:name w:val="Table Grid"/>
    <w:basedOn w:val="TableNormal"/>
    <w:uiPriority w:val="39"/>
    <w:rsid w:val="00FF2D8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F2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2022-09-02T08:34:00Z</dcterms:created>
  <dcterms:modified xsi:type="dcterms:W3CDTF">2022-09-02T08:34:00Z</dcterms:modified>
</cp:coreProperties>
</file>