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left"/>
        <w:rPr>
          <w:rFonts w:hint="eastAsia" w:ascii="TimesNewRomanPS-BoldMT" w:hAnsi="TimesNewRomanPS-BoldMT" w:eastAsia="宋体" w:cs="TimesNewRomanPS-BoldMT"/>
          <w:b/>
          <w:bCs/>
          <w:kern w:val="0"/>
          <w:sz w:val="32"/>
          <w:szCs w:val="32"/>
          <w:lang w:val="en-US" w:eastAsia="zh-CN"/>
        </w:rPr>
      </w:pPr>
      <w:r>
        <w:rPr>
          <w:rFonts w:ascii="TimesNewRomanPS-BoldMT" w:hAnsi="TimesNewRomanPS-BoldMT" w:cs="TimesNewRomanPS-BoldMT"/>
          <w:b/>
          <w:bCs/>
          <w:kern w:val="0"/>
          <w:sz w:val="32"/>
          <w:szCs w:val="32"/>
        </w:rPr>
        <w:t>Supplemental Material</w:t>
      </w:r>
      <w:r>
        <w:rPr>
          <w:rFonts w:hint="eastAsia" w:ascii="TimesNewRomanPS-BoldMT" w:hAnsi="TimesNewRomanPS-BoldMT" w:cs="TimesNewRomanPS-BoldMT"/>
          <w:b/>
          <w:bCs/>
          <w:kern w:val="0"/>
          <w:sz w:val="32"/>
          <w:szCs w:val="32"/>
          <w:lang w:val="en-US" w:eastAsia="zh-CN"/>
        </w:rPr>
        <w:t>s</w:t>
      </w:r>
    </w:p>
    <w:p>
      <w:pPr>
        <w:autoSpaceDE w:val="0"/>
        <w:autoSpaceDN w:val="0"/>
        <w:adjustRightInd w:val="0"/>
        <w:jc w:val="left"/>
        <w:rPr>
          <w:rFonts w:ascii="TimesNewRomanPS-BoldMT" w:hAnsi="TimesNewRomanPS-BoldMT" w:cs="TimesNewRomanPS-BoldMT"/>
          <w:kern w:val="0"/>
          <w:sz w:val="32"/>
          <w:szCs w:val="32"/>
        </w:rPr>
      </w:pPr>
    </w:p>
    <w:p>
      <w:pPr>
        <w:tabs>
          <w:tab w:val="left" w:pos="3740"/>
        </w:tabs>
        <w:snapToGrid w:val="0"/>
        <w:spacing w:line="360" w:lineRule="auto"/>
        <w:rPr>
          <w:b/>
          <w:sz w:val="32"/>
          <w:szCs w:val="32"/>
        </w:rPr>
      </w:pPr>
      <w:r>
        <w:rPr>
          <w:rFonts w:hint="eastAsia" w:ascii="Times New Roman" w:hAnsi="Times New Roman"/>
          <w:sz w:val="28"/>
          <w:szCs w:val="28"/>
        </w:rPr>
        <w:t>Association of low dose p-phenylenediamine exposure with alterations of pulmonary function, pruritus and health-related quality of life in hair dye factory workers: a cross-sectional study</w:t>
      </w:r>
      <w:r>
        <w:rPr>
          <w:rFonts w:hint="eastAsia"/>
          <w:b/>
          <w:sz w:val="32"/>
          <w:szCs w:val="32"/>
        </w:rPr>
        <w:t xml:space="preserve"> </w:t>
      </w:r>
    </w:p>
    <w:p>
      <w:pPr>
        <w:spacing w:after="160" w:line="480" w:lineRule="auto"/>
        <w:ind w:firstLine="240" w:firstLineChars="100"/>
        <w:jc w:val="both"/>
        <w:rPr>
          <w:rFonts w:hint="eastAsia" w:ascii="Times New Roman" w:hAnsi="Times New Roman" w:eastAsia="宋体" w:cs="Times New Roman"/>
          <w:color w:val="000000"/>
          <w:sz w:val="24"/>
          <w:szCs w:val="24"/>
        </w:rPr>
      </w:pPr>
    </w:p>
    <w:p>
      <w:pPr>
        <w:spacing w:after="160" w:line="480" w:lineRule="auto"/>
        <w:ind w:firstLine="240" w:firstLineChars="100"/>
        <w:jc w:val="both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Th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e s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 xml:space="preserve">upplemental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m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aterial file includes:</w:t>
      </w:r>
    </w:p>
    <w:p>
      <w:pPr>
        <w:spacing w:after="160" w:line="480" w:lineRule="auto"/>
        <w:ind w:firstLine="240" w:firstLineChars="100"/>
        <w:jc w:val="both"/>
        <w:rPr>
          <w:rFonts w:hint="eastAsia"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Supplemental Table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 xml:space="preserve"> 1   </w:t>
      </w:r>
    </w:p>
    <w:p>
      <w:pPr>
        <w:spacing w:after="160" w:line="480" w:lineRule="auto"/>
        <w:ind w:firstLine="240" w:firstLineChars="100"/>
        <w:jc w:val="both"/>
        <w:rPr>
          <w:rFonts w:hint="eastAsia"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Supplemental Table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 xml:space="preserve"> 2   </w:t>
      </w:r>
    </w:p>
    <w:p>
      <w:pPr>
        <w:spacing w:after="160" w:line="480" w:lineRule="auto"/>
        <w:ind w:firstLine="240" w:firstLineChars="100"/>
        <w:jc w:val="both"/>
        <w:rPr>
          <w:rFonts w:hint="eastAsia" w:ascii="Times New Roman" w:hAnsi="Times New Roman" w:eastAsia="宋体"/>
          <w:b/>
          <w:color w:val="000000"/>
          <w:kern w:val="0"/>
          <w:sz w:val="24"/>
          <w:szCs w:val="24"/>
          <w:lang w:eastAsia="zh-CN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 xml:space="preserve">Supplemental Figure 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>1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  <w:br w:type="page"/>
      </w:r>
    </w:p>
    <w:p>
      <w:pPr>
        <w:spacing w:line="360" w:lineRule="auto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仿宋" w:cs="Times New Roman"/>
          <w:b/>
          <w:snapToGrid w:val="0"/>
          <w:kern w:val="0"/>
          <w:sz w:val="24"/>
          <w:szCs w:val="24"/>
          <w:lang w:val="en"/>
        </w:rPr>
        <w:t>Supplemental Table 1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hint="eastAsia" w:ascii="Times New Roman" w:hAnsi="Times New Roman"/>
          <w:b/>
          <w:color w:val="000000"/>
          <w:sz w:val="24"/>
          <w:szCs w:val="24"/>
          <w:shd w:val="clear" w:color="auto" w:fill="FFFFFF"/>
          <w:lang w:val="en-US" w:eastAsia="zh-CN"/>
        </w:rPr>
        <w:t xml:space="preserve">  </w:t>
      </w:r>
      <w:r>
        <w:rPr>
          <w:rFonts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  <w:t xml:space="preserve">PPD concentration in different types of work </w:t>
      </w:r>
    </w:p>
    <w:tbl>
      <w:tblPr>
        <w:tblStyle w:val="3"/>
        <w:tblW w:w="8972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20"/>
        <w:gridCol w:w="2344"/>
        <w:gridCol w:w="260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" w:hRule="atLeast"/>
          <w:tblHeader/>
        </w:trPr>
        <w:tc>
          <w:tcPr>
            <w:tcW w:w="4020" w:type="dxa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Workshop</w:t>
            </w:r>
          </w:p>
        </w:tc>
        <w:tc>
          <w:tcPr>
            <w:tcW w:w="2344" w:type="dxa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PPD concentration in the air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mg/m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2608" w:type="dxa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Individual PPD  exposure concentration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mg/m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" w:hRule="atLeast"/>
        </w:trPr>
        <w:tc>
          <w:tcPr>
            <w:tcW w:w="402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Raw material configuration workshop</w:t>
            </w:r>
          </w:p>
        </w:tc>
        <w:tc>
          <w:tcPr>
            <w:tcW w:w="2344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0.01～0.19</w:t>
            </w:r>
          </w:p>
        </w:tc>
        <w:tc>
          <w:tcPr>
            <w:tcW w:w="260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0.025～0.047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" w:hRule="atLeast"/>
        </w:trPr>
        <w:tc>
          <w:tcPr>
            <w:tcW w:w="4020" w:type="dxa"/>
            <w:noWrap w:val="0"/>
            <w:vAlign w:val="center"/>
          </w:tcPr>
          <w:p>
            <w:pPr>
              <w:snapToGri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Workshop about add chemical</w:t>
            </w:r>
          </w:p>
        </w:tc>
        <w:tc>
          <w:tcPr>
            <w:tcW w:w="2344" w:type="dxa"/>
            <w:noWrap w:val="0"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0.0038～0.12</w:t>
            </w:r>
          </w:p>
        </w:tc>
        <w:tc>
          <w:tcPr>
            <w:tcW w:w="2608" w:type="dxa"/>
            <w:noWrap w:val="0"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0.00033～0.015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" w:hRule="atLeast"/>
        </w:trPr>
        <w:tc>
          <w:tcPr>
            <w:tcW w:w="4020" w:type="dxa"/>
            <w:noWrap w:val="0"/>
            <w:vAlign w:val="center"/>
          </w:tcPr>
          <w:p>
            <w:pPr>
              <w:snapToGri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Workshop add PPD into the jar</w:t>
            </w:r>
          </w:p>
        </w:tc>
        <w:tc>
          <w:tcPr>
            <w:tcW w:w="2344" w:type="dxa"/>
            <w:noWrap w:val="0"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0.00089～0.04</w:t>
            </w:r>
          </w:p>
        </w:tc>
        <w:tc>
          <w:tcPr>
            <w:tcW w:w="2608" w:type="dxa"/>
            <w:noWrap w:val="0"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0.00033～0.030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4020" w:type="dxa"/>
            <w:noWrap w:val="0"/>
            <w:vAlign w:val="center"/>
          </w:tcPr>
          <w:p>
            <w:pPr>
              <w:snapToGri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Packaging workshop</w:t>
            </w:r>
          </w:p>
        </w:tc>
        <w:tc>
          <w:tcPr>
            <w:tcW w:w="2344" w:type="dxa"/>
            <w:noWrap w:val="0"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＜0.00089</w:t>
            </w:r>
          </w:p>
        </w:tc>
        <w:tc>
          <w:tcPr>
            <w:tcW w:w="2608" w:type="dxa"/>
            <w:noWrap w:val="0"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&lt; 0.00033</w:t>
            </w:r>
          </w:p>
        </w:tc>
      </w:tr>
    </w:tbl>
    <w:p>
      <w:pPr>
        <w:spacing w:line="480" w:lineRule="auto"/>
        <w:rPr>
          <w:rFonts w:hint="default"/>
          <w:b/>
          <w:sz w:val="24"/>
          <w:lang w:val="en-US"/>
        </w:rPr>
      </w:pPr>
    </w:p>
    <w:p>
      <w:pPr>
        <w:rPr>
          <w:rFonts w:hint="default"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</w:pPr>
      <w:r>
        <w:rPr>
          <w:rFonts w:hint="default"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  <w:br w:type="page"/>
      </w:r>
    </w:p>
    <w:p>
      <w:pPr>
        <w:spacing w:line="360" w:lineRule="auto"/>
        <w:jc w:val="left"/>
        <w:rPr>
          <w:rFonts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仿宋" w:cs="Times New Roman"/>
          <w:b/>
          <w:snapToGrid w:val="0"/>
          <w:kern w:val="0"/>
          <w:sz w:val="24"/>
          <w:szCs w:val="24"/>
          <w:lang w:val="en"/>
        </w:rPr>
        <w:t>Supplemental Table</w:t>
      </w:r>
      <w:r>
        <w:rPr>
          <w:rFonts w:hint="default" w:ascii="Times New Roman" w:hAnsi="Times New Roman" w:eastAsia="仿宋" w:cs="Times New Roman"/>
          <w:b/>
          <w:snapToGrid w:val="0"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eastAsia="仿宋" w:cs="Times New Roman"/>
          <w:b/>
          <w:snapToGrid w:val="0"/>
          <w:kern w:val="0"/>
          <w:sz w:val="24"/>
          <w:szCs w:val="24"/>
          <w:lang w:val="en-US" w:eastAsia="zh-CN"/>
        </w:rPr>
        <w:t>2</w:t>
      </w:r>
      <w:r>
        <w:rPr>
          <w:rFonts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hint="eastAsia" w:ascii="Times New Roman" w:hAnsi="Times New Roman"/>
          <w:b w:val="0"/>
          <w:bCs/>
          <w:color w:val="000000"/>
          <w:sz w:val="24"/>
          <w:szCs w:val="24"/>
          <w:shd w:val="clear" w:color="auto" w:fill="FFFFFF"/>
          <w:lang w:val="en-US" w:eastAsia="zh-CN"/>
        </w:rPr>
        <w:t xml:space="preserve">   </w:t>
      </w:r>
      <w:r>
        <w:rPr>
          <w:rFonts w:ascii="Times New Roman" w:hAnsi="Times New Roman"/>
          <w:b w:val="0"/>
          <w:bCs/>
          <w:color w:val="000000"/>
          <w:sz w:val="24"/>
          <w:szCs w:val="24"/>
        </w:rPr>
        <w:t>Summary of model fit</w:t>
      </w:r>
    </w:p>
    <w:tbl>
      <w:tblPr>
        <w:tblStyle w:val="3"/>
        <w:tblW w:w="4997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636"/>
        <w:gridCol w:w="734"/>
        <w:gridCol w:w="739"/>
        <w:gridCol w:w="987"/>
        <w:gridCol w:w="734"/>
        <w:gridCol w:w="734"/>
        <w:gridCol w:w="735"/>
        <w:gridCol w:w="260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92" w:type="pct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Adaptability index</w:t>
            </w:r>
          </w:p>
        </w:tc>
        <w:tc>
          <w:tcPr>
            <w:tcW w:w="412" w:type="pct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/df</w:t>
            </w:r>
          </w:p>
        </w:tc>
        <w:tc>
          <w:tcPr>
            <w:tcW w:w="371" w:type="pct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GFI</w:t>
            </w:r>
          </w:p>
        </w:tc>
        <w:tc>
          <w:tcPr>
            <w:tcW w:w="371" w:type="pct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AGFI</w:t>
            </w:r>
          </w:p>
        </w:tc>
        <w:tc>
          <w:tcPr>
            <w:tcW w:w="497" w:type="pct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RMSEA</w:t>
            </w:r>
          </w:p>
        </w:tc>
        <w:tc>
          <w:tcPr>
            <w:tcW w:w="371" w:type="pct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IFI</w:t>
            </w:r>
          </w:p>
        </w:tc>
        <w:tc>
          <w:tcPr>
            <w:tcW w:w="371" w:type="pct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CFI</w:t>
            </w:r>
          </w:p>
        </w:tc>
        <w:tc>
          <w:tcPr>
            <w:tcW w:w="371" w:type="pct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PGFI</w:t>
            </w:r>
          </w:p>
        </w:tc>
        <w:tc>
          <w:tcPr>
            <w:tcW w:w="1343" w:type="pct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CAIC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92" w:type="pct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Reference value</w:t>
            </w:r>
          </w:p>
        </w:tc>
        <w:tc>
          <w:tcPr>
            <w:tcW w:w="412" w:type="pct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1-3</w:t>
            </w:r>
          </w:p>
        </w:tc>
        <w:tc>
          <w:tcPr>
            <w:tcW w:w="371" w:type="pct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&gt;0.90</w:t>
            </w:r>
          </w:p>
        </w:tc>
        <w:tc>
          <w:tcPr>
            <w:tcW w:w="371" w:type="pct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&gt;0.90</w:t>
            </w:r>
          </w:p>
        </w:tc>
        <w:tc>
          <w:tcPr>
            <w:tcW w:w="497" w:type="pct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&lt;0.10</w:t>
            </w:r>
          </w:p>
        </w:tc>
        <w:tc>
          <w:tcPr>
            <w:tcW w:w="371" w:type="pct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&gt;0.90</w:t>
            </w:r>
          </w:p>
        </w:tc>
        <w:tc>
          <w:tcPr>
            <w:tcW w:w="371" w:type="pct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&gt;0.90</w:t>
            </w:r>
          </w:p>
        </w:tc>
        <w:tc>
          <w:tcPr>
            <w:tcW w:w="371" w:type="pct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&gt;0.50</w:t>
            </w:r>
          </w:p>
        </w:tc>
        <w:tc>
          <w:tcPr>
            <w:tcW w:w="1343" w:type="pct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CAIC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default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&lt;CAIC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independence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and CAIC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default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&lt;CAIC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saturated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892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Model test value</w:t>
            </w:r>
          </w:p>
        </w:tc>
        <w:tc>
          <w:tcPr>
            <w:tcW w:w="412" w:type="pct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2.29</w:t>
            </w:r>
          </w:p>
        </w:tc>
        <w:tc>
          <w:tcPr>
            <w:tcW w:w="371" w:type="pct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0.901</w:t>
            </w:r>
          </w:p>
        </w:tc>
        <w:tc>
          <w:tcPr>
            <w:tcW w:w="371" w:type="pct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0.934</w:t>
            </w:r>
          </w:p>
        </w:tc>
        <w:tc>
          <w:tcPr>
            <w:tcW w:w="497" w:type="pct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0.099</w:t>
            </w:r>
          </w:p>
        </w:tc>
        <w:tc>
          <w:tcPr>
            <w:tcW w:w="371" w:type="pct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0.979</w:t>
            </w:r>
          </w:p>
        </w:tc>
        <w:tc>
          <w:tcPr>
            <w:tcW w:w="371" w:type="pct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0.907</w:t>
            </w:r>
          </w:p>
        </w:tc>
        <w:tc>
          <w:tcPr>
            <w:tcW w:w="371" w:type="pct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0.593</w:t>
            </w:r>
          </w:p>
        </w:tc>
        <w:tc>
          <w:tcPr>
            <w:tcW w:w="1343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488.056&lt;1432.971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and 890.503&lt;890.503</w:t>
            </w:r>
          </w:p>
        </w:tc>
      </w:tr>
    </w:tbl>
    <w:p>
      <w:pPr>
        <w:widowControl/>
        <w:jc w:val="left"/>
        <w:rPr>
          <w:rFonts w:ascii="Times New Roman" w:hAnsi="Times New Roman"/>
          <w:color w:val="000000"/>
          <w:kern w:val="0"/>
          <w:sz w:val="28"/>
          <w:szCs w:val="28"/>
        </w:rPr>
      </w:pPr>
    </w:p>
    <w:p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>
      <w:pPr>
        <w:rPr>
          <w:rFonts w:hint="default"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</w:pPr>
      <w:r>
        <w:rPr>
          <w:rFonts w:hint="default"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  <w:br w:type="page"/>
      </w:r>
    </w:p>
    <w:p>
      <w:pPr>
        <w:spacing w:line="360" w:lineRule="auto"/>
        <w:rPr>
          <w:rFonts w:hint="eastAsia" w:ascii="Times New Roman" w:hAnsi="Times New Roman" w:eastAsia="仿宋" w:cs="Times New Roman"/>
          <w:b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snapToGrid w:val="0"/>
          <w:kern w:val="0"/>
          <w:sz w:val="24"/>
          <w:szCs w:val="24"/>
          <w:lang w:val="en"/>
        </w:rPr>
        <w:t xml:space="preserve">Supplemental Figure </w:t>
      </w:r>
      <w:r>
        <w:rPr>
          <w:rFonts w:hint="eastAsia" w:ascii="Times New Roman" w:hAnsi="Times New Roman" w:eastAsia="仿宋" w:cs="Times New Roman"/>
          <w:b/>
          <w:snapToGrid w:val="0"/>
          <w:kern w:val="0"/>
          <w:sz w:val="24"/>
          <w:szCs w:val="24"/>
          <w:lang w:val="en-US" w:eastAsia="zh-CN"/>
        </w:rPr>
        <w:t xml:space="preserve">1 legend </w:t>
      </w:r>
    </w:p>
    <w:p>
      <w:pPr>
        <w:spacing w:line="360" w:lineRule="auto"/>
        <w:rPr>
          <w:rFonts w:ascii="Times New Roman" w:hAnsi="Times New Roman"/>
          <w:b/>
          <w:bCs w:val="0"/>
          <w:kern w:val="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 w:val="0"/>
          <w:color w:val="000000"/>
          <w:sz w:val="24"/>
          <w:szCs w:val="24"/>
          <w:shd w:val="clear" w:color="auto" w:fill="FFFFFF"/>
        </w:rPr>
        <w:t>Path analysis of the effects of PPD exposure on SF-36 and VAS</w:t>
      </w:r>
    </w:p>
    <w:p>
      <w:pPr>
        <w:spacing w:line="360" w:lineRule="auto"/>
        <w:rPr>
          <w:rFonts w:hint="default"/>
          <w:b/>
          <w:sz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</w:rPr>
        <w:t>PPD exposure levels, hair dye history, blood routine index, pulmonary function index, SF-36 scores and VAS level, which were analyzed as the structural equation model by AMOSE software. The path coefficients in the figure are all standard path coefficients. e, errors;</w:t>
      </w:r>
      <w:r>
        <w:rPr>
          <w:rFonts w:hint="eastAsia" w:ascii="Times New Roman" w:hAnsi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↔</w:t>
      </w:r>
      <w:r>
        <w:rPr>
          <w:rFonts w:ascii="Times New Roman" w:hAnsi="Times New Roman"/>
          <w:color w:val="000000"/>
          <w:sz w:val="24"/>
          <w:szCs w:val="24"/>
        </w:rPr>
        <w:t>There may have a certain common change effect;</w:t>
      </w:r>
      <w:r>
        <w:rPr>
          <w:rFonts w:hint="eastAsia" w:ascii="Times New Roman" w:hAnsi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→</w:t>
      </w:r>
      <w:r>
        <w:rPr>
          <w:rFonts w:ascii="Times New Roman" w:hAnsi="Times New Roman"/>
          <w:color w:val="000000"/>
          <w:sz w:val="24"/>
          <w:szCs w:val="24"/>
        </w:rPr>
        <w:t>Arrow points from reason to result. *P&lt;0.05; **P&lt;0.001. Abbreviations: BP (bodily pain); GH (general health); RP (role-physical); MH (mental health); VT (vitality); HT (health transition); VAS (Visual analogue scale); SF-36 (36-item Short Form Health Survey); FEV1% (percentage of forced expiratory volume in one second); FVC% (percentage of forced vital capacity); FEV1/FVC % (ratio percentage of forced expiratory volume in one second /forced vital capacity)</w:t>
      </w:r>
      <w:r>
        <w:rPr>
          <w:rFonts w:hint="eastAsia" w:ascii="Times New Roman" w:hAnsi="Times New Roman"/>
          <w:color w:val="000000"/>
          <w:sz w:val="24"/>
          <w:szCs w:val="24"/>
          <w:lang w:val="en-US" w:eastAsia="zh-CN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</w:pPr>
    </w:p>
    <w:p/>
    <w:sectPr>
      <w:pgSz w:w="11906" w:h="16838"/>
      <w:pgMar w:top="1440" w:right="1440" w:bottom="1440" w:left="1440" w:header="851" w:footer="992" w:gutter="0"/>
      <w:lnNumType w:countBy="0"/>
      <w:cols w:space="0" w:num="1"/>
      <w:docGrid w:type="lines"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imesNewRomanPS-Bold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”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1ZWE0ODQ3MDgyZWI2ZjVmYmUxYjhkYWMzZjIwYmQifQ=="/>
  </w:docVars>
  <w:rsids>
    <w:rsidRoot w:val="1A1D3A15"/>
    <w:rsid w:val="0E8E29C7"/>
    <w:rsid w:val="1A1D3A15"/>
    <w:rsid w:val="27A442C3"/>
    <w:rsid w:val="485F7D21"/>
    <w:rsid w:val="4AB2490D"/>
    <w:rsid w:val="7EE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48"/>
      <w:szCs w:val="4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 黑体"/>
    <w:basedOn w:val="1"/>
    <w:uiPriority w:val="0"/>
    <w:rPr>
      <w:rFonts w:hint="eastAsia" w:ascii="黑体" w:hAnsi="黑体" w:eastAsia="黑体" w:cs="黑体"/>
      <w:sz w:val="32"/>
    </w:rPr>
  </w:style>
  <w:style w:type="paragraph" w:customStyle="1" w:styleId="6">
    <w:name w:val=" 仿宋_GB2312"/>
    <w:basedOn w:val="1"/>
    <w:uiPriority w:val="0"/>
    <w:rPr>
      <w:rFonts w:hint="eastAsia" w:ascii="仿宋_GB2312" w:hAnsi="仿宋_GB2312" w:eastAsia="仿宋_GB2312" w:cs="仿宋_GB2312"/>
      <w:sz w:val="32"/>
    </w:rPr>
  </w:style>
  <w:style w:type="paragraph" w:customStyle="1" w:styleId="7">
    <w:name w:val=" 楷体_GB2312"/>
    <w:basedOn w:val="1"/>
    <w:uiPriority w:val="0"/>
    <w:rPr>
      <w:rFonts w:hint="eastAsia" w:ascii="楷体_GB2312" w:hAnsi="楷体_GB2312" w:eastAsia="楷体_GB2312" w:cs="楷体_GB2312"/>
      <w:sz w:val="32"/>
    </w:rPr>
  </w:style>
  <w:style w:type="paragraph" w:customStyle="1" w:styleId="8">
    <w:name w:val=" 方正小标宋简体"/>
    <w:basedOn w:val="1"/>
    <w:uiPriority w:val="0"/>
    <w:rPr>
      <w:rFonts w:hint="eastAsia" w:ascii="方正小标宋简体" w:hAnsi="方正小标宋简体" w:eastAsia="方正小标宋简体" w:cs="方正小标宋简体"/>
      <w:sz w:val="32"/>
    </w:rPr>
  </w:style>
  <w:style w:type="paragraph" w:customStyle="1" w:styleId="9">
    <w:name w:val=" 方正小标宋_GBK"/>
    <w:basedOn w:val="1"/>
    <w:uiPriority w:val="0"/>
    <w:rPr>
      <w:rFonts w:hint="eastAsia" w:ascii="方正小标宋_GBK”" w:hAnsi="方正小标宋_GBK”" w:eastAsia="方正小标宋_GBK”" w:cs="方正小标宋_GBK”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271</Words>
  <Characters>1598</Characters>
  <Lines>0</Lines>
  <Paragraphs>0</Paragraphs>
  <TotalTime>2</TotalTime>
  <ScaleCrop>false</ScaleCrop>
  <LinksUpToDate>false</LinksUpToDate>
  <CharactersWithSpaces>1818</CharactersWithSpaces>
  <Application>WPS Office_11.1.0.11753_F1E327BC-269C-435d-A152-05C5408002CA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2022-06-22T10:43:00Z</dcterms:created>
  <dc:creator>Administrator</dc:creator>
  <cp:lastModifiedBy>Administrator</cp:lastModifiedBy>
  <dcterms:modified xsi:type="dcterms:W3CDTF">2022-06-22T10:55:38Z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236D7A1FDB7240AFAB158B222FB91000</vt:lpwstr>
  </property>
</Properties>
</file>