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47B3A" w14:textId="25B7724C" w:rsidR="00B12AE1" w:rsidRPr="00F53DF2" w:rsidRDefault="00AB0926" w:rsidP="00F53DF2">
      <w:pPr>
        <w:rPr>
          <w:rFonts w:ascii="Arial" w:hAnsi="Arial" w:cs="Arial"/>
          <w:b/>
          <w:bCs/>
          <w:sz w:val="28"/>
          <w:szCs w:val="28"/>
        </w:rPr>
      </w:pPr>
      <w:r w:rsidRPr="00F53DF2">
        <w:rPr>
          <w:rFonts w:ascii="Arial" w:hAnsi="Arial" w:cs="Arial"/>
          <w:b/>
          <w:bCs/>
          <w:sz w:val="28"/>
          <w:szCs w:val="28"/>
        </w:rPr>
        <w:t>Supplementary material</w:t>
      </w:r>
    </w:p>
    <w:p w14:paraId="09A8A0C9" w14:textId="252CE3F6" w:rsidR="00AB0926" w:rsidRPr="00AB0926" w:rsidRDefault="00AB0926">
      <w:pPr>
        <w:rPr>
          <w:rFonts w:ascii="Arial" w:hAnsi="Arial" w:cs="Arial"/>
        </w:rPr>
      </w:pPr>
    </w:p>
    <w:p w14:paraId="46321CE6" w14:textId="65F7F3AE" w:rsidR="00AB0926" w:rsidRPr="00AB0926" w:rsidRDefault="00AB0926">
      <w:pPr>
        <w:rPr>
          <w:rFonts w:ascii="Arial" w:hAnsi="Arial" w:cs="Arial"/>
        </w:rPr>
      </w:pPr>
      <w:r w:rsidRPr="00AB0926">
        <w:rPr>
          <w:rFonts w:ascii="Arial" w:hAnsi="Arial" w:cs="Arial"/>
          <w:noProof/>
        </w:rPr>
        <w:drawing>
          <wp:inline distT="0" distB="0" distL="0" distR="0" wp14:anchorId="12714970" wp14:editId="01E67D3E">
            <wp:extent cx="6120130" cy="4328160"/>
            <wp:effectExtent l="0" t="0" r="0" b="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0C04E" w14:textId="5B766BD6" w:rsidR="00AB0926" w:rsidRPr="00AB0926" w:rsidRDefault="00AB0926" w:rsidP="00AB092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B0926">
        <w:rPr>
          <w:rFonts w:ascii="Arial" w:hAnsi="Arial" w:cs="Arial"/>
          <w:sz w:val="20"/>
          <w:szCs w:val="20"/>
        </w:rPr>
        <w:t>Fig</w:t>
      </w:r>
      <w:r w:rsidR="00643F0F">
        <w:rPr>
          <w:rFonts w:ascii="Arial" w:hAnsi="Arial" w:cs="Arial"/>
          <w:sz w:val="20"/>
          <w:szCs w:val="20"/>
        </w:rPr>
        <w:t>.</w:t>
      </w:r>
      <w:r w:rsidRPr="00AB09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S1</w:t>
      </w:r>
      <w:r w:rsidRPr="00AB0926">
        <w:rPr>
          <w:rFonts w:ascii="Arial" w:hAnsi="Arial" w:cs="Arial"/>
          <w:sz w:val="20"/>
          <w:szCs w:val="20"/>
        </w:rPr>
        <w:t xml:space="preserve">: </w:t>
      </w:r>
      <w:r w:rsidR="00EE2D31" w:rsidRPr="00EE2D31">
        <w:rPr>
          <w:rFonts w:ascii="Arial" w:hAnsi="Arial" w:cs="Arial"/>
          <w:sz w:val="20"/>
          <w:szCs w:val="20"/>
        </w:rPr>
        <w:t>Geographical distribution of PM10 ground monitoring stations defined by typ</w:t>
      </w:r>
      <w:r w:rsidR="00EE2D31">
        <w:rPr>
          <w:rFonts w:ascii="Arial" w:hAnsi="Arial" w:cs="Arial"/>
          <w:sz w:val="20"/>
          <w:szCs w:val="20"/>
        </w:rPr>
        <w:t>ology</w:t>
      </w:r>
      <w:r w:rsidR="00EE2D31" w:rsidRPr="00EE2D31">
        <w:rPr>
          <w:rFonts w:ascii="Arial" w:hAnsi="Arial" w:cs="Arial"/>
          <w:sz w:val="20"/>
          <w:szCs w:val="20"/>
        </w:rPr>
        <w:t xml:space="preserve"> in each region of Italy and Sweden.</w:t>
      </w:r>
    </w:p>
    <w:p w14:paraId="744C4B46" w14:textId="77777777" w:rsidR="00AB0926" w:rsidRDefault="00AB0926"/>
    <w:sectPr w:rsidR="00AB0926" w:rsidSect="003504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926"/>
    <w:rsid w:val="00206450"/>
    <w:rsid w:val="0035041C"/>
    <w:rsid w:val="00643F0F"/>
    <w:rsid w:val="00AB0926"/>
    <w:rsid w:val="00B12AE1"/>
    <w:rsid w:val="00EE2D31"/>
    <w:rsid w:val="00F5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81C1"/>
  <w15:chartTrackingRefBased/>
  <w15:docId w15:val="{9458B158-CB38-4619-A594-B25DAB1F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Gianmarco Pignocchino</dc:creator>
  <cp:keywords/>
  <dc:description/>
  <cp:lastModifiedBy>Gianmarco Pignocchino</cp:lastModifiedBy>
  <cp:revision>4</cp:revision>
  <dcterms:created xsi:type="dcterms:W3CDTF">2022-04-28T11:39:00Z</dcterms:created>
  <dcterms:modified xsi:type="dcterms:W3CDTF">2022-05-11T10:12:00Z</dcterms:modified>
</cp:coreProperties>
</file>