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8A59F" w14:textId="77777777" w:rsidR="009A77FE" w:rsidRPr="00A94BC3" w:rsidRDefault="009A77FE" w:rsidP="009A77FE">
      <w:pPr>
        <w:spacing w:line="240" w:lineRule="auto"/>
        <w:jc w:val="left"/>
        <w:rPr>
          <w:b/>
          <w:bCs/>
        </w:rPr>
      </w:pPr>
      <w:r>
        <w:rPr>
          <w:b/>
          <w:bCs/>
          <w:u w:val="single"/>
        </w:rPr>
        <w:t>Supplementary Materials</w:t>
      </w:r>
    </w:p>
    <w:p w14:paraId="4A46A9D7" w14:textId="77777777" w:rsidR="009A77FE" w:rsidRPr="00A94BC3" w:rsidRDefault="009A77FE" w:rsidP="009A77FE">
      <w:pPr>
        <w:spacing w:line="240" w:lineRule="auto"/>
        <w:jc w:val="left"/>
      </w:pPr>
    </w:p>
    <w:p w14:paraId="13EE7839" w14:textId="77777777" w:rsidR="009A77FE" w:rsidRPr="00A94BC3" w:rsidRDefault="009A77FE" w:rsidP="009A77FE">
      <w:proofErr w:type="spellStart"/>
      <w:r w:rsidRPr="00A94BC3">
        <w:t>eTable</w:t>
      </w:r>
      <w:proofErr w:type="spellEnd"/>
      <w:r w:rsidRPr="00A94BC3">
        <w:t xml:space="preserve"> </w:t>
      </w:r>
      <w:r>
        <w:fldChar w:fldCharType="begin"/>
      </w:r>
      <w:r>
        <w:instrText xml:space="preserve"> SEQ eTable \* ARABIC </w:instrText>
      </w:r>
      <w:r>
        <w:fldChar w:fldCharType="separate"/>
      </w:r>
      <w:r w:rsidRPr="00A94BC3">
        <w:rPr>
          <w:noProof/>
        </w:rPr>
        <w:t>1</w:t>
      </w:r>
      <w:r>
        <w:rPr>
          <w:noProof/>
        </w:rPr>
        <w:fldChar w:fldCharType="end"/>
      </w:r>
      <w:r w:rsidRPr="00A94BC3">
        <w:t xml:space="preserve">. Study characteristics. </w:t>
      </w:r>
      <w:r w:rsidRPr="00A94BC3">
        <w:rPr>
          <w:rFonts w:cs="Arial"/>
        </w:rPr>
        <w:t>¥</w:t>
      </w:r>
      <w:r w:rsidRPr="00A94BC3">
        <w:t xml:space="preserve"> Information not specified. SS = single shot. RS = read-out-segment</w:t>
      </w:r>
    </w:p>
    <w:tbl>
      <w:tblPr>
        <w:tblW w:w="13467" w:type="dxa"/>
        <w:tblInd w:w="108" w:type="dxa"/>
        <w:tblBorders>
          <w:insideH w:val="single" w:sz="4" w:space="0" w:color="auto"/>
        </w:tblBorders>
        <w:shd w:val="clear" w:color="auto" w:fill="FFFFFF" w:themeFill="background1"/>
        <w:tblLayout w:type="fixed"/>
        <w:tblLook w:val="04A0" w:firstRow="1" w:lastRow="0" w:firstColumn="1" w:lastColumn="0" w:noHBand="0" w:noVBand="1"/>
      </w:tblPr>
      <w:tblGrid>
        <w:gridCol w:w="950"/>
        <w:gridCol w:w="864"/>
        <w:gridCol w:w="1150"/>
        <w:gridCol w:w="663"/>
        <w:gridCol w:w="463"/>
        <w:gridCol w:w="1864"/>
        <w:gridCol w:w="1134"/>
        <w:gridCol w:w="1276"/>
        <w:gridCol w:w="850"/>
        <w:gridCol w:w="1134"/>
        <w:gridCol w:w="709"/>
        <w:gridCol w:w="992"/>
        <w:gridCol w:w="1418"/>
      </w:tblGrid>
      <w:tr w:rsidR="009A77FE" w:rsidRPr="00A94BC3" w14:paraId="1D06663C" w14:textId="77777777" w:rsidTr="00DB1827">
        <w:trPr>
          <w:trHeight w:val="340"/>
        </w:trPr>
        <w:tc>
          <w:tcPr>
            <w:tcW w:w="950" w:type="dxa"/>
            <w:shd w:val="clear" w:color="auto" w:fill="FFFFFF" w:themeFill="background1"/>
            <w:vAlign w:val="center"/>
            <w:hideMark/>
          </w:tcPr>
          <w:p w14:paraId="3E86D163" w14:textId="77777777" w:rsidR="009A77FE" w:rsidRPr="00A94BC3" w:rsidRDefault="009A77FE" w:rsidP="00DB1827">
            <w:pPr>
              <w:spacing w:line="240" w:lineRule="auto"/>
              <w:jc w:val="right"/>
              <w:rPr>
                <w:rFonts w:eastAsia="Times New Roman" w:cs="Arial"/>
                <w:b/>
                <w:bCs/>
                <w:color w:val="000000"/>
                <w:sz w:val="12"/>
                <w:szCs w:val="12"/>
                <w:lang w:eastAsia="en-GB"/>
              </w:rPr>
            </w:pPr>
            <w:r w:rsidRPr="00A94BC3">
              <w:rPr>
                <w:rFonts w:eastAsia="Times New Roman" w:cs="Arial"/>
                <w:b/>
                <w:bCs/>
                <w:color w:val="000000"/>
                <w:sz w:val="12"/>
                <w:szCs w:val="12"/>
                <w:lang w:eastAsia="en-GB"/>
              </w:rPr>
              <w:t>Study</w:t>
            </w:r>
          </w:p>
        </w:tc>
        <w:tc>
          <w:tcPr>
            <w:tcW w:w="864" w:type="dxa"/>
            <w:shd w:val="clear" w:color="auto" w:fill="FFFFFF" w:themeFill="background1"/>
            <w:vAlign w:val="center"/>
            <w:hideMark/>
          </w:tcPr>
          <w:p w14:paraId="551BA306" w14:textId="77777777" w:rsidR="009A77FE" w:rsidRPr="00A94BC3" w:rsidRDefault="009A77FE" w:rsidP="00DB1827">
            <w:pPr>
              <w:spacing w:line="240" w:lineRule="auto"/>
              <w:jc w:val="right"/>
              <w:rPr>
                <w:rFonts w:eastAsia="Times New Roman" w:cs="Arial"/>
                <w:b/>
                <w:bCs/>
                <w:color w:val="000000"/>
                <w:sz w:val="12"/>
                <w:szCs w:val="12"/>
                <w:lang w:eastAsia="en-GB"/>
              </w:rPr>
            </w:pPr>
            <w:r w:rsidRPr="00A94BC3">
              <w:rPr>
                <w:rFonts w:eastAsia="Times New Roman" w:cs="Arial"/>
                <w:b/>
                <w:bCs/>
                <w:color w:val="000000"/>
                <w:sz w:val="12"/>
                <w:szCs w:val="12"/>
                <w:lang w:eastAsia="en-GB"/>
              </w:rPr>
              <w:t xml:space="preserve">Country </w:t>
            </w:r>
          </w:p>
        </w:tc>
        <w:tc>
          <w:tcPr>
            <w:tcW w:w="1150" w:type="dxa"/>
            <w:shd w:val="clear" w:color="auto" w:fill="FFFFFF" w:themeFill="background1"/>
            <w:vAlign w:val="center"/>
            <w:hideMark/>
          </w:tcPr>
          <w:p w14:paraId="2049F1C7" w14:textId="77777777" w:rsidR="009A77FE" w:rsidRPr="00A94BC3" w:rsidRDefault="009A77FE" w:rsidP="00DB1827">
            <w:pPr>
              <w:spacing w:line="240" w:lineRule="auto"/>
              <w:jc w:val="right"/>
              <w:rPr>
                <w:rFonts w:eastAsia="Times New Roman" w:cs="Arial"/>
                <w:b/>
                <w:bCs/>
                <w:color w:val="000000"/>
                <w:sz w:val="12"/>
                <w:szCs w:val="12"/>
                <w:lang w:eastAsia="en-GB"/>
              </w:rPr>
            </w:pPr>
            <w:r w:rsidRPr="00A94BC3">
              <w:rPr>
                <w:rFonts w:eastAsia="Times New Roman" w:cs="Arial"/>
                <w:b/>
                <w:bCs/>
                <w:color w:val="000000"/>
                <w:sz w:val="12"/>
                <w:szCs w:val="12"/>
                <w:lang w:eastAsia="en-GB"/>
              </w:rPr>
              <w:t>Make &amp;</w:t>
            </w:r>
          </w:p>
          <w:p w14:paraId="4FCD158A" w14:textId="77777777" w:rsidR="009A77FE" w:rsidRPr="00A94BC3" w:rsidRDefault="009A77FE" w:rsidP="00DB1827">
            <w:pPr>
              <w:spacing w:line="240" w:lineRule="auto"/>
              <w:jc w:val="right"/>
              <w:rPr>
                <w:rFonts w:eastAsia="Times New Roman" w:cs="Arial"/>
                <w:b/>
                <w:bCs/>
                <w:color w:val="000000"/>
                <w:sz w:val="12"/>
                <w:szCs w:val="12"/>
                <w:lang w:eastAsia="en-GB"/>
              </w:rPr>
            </w:pPr>
            <w:r w:rsidRPr="00A94BC3">
              <w:rPr>
                <w:rFonts w:eastAsia="Times New Roman" w:cs="Arial"/>
                <w:b/>
                <w:bCs/>
                <w:color w:val="000000"/>
                <w:sz w:val="12"/>
                <w:szCs w:val="12"/>
                <w:lang w:eastAsia="en-GB"/>
              </w:rPr>
              <w:t>Model (T)</w:t>
            </w:r>
          </w:p>
        </w:tc>
        <w:tc>
          <w:tcPr>
            <w:tcW w:w="663" w:type="dxa"/>
            <w:shd w:val="clear" w:color="auto" w:fill="FFFFFF" w:themeFill="background1"/>
            <w:vAlign w:val="center"/>
            <w:hideMark/>
          </w:tcPr>
          <w:p w14:paraId="09C03C75" w14:textId="77777777" w:rsidR="009A77FE" w:rsidRPr="00A94BC3" w:rsidRDefault="009A77FE" w:rsidP="00DB1827">
            <w:pPr>
              <w:spacing w:line="240" w:lineRule="auto"/>
              <w:jc w:val="right"/>
              <w:rPr>
                <w:rFonts w:eastAsia="Times New Roman" w:cs="Arial"/>
                <w:b/>
                <w:bCs/>
                <w:color w:val="000000"/>
                <w:sz w:val="12"/>
                <w:szCs w:val="12"/>
                <w:lang w:eastAsia="en-GB"/>
              </w:rPr>
            </w:pPr>
            <w:r w:rsidRPr="00A94BC3">
              <w:rPr>
                <w:rFonts w:eastAsia="Times New Roman" w:cs="Arial"/>
                <w:b/>
                <w:bCs/>
                <w:color w:val="000000"/>
                <w:sz w:val="12"/>
                <w:szCs w:val="12"/>
                <w:lang w:eastAsia="en-GB"/>
              </w:rPr>
              <w:t xml:space="preserve">TE (TR) in </w:t>
            </w:r>
            <w:proofErr w:type="spellStart"/>
            <w:r w:rsidRPr="00A94BC3">
              <w:rPr>
                <w:rFonts w:eastAsia="Times New Roman" w:cs="Arial"/>
                <w:b/>
                <w:bCs/>
                <w:color w:val="000000"/>
                <w:sz w:val="12"/>
                <w:szCs w:val="12"/>
                <w:lang w:eastAsia="en-GB"/>
              </w:rPr>
              <w:t>ms</w:t>
            </w:r>
            <w:proofErr w:type="spellEnd"/>
          </w:p>
        </w:tc>
        <w:tc>
          <w:tcPr>
            <w:tcW w:w="463" w:type="dxa"/>
            <w:shd w:val="clear" w:color="auto" w:fill="FFFFFF" w:themeFill="background1"/>
            <w:vAlign w:val="center"/>
            <w:hideMark/>
          </w:tcPr>
          <w:p w14:paraId="2EDC0881" w14:textId="77777777" w:rsidR="009A77FE" w:rsidRPr="00A94BC3" w:rsidRDefault="009A77FE" w:rsidP="00DB1827">
            <w:pPr>
              <w:spacing w:line="240" w:lineRule="auto"/>
              <w:jc w:val="right"/>
              <w:rPr>
                <w:rFonts w:eastAsia="Times New Roman" w:cs="Arial"/>
                <w:b/>
                <w:bCs/>
                <w:color w:val="000000"/>
                <w:sz w:val="12"/>
                <w:szCs w:val="12"/>
                <w:lang w:eastAsia="en-GB"/>
              </w:rPr>
            </w:pPr>
            <w:r w:rsidRPr="00A94BC3">
              <w:rPr>
                <w:rFonts w:eastAsia="Times New Roman" w:cs="Arial"/>
                <w:b/>
                <w:bCs/>
                <w:color w:val="000000"/>
                <w:sz w:val="12"/>
                <w:szCs w:val="12"/>
                <w:lang w:eastAsia="en-GB"/>
              </w:rPr>
              <w:t>EPI type</w:t>
            </w:r>
          </w:p>
        </w:tc>
        <w:tc>
          <w:tcPr>
            <w:tcW w:w="1864" w:type="dxa"/>
            <w:shd w:val="clear" w:color="auto" w:fill="FFFFFF" w:themeFill="background1"/>
            <w:vAlign w:val="center"/>
            <w:hideMark/>
          </w:tcPr>
          <w:p w14:paraId="4A3F18F3" w14:textId="77777777" w:rsidR="009A77FE" w:rsidRPr="00A94BC3" w:rsidRDefault="009A77FE" w:rsidP="00DB1827">
            <w:pPr>
              <w:spacing w:line="240" w:lineRule="auto"/>
              <w:jc w:val="right"/>
              <w:rPr>
                <w:rFonts w:eastAsia="Times New Roman" w:cs="Arial"/>
                <w:b/>
                <w:bCs/>
                <w:color w:val="000000"/>
                <w:sz w:val="12"/>
                <w:szCs w:val="12"/>
                <w:lang w:eastAsia="en-GB"/>
              </w:rPr>
            </w:pPr>
            <w:r w:rsidRPr="00A94BC3">
              <w:rPr>
                <w:rFonts w:eastAsia="Times New Roman" w:cs="Arial"/>
                <w:b/>
                <w:bCs/>
                <w:color w:val="000000"/>
                <w:sz w:val="12"/>
                <w:szCs w:val="12"/>
                <w:lang w:eastAsia="en-GB"/>
              </w:rPr>
              <w:t>Subject position (coil [Transmit/Receive T/R or Receive only, R], channels)</w:t>
            </w:r>
          </w:p>
        </w:tc>
        <w:tc>
          <w:tcPr>
            <w:tcW w:w="1134" w:type="dxa"/>
            <w:shd w:val="clear" w:color="auto" w:fill="FFFFFF" w:themeFill="background1"/>
            <w:vAlign w:val="center"/>
            <w:hideMark/>
          </w:tcPr>
          <w:p w14:paraId="71AD052E" w14:textId="77777777" w:rsidR="009A77FE" w:rsidRPr="00A94BC3" w:rsidRDefault="009A77FE" w:rsidP="00DB1827">
            <w:pPr>
              <w:spacing w:line="240" w:lineRule="auto"/>
              <w:jc w:val="right"/>
              <w:rPr>
                <w:rFonts w:eastAsia="Times New Roman" w:cs="Arial"/>
                <w:b/>
                <w:bCs/>
                <w:color w:val="000000"/>
                <w:sz w:val="12"/>
                <w:szCs w:val="12"/>
                <w:lang w:eastAsia="en-GB"/>
              </w:rPr>
            </w:pPr>
            <w:r w:rsidRPr="00A94BC3">
              <w:rPr>
                <w:rFonts w:eastAsia="Times New Roman" w:cs="Arial"/>
                <w:b/>
                <w:bCs/>
                <w:color w:val="000000"/>
                <w:sz w:val="12"/>
                <w:szCs w:val="12"/>
                <w:lang w:eastAsia="en-GB"/>
              </w:rPr>
              <w:t>Parallel Imaging (partial Fourier)</w:t>
            </w:r>
          </w:p>
        </w:tc>
        <w:tc>
          <w:tcPr>
            <w:tcW w:w="1276" w:type="dxa"/>
            <w:shd w:val="clear" w:color="auto" w:fill="FFFFFF" w:themeFill="background1"/>
            <w:vAlign w:val="center"/>
            <w:hideMark/>
          </w:tcPr>
          <w:p w14:paraId="15ACACED" w14:textId="77777777" w:rsidR="009A77FE" w:rsidRPr="00A94BC3" w:rsidRDefault="009A77FE" w:rsidP="00DB1827">
            <w:pPr>
              <w:spacing w:line="240" w:lineRule="auto"/>
              <w:jc w:val="right"/>
              <w:rPr>
                <w:rFonts w:eastAsia="Times New Roman" w:cs="Arial"/>
                <w:b/>
                <w:bCs/>
                <w:color w:val="000000"/>
                <w:sz w:val="12"/>
                <w:szCs w:val="12"/>
                <w:lang w:eastAsia="en-GB"/>
              </w:rPr>
            </w:pPr>
            <w:r w:rsidRPr="00A94BC3">
              <w:rPr>
                <w:rFonts w:eastAsia="Times New Roman" w:cs="Arial"/>
                <w:b/>
                <w:bCs/>
                <w:color w:val="000000"/>
                <w:sz w:val="12"/>
                <w:szCs w:val="12"/>
                <w:lang w:eastAsia="en-GB"/>
              </w:rPr>
              <w:t>Resolution (In plane x Slice Thickness, mm)</w:t>
            </w:r>
          </w:p>
        </w:tc>
        <w:tc>
          <w:tcPr>
            <w:tcW w:w="850" w:type="dxa"/>
            <w:shd w:val="clear" w:color="auto" w:fill="FFFFFF" w:themeFill="background1"/>
            <w:vAlign w:val="center"/>
            <w:hideMark/>
          </w:tcPr>
          <w:p w14:paraId="1C72B347" w14:textId="77777777" w:rsidR="009A77FE" w:rsidRPr="00A94BC3" w:rsidRDefault="009A77FE" w:rsidP="00DB1827">
            <w:pPr>
              <w:spacing w:line="240" w:lineRule="auto"/>
              <w:jc w:val="right"/>
              <w:rPr>
                <w:rFonts w:eastAsia="Times New Roman" w:cs="Arial"/>
                <w:b/>
                <w:bCs/>
                <w:color w:val="000000"/>
                <w:sz w:val="12"/>
                <w:szCs w:val="12"/>
                <w:lang w:eastAsia="en-GB"/>
              </w:rPr>
            </w:pPr>
            <w:r w:rsidRPr="00A94BC3">
              <w:rPr>
                <w:rFonts w:eastAsia="Times New Roman" w:cs="Arial"/>
                <w:b/>
                <w:bCs/>
                <w:color w:val="000000"/>
                <w:sz w:val="12"/>
                <w:szCs w:val="12"/>
                <w:lang w:eastAsia="en-GB"/>
              </w:rPr>
              <w:t>Number of Signals</w:t>
            </w:r>
          </w:p>
        </w:tc>
        <w:tc>
          <w:tcPr>
            <w:tcW w:w="1134" w:type="dxa"/>
            <w:shd w:val="clear" w:color="auto" w:fill="FFFFFF" w:themeFill="background1"/>
            <w:vAlign w:val="center"/>
            <w:hideMark/>
          </w:tcPr>
          <w:p w14:paraId="77546097" w14:textId="77777777" w:rsidR="009A77FE" w:rsidRPr="00A94BC3" w:rsidRDefault="009A77FE" w:rsidP="00DB1827">
            <w:pPr>
              <w:spacing w:line="240" w:lineRule="auto"/>
              <w:jc w:val="right"/>
              <w:rPr>
                <w:rFonts w:eastAsia="Times New Roman" w:cs="Arial"/>
                <w:b/>
                <w:bCs/>
                <w:color w:val="000000"/>
                <w:sz w:val="12"/>
                <w:szCs w:val="12"/>
                <w:lang w:eastAsia="en-GB"/>
              </w:rPr>
            </w:pPr>
            <w:r w:rsidRPr="00A94BC3">
              <w:rPr>
                <w:rFonts w:eastAsia="Times New Roman" w:cs="Arial"/>
                <w:b/>
                <w:bCs/>
                <w:color w:val="000000"/>
                <w:sz w:val="12"/>
                <w:szCs w:val="12"/>
                <w:lang w:eastAsia="en-GB"/>
              </w:rPr>
              <w:t>b-values (directions)</w:t>
            </w:r>
          </w:p>
        </w:tc>
        <w:tc>
          <w:tcPr>
            <w:tcW w:w="709" w:type="dxa"/>
            <w:shd w:val="clear" w:color="auto" w:fill="FFFFFF" w:themeFill="background1"/>
            <w:vAlign w:val="center"/>
            <w:hideMark/>
          </w:tcPr>
          <w:p w14:paraId="7B0A6ABA" w14:textId="77777777" w:rsidR="009A77FE" w:rsidRPr="00A94BC3" w:rsidRDefault="009A77FE" w:rsidP="00DB1827">
            <w:pPr>
              <w:spacing w:line="240" w:lineRule="auto"/>
              <w:jc w:val="right"/>
              <w:rPr>
                <w:rFonts w:eastAsia="Times New Roman" w:cs="Arial"/>
                <w:b/>
                <w:bCs/>
                <w:color w:val="000000"/>
                <w:sz w:val="12"/>
                <w:szCs w:val="12"/>
                <w:lang w:eastAsia="en-GB"/>
              </w:rPr>
            </w:pPr>
            <w:r w:rsidRPr="00A94BC3">
              <w:rPr>
                <w:rFonts w:eastAsia="Times New Roman" w:cs="Arial"/>
                <w:b/>
                <w:bCs/>
                <w:color w:val="000000"/>
                <w:sz w:val="12"/>
                <w:szCs w:val="12"/>
                <w:lang w:eastAsia="en-GB"/>
              </w:rPr>
              <w:t xml:space="preserve">Number of </w:t>
            </w:r>
            <w:proofErr w:type="spellStart"/>
            <w:r w:rsidRPr="00A94BC3">
              <w:rPr>
                <w:rFonts w:eastAsia="Times New Roman" w:cs="Arial"/>
                <w:b/>
                <w:bCs/>
                <w:color w:val="000000"/>
                <w:sz w:val="12"/>
                <w:szCs w:val="12"/>
                <w:lang w:eastAsia="en-GB"/>
              </w:rPr>
              <w:t>raters</w:t>
            </w:r>
            <w:proofErr w:type="spellEnd"/>
          </w:p>
        </w:tc>
        <w:tc>
          <w:tcPr>
            <w:tcW w:w="992" w:type="dxa"/>
            <w:shd w:val="clear" w:color="auto" w:fill="FFFFFF" w:themeFill="background1"/>
            <w:vAlign w:val="center"/>
            <w:hideMark/>
          </w:tcPr>
          <w:p w14:paraId="59AD54BC" w14:textId="77777777" w:rsidR="009A77FE" w:rsidRPr="00A94BC3" w:rsidRDefault="009A77FE" w:rsidP="00DB1827">
            <w:pPr>
              <w:spacing w:line="240" w:lineRule="auto"/>
              <w:jc w:val="right"/>
              <w:rPr>
                <w:rFonts w:eastAsia="Times New Roman" w:cs="Arial"/>
                <w:b/>
                <w:bCs/>
                <w:color w:val="000000"/>
                <w:sz w:val="12"/>
                <w:szCs w:val="12"/>
                <w:lang w:eastAsia="en-GB"/>
              </w:rPr>
            </w:pPr>
            <w:r w:rsidRPr="00A94BC3">
              <w:rPr>
                <w:rFonts w:eastAsia="Times New Roman" w:cs="Arial"/>
                <w:b/>
                <w:bCs/>
                <w:color w:val="000000"/>
                <w:sz w:val="12"/>
                <w:szCs w:val="12"/>
                <w:lang w:eastAsia="en-GB"/>
              </w:rPr>
              <w:t xml:space="preserve">Subjects (limbs) </w:t>
            </w:r>
            <w:proofErr w:type="gramStart"/>
            <w:r w:rsidRPr="00A94BC3">
              <w:rPr>
                <w:rFonts w:eastAsia="Times New Roman" w:cs="Arial"/>
                <w:b/>
                <w:bCs/>
                <w:color w:val="000000"/>
                <w:sz w:val="12"/>
                <w:szCs w:val="12"/>
                <w:lang w:eastAsia="en-GB"/>
              </w:rPr>
              <w:t>M:F</w:t>
            </w:r>
            <w:proofErr w:type="gramEnd"/>
          </w:p>
        </w:tc>
        <w:tc>
          <w:tcPr>
            <w:tcW w:w="1418" w:type="dxa"/>
            <w:shd w:val="clear" w:color="auto" w:fill="FFFFFF" w:themeFill="background1"/>
            <w:vAlign w:val="center"/>
            <w:hideMark/>
          </w:tcPr>
          <w:p w14:paraId="6998912D" w14:textId="77777777" w:rsidR="009A77FE" w:rsidRPr="00A94BC3" w:rsidRDefault="009A77FE" w:rsidP="00DB1827">
            <w:pPr>
              <w:spacing w:line="240" w:lineRule="auto"/>
              <w:jc w:val="right"/>
              <w:rPr>
                <w:rFonts w:eastAsia="Times New Roman" w:cs="Arial"/>
                <w:b/>
                <w:bCs/>
                <w:color w:val="000000"/>
                <w:sz w:val="12"/>
                <w:szCs w:val="12"/>
                <w:lang w:eastAsia="en-GB"/>
              </w:rPr>
            </w:pPr>
            <w:r w:rsidRPr="00A94BC3">
              <w:rPr>
                <w:rFonts w:eastAsia="Times New Roman" w:cs="Arial"/>
                <w:b/>
                <w:bCs/>
                <w:color w:val="000000"/>
                <w:sz w:val="12"/>
                <w:szCs w:val="12"/>
                <w:lang w:eastAsia="en-GB"/>
              </w:rPr>
              <w:t>Mean Age (SD) [Range]</w:t>
            </w:r>
          </w:p>
        </w:tc>
      </w:tr>
      <w:tr w:rsidR="009A77FE" w:rsidRPr="00A94BC3" w14:paraId="24AF1EF6" w14:textId="77777777" w:rsidTr="00DB1827">
        <w:trPr>
          <w:trHeight w:val="340"/>
        </w:trPr>
        <w:tc>
          <w:tcPr>
            <w:tcW w:w="950" w:type="dxa"/>
            <w:shd w:val="clear" w:color="auto" w:fill="FFFFFF" w:themeFill="background1"/>
            <w:noWrap/>
            <w:vAlign w:val="center"/>
            <w:hideMark/>
          </w:tcPr>
          <w:p w14:paraId="198CBB14" w14:textId="77777777" w:rsidR="009A77FE" w:rsidRPr="00A94BC3" w:rsidRDefault="009A77FE" w:rsidP="00DB1827">
            <w:pPr>
              <w:spacing w:line="240" w:lineRule="auto"/>
              <w:jc w:val="right"/>
              <w:rPr>
                <w:rFonts w:eastAsia="Times New Roman" w:cs="Arial"/>
                <w:color w:val="000000"/>
                <w:sz w:val="12"/>
                <w:szCs w:val="12"/>
                <w:lang w:eastAsia="en-GB"/>
              </w:rPr>
            </w:pPr>
            <w:proofErr w:type="spellStart"/>
            <w:r w:rsidRPr="00A94BC3">
              <w:rPr>
                <w:rFonts w:eastAsia="Times New Roman" w:cs="Arial"/>
                <w:color w:val="000000"/>
                <w:sz w:val="12"/>
                <w:szCs w:val="12"/>
                <w:lang w:eastAsia="en-GB"/>
              </w:rPr>
              <w:t>Bäumer</w:t>
            </w:r>
            <w:proofErr w:type="spellEnd"/>
            <w:r w:rsidRPr="00A94BC3">
              <w:rPr>
                <w:rFonts w:eastAsia="Times New Roman" w:cs="Arial"/>
                <w:color w:val="000000"/>
                <w:sz w:val="12"/>
                <w:szCs w:val="12"/>
                <w:lang w:eastAsia="en-GB"/>
              </w:rPr>
              <w:t xml:space="preserve"> 2014</w:t>
            </w:r>
            <w:r w:rsidRPr="00A94BC3">
              <w:rPr>
                <w:rFonts w:eastAsia="Times New Roman" w:cs="Arial"/>
                <w:color w:val="000000"/>
                <w:sz w:val="12"/>
                <w:szCs w:val="12"/>
                <w:lang w:eastAsia="en-GB"/>
              </w:rPr>
              <w:fldChar w:fldCharType="begin"/>
            </w:r>
            <w:r w:rsidRPr="00A94BC3">
              <w:rPr>
                <w:rFonts w:eastAsia="Times New Roman" w:cs="Arial"/>
                <w:color w:val="000000"/>
                <w:sz w:val="12"/>
                <w:szCs w:val="12"/>
                <w:lang w:eastAsia="en-GB"/>
              </w:rPr>
              <w:instrText xml:space="preserve"> ADDIN ZOTERO_ITEM CSL_CITATION {"citationID":"4xXn8Ja5","properties":{"formattedCitation":"\\super 37\\nosupersub{}","plainCitation":"37","noteIndex":0},"citationItems":[{"id":24610,"uris":["http://zotero.org/users/7501526/items/8H2QBMGB"],"itemData":{"id":24610,"type":"article-journal","abstract":"Diffusion-tensor imaging is an accurate method for the early detection of a focal neuropathy, and fractional anisotropy values performed even better than T2 for the detection of neuropathy in this study.","container-title":"Radiology","DOI":"10.1148/radiol.14132837","issue":"1","note":"publisher: Radiological Society of North America Inc.","page":"185-193","title":"Peripheral Neuropathy: Detection with Diffusion-Tensor Imaging","volume":"273","author":[{"family":"Bäumer","given":"Philipp; Pham","suffix":"Mirko; Ruetters, Maurice; Heiland, Sabine; Heckel, Andreas; Radbruch, Alexander; Bendszus, Martin; Weiler, Markus"}],"issued":{"date-parts":[["2014"]]}}}],"schema":"https://github.com/citation-style-language/schema/raw/master/csl-citation.json"} </w:instrText>
            </w:r>
            <w:r w:rsidRPr="00A94BC3">
              <w:rPr>
                <w:rFonts w:eastAsia="Times New Roman" w:cs="Arial"/>
                <w:color w:val="000000"/>
                <w:sz w:val="12"/>
                <w:szCs w:val="12"/>
                <w:lang w:eastAsia="en-GB"/>
              </w:rPr>
              <w:fldChar w:fldCharType="separate"/>
            </w:r>
            <w:r w:rsidRPr="00A94BC3">
              <w:rPr>
                <w:rFonts w:cs="Arial"/>
                <w:sz w:val="12"/>
                <w:szCs w:val="24"/>
                <w:vertAlign w:val="superscript"/>
              </w:rPr>
              <w:t>37</w:t>
            </w:r>
            <w:r w:rsidRPr="00A94BC3">
              <w:rPr>
                <w:rFonts w:eastAsia="Times New Roman" w:cs="Arial"/>
                <w:color w:val="000000"/>
                <w:sz w:val="12"/>
                <w:szCs w:val="12"/>
                <w:lang w:eastAsia="en-GB"/>
              </w:rPr>
              <w:fldChar w:fldCharType="end"/>
            </w:r>
          </w:p>
        </w:tc>
        <w:tc>
          <w:tcPr>
            <w:tcW w:w="864" w:type="dxa"/>
            <w:shd w:val="clear" w:color="auto" w:fill="FFFFFF" w:themeFill="background1"/>
            <w:noWrap/>
            <w:vAlign w:val="center"/>
            <w:hideMark/>
          </w:tcPr>
          <w:p w14:paraId="46F1B958"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Germany</w:t>
            </w:r>
          </w:p>
        </w:tc>
        <w:tc>
          <w:tcPr>
            <w:tcW w:w="1150" w:type="dxa"/>
            <w:shd w:val="clear" w:color="auto" w:fill="FFFFFF" w:themeFill="background1"/>
            <w:noWrap/>
            <w:vAlign w:val="center"/>
            <w:hideMark/>
          </w:tcPr>
          <w:p w14:paraId="42603EF5"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Siemens</w:t>
            </w:r>
          </w:p>
          <w:p w14:paraId="015C1C9E"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TIM-TRIO (3T)</w:t>
            </w:r>
          </w:p>
        </w:tc>
        <w:tc>
          <w:tcPr>
            <w:tcW w:w="663" w:type="dxa"/>
            <w:shd w:val="clear" w:color="auto" w:fill="FFFFFF" w:themeFill="background1"/>
            <w:noWrap/>
            <w:vAlign w:val="center"/>
            <w:hideMark/>
          </w:tcPr>
          <w:p w14:paraId="45C2842F"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99 (3800)</w:t>
            </w:r>
          </w:p>
        </w:tc>
        <w:tc>
          <w:tcPr>
            <w:tcW w:w="463" w:type="dxa"/>
            <w:shd w:val="clear" w:color="auto" w:fill="FFFFFF" w:themeFill="background1"/>
            <w:noWrap/>
            <w:vAlign w:val="center"/>
            <w:hideMark/>
          </w:tcPr>
          <w:p w14:paraId="5255CE0D"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SS</w:t>
            </w:r>
          </w:p>
        </w:tc>
        <w:tc>
          <w:tcPr>
            <w:tcW w:w="1864" w:type="dxa"/>
            <w:shd w:val="clear" w:color="auto" w:fill="FFFFFF" w:themeFill="background1"/>
            <w:noWrap/>
            <w:vAlign w:val="center"/>
            <w:hideMark/>
          </w:tcPr>
          <w:p w14:paraId="40CE98E5"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Superman (Knee [T/R], 15)</w:t>
            </w:r>
          </w:p>
        </w:tc>
        <w:tc>
          <w:tcPr>
            <w:tcW w:w="1134" w:type="dxa"/>
            <w:shd w:val="clear" w:color="auto" w:fill="FFFFFF" w:themeFill="background1"/>
            <w:noWrap/>
            <w:vAlign w:val="center"/>
            <w:hideMark/>
          </w:tcPr>
          <w:p w14:paraId="50CC70AB"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 (¥)</w:t>
            </w:r>
          </w:p>
        </w:tc>
        <w:tc>
          <w:tcPr>
            <w:tcW w:w="1276" w:type="dxa"/>
            <w:shd w:val="clear" w:color="auto" w:fill="FFFFFF" w:themeFill="background1"/>
            <w:noWrap/>
            <w:vAlign w:val="center"/>
            <w:hideMark/>
          </w:tcPr>
          <w:p w14:paraId="4E0B240A"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1.17x1.17x4</w:t>
            </w:r>
          </w:p>
        </w:tc>
        <w:tc>
          <w:tcPr>
            <w:tcW w:w="850" w:type="dxa"/>
            <w:shd w:val="clear" w:color="auto" w:fill="FFFFFF" w:themeFill="background1"/>
            <w:noWrap/>
            <w:vAlign w:val="center"/>
            <w:hideMark/>
          </w:tcPr>
          <w:p w14:paraId="1C727E42"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2</w:t>
            </w:r>
          </w:p>
        </w:tc>
        <w:tc>
          <w:tcPr>
            <w:tcW w:w="1134" w:type="dxa"/>
            <w:shd w:val="clear" w:color="auto" w:fill="FFFFFF" w:themeFill="background1"/>
            <w:noWrap/>
            <w:vAlign w:val="center"/>
            <w:hideMark/>
          </w:tcPr>
          <w:p w14:paraId="6F626FA8"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1200 (19)</w:t>
            </w:r>
          </w:p>
        </w:tc>
        <w:tc>
          <w:tcPr>
            <w:tcW w:w="709" w:type="dxa"/>
            <w:shd w:val="clear" w:color="auto" w:fill="FFFFFF" w:themeFill="background1"/>
            <w:noWrap/>
            <w:vAlign w:val="center"/>
            <w:hideMark/>
          </w:tcPr>
          <w:p w14:paraId="2E627D63"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2</w:t>
            </w:r>
          </w:p>
        </w:tc>
        <w:tc>
          <w:tcPr>
            <w:tcW w:w="992" w:type="dxa"/>
            <w:shd w:val="clear" w:color="auto" w:fill="FFFFFF" w:themeFill="background1"/>
            <w:noWrap/>
            <w:vAlign w:val="center"/>
            <w:hideMark/>
          </w:tcPr>
          <w:p w14:paraId="13711476"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30 (30) 13:17</w:t>
            </w:r>
          </w:p>
        </w:tc>
        <w:tc>
          <w:tcPr>
            <w:tcW w:w="1418" w:type="dxa"/>
            <w:shd w:val="clear" w:color="auto" w:fill="FFFFFF" w:themeFill="background1"/>
            <w:noWrap/>
            <w:vAlign w:val="center"/>
            <w:hideMark/>
          </w:tcPr>
          <w:p w14:paraId="742AB001"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39.3 (11.38) [25-68]</w:t>
            </w:r>
          </w:p>
        </w:tc>
      </w:tr>
      <w:tr w:rsidR="009A77FE" w:rsidRPr="00A94BC3" w14:paraId="23F516EF" w14:textId="77777777" w:rsidTr="00DB1827">
        <w:trPr>
          <w:trHeight w:val="340"/>
        </w:trPr>
        <w:tc>
          <w:tcPr>
            <w:tcW w:w="950" w:type="dxa"/>
            <w:shd w:val="clear" w:color="auto" w:fill="FFFFFF" w:themeFill="background1"/>
            <w:noWrap/>
            <w:vAlign w:val="center"/>
            <w:hideMark/>
          </w:tcPr>
          <w:p w14:paraId="6D437BF0" w14:textId="77777777" w:rsidR="009A77FE" w:rsidRPr="00A94BC3" w:rsidRDefault="009A77FE" w:rsidP="00DB1827">
            <w:pPr>
              <w:spacing w:line="240" w:lineRule="auto"/>
              <w:jc w:val="right"/>
              <w:rPr>
                <w:rFonts w:eastAsia="Times New Roman" w:cs="Arial"/>
                <w:color w:val="000000"/>
                <w:sz w:val="12"/>
                <w:szCs w:val="12"/>
                <w:lang w:eastAsia="en-GB"/>
              </w:rPr>
            </w:pPr>
            <w:proofErr w:type="spellStart"/>
            <w:r w:rsidRPr="00A94BC3">
              <w:rPr>
                <w:rFonts w:eastAsia="Times New Roman" w:cs="Arial"/>
                <w:color w:val="000000"/>
                <w:sz w:val="12"/>
                <w:szCs w:val="12"/>
                <w:lang w:eastAsia="en-GB"/>
              </w:rPr>
              <w:t>Ohana</w:t>
            </w:r>
            <w:proofErr w:type="spellEnd"/>
            <w:r w:rsidRPr="00A94BC3">
              <w:rPr>
                <w:rFonts w:eastAsia="Times New Roman" w:cs="Arial"/>
                <w:color w:val="000000"/>
                <w:sz w:val="12"/>
                <w:szCs w:val="12"/>
                <w:lang w:eastAsia="en-GB"/>
              </w:rPr>
              <w:t xml:space="preserve"> 2012</w:t>
            </w:r>
            <w:r w:rsidRPr="00A94BC3">
              <w:rPr>
                <w:rFonts w:eastAsia="Times New Roman" w:cs="Arial"/>
                <w:color w:val="000000"/>
                <w:sz w:val="12"/>
                <w:szCs w:val="12"/>
                <w:lang w:eastAsia="en-GB"/>
              </w:rPr>
              <w:fldChar w:fldCharType="begin"/>
            </w:r>
            <w:r w:rsidRPr="00A94BC3">
              <w:rPr>
                <w:rFonts w:eastAsia="Times New Roman" w:cs="Arial"/>
                <w:color w:val="000000"/>
                <w:sz w:val="12"/>
                <w:szCs w:val="12"/>
                <w:lang w:eastAsia="en-GB"/>
              </w:rPr>
              <w:instrText xml:space="preserve"> ADDIN ZOTERO_ITEM CSL_CITATION {"citationID":"getewMfN","properties":{"formattedCitation":"\\super 27\\nosupersub{}","plainCitation":"27","noteIndex":0},"citationItems":[{"id":24618,"uris":["http://zotero.org/users/7501526/items/T9QRXC56"],"itemData":{"id":24618,"type":"article-journal","abstract":"Abstract Purpose To define the optimal acquisition parameters for diffusion tensor imaging of the median nerve at the wrist and to measure the diffusion values. Patients and methods The wrists of 14 healthy volunteers were explored using 3T MRI with a dedicated wrist coil. Each examination consisted of six sequences, varying the number of directions (15–20–30) and the b values (500–800–1000–2000 s/mm2). The tractography images were evaluated by two radiologists using a qualitative scale with six levels. The diffusion and anisotropy coefficients (ADC and FA) were measured and the values compared with the data in the literature. Results Median nerve tractography was successfully achieved in all sequences. The 20 direction sequence with b = 1000 s/mm2 seemed to provide the best results for a reasonable acquisition time (5′38″). The diffusion values showed large interindividual variations. Conclusion Optimisation of acquisitions parameters is important in peripheral nerve tractography, and may facilitate a routine use of the technique. The images obtained are easy to analyse but the diffusivity and anisotropy coefficients are too variable, however, to be used in practice.","container-title":"Diagnostic and interventional imaging","DOI":"10.1016/j.diii.2012.04.024","issue":"10","note":"publisher: Elsevier Masson","page":"775-784","title":"3T tractography of the median nerve: Optimisation of acquisition parameters and normative diffusion values","volume":"93","author":[{"family":"Ohana","given":"Mickaël; Moser","suffix":"Thomas; Meyer, Nicolas; Zorn, P.E.; Liverneaux, P.; Dietemann, J.L."}],"issued":{"date-parts":[["2012"]]}}}],"schema":"https://github.com/citation-style-language/schema/raw/master/csl-citation.json"} </w:instrText>
            </w:r>
            <w:r w:rsidRPr="00A94BC3">
              <w:rPr>
                <w:rFonts w:eastAsia="Times New Roman" w:cs="Arial"/>
                <w:color w:val="000000"/>
                <w:sz w:val="12"/>
                <w:szCs w:val="12"/>
                <w:lang w:eastAsia="en-GB"/>
              </w:rPr>
              <w:fldChar w:fldCharType="separate"/>
            </w:r>
            <w:r w:rsidRPr="00A94BC3">
              <w:rPr>
                <w:rFonts w:cs="Arial"/>
                <w:sz w:val="12"/>
                <w:szCs w:val="24"/>
                <w:vertAlign w:val="superscript"/>
              </w:rPr>
              <w:t>27</w:t>
            </w:r>
            <w:r w:rsidRPr="00A94BC3">
              <w:rPr>
                <w:rFonts w:eastAsia="Times New Roman" w:cs="Arial"/>
                <w:color w:val="000000"/>
                <w:sz w:val="12"/>
                <w:szCs w:val="12"/>
                <w:lang w:eastAsia="en-GB"/>
              </w:rPr>
              <w:fldChar w:fldCharType="end"/>
            </w:r>
          </w:p>
        </w:tc>
        <w:tc>
          <w:tcPr>
            <w:tcW w:w="864" w:type="dxa"/>
            <w:shd w:val="clear" w:color="auto" w:fill="FFFFFF" w:themeFill="background1"/>
            <w:noWrap/>
            <w:vAlign w:val="center"/>
            <w:hideMark/>
          </w:tcPr>
          <w:p w14:paraId="50F68559"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France</w:t>
            </w:r>
          </w:p>
        </w:tc>
        <w:tc>
          <w:tcPr>
            <w:tcW w:w="1150" w:type="dxa"/>
            <w:shd w:val="clear" w:color="auto" w:fill="FFFFFF" w:themeFill="background1"/>
            <w:noWrap/>
            <w:vAlign w:val="center"/>
            <w:hideMark/>
          </w:tcPr>
          <w:p w14:paraId="1C66752F"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GE</w:t>
            </w:r>
          </w:p>
          <w:p w14:paraId="21AA5B5A"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Signa (3T)</w:t>
            </w:r>
          </w:p>
        </w:tc>
        <w:tc>
          <w:tcPr>
            <w:tcW w:w="663" w:type="dxa"/>
            <w:shd w:val="clear" w:color="auto" w:fill="FFFFFF" w:themeFill="background1"/>
            <w:noWrap/>
            <w:vAlign w:val="center"/>
            <w:hideMark/>
          </w:tcPr>
          <w:p w14:paraId="1F7F45EB"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105 (5200)</w:t>
            </w:r>
          </w:p>
        </w:tc>
        <w:tc>
          <w:tcPr>
            <w:tcW w:w="463" w:type="dxa"/>
            <w:shd w:val="clear" w:color="auto" w:fill="FFFFFF" w:themeFill="background1"/>
            <w:noWrap/>
            <w:vAlign w:val="center"/>
            <w:hideMark/>
          </w:tcPr>
          <w:p w14:paraId="70AA0104"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cs="Arial"/>
                <w:sz w:val="12"/>
                <w:szCs w:val="12"/>
              </w:rPr>
              <w:t>¥</w:t>
            </w:r>
          </w:p>
        </w:tc>
        <w:tc>
          <w:tcPr>
            <w:tcW w:w="1864" w:type="dxa"/>
            <w:shd w:val="clear" w:color="auto" w:fill="FFFFFF" w:themeFill="background1"/>
            <w:noWrap/>
            <w:vAlign w:val="center"/>
            <w:hideMark/>
          </w:tcPr>
          <w:p w14:paraId="44F5DC95"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Superman (Wrist [R], 8)</w:t>
            </w:r>
          </w:p>
        </w:tc>
        <w:tc>
          <w:tcPr>
            <w:tcW w:w="1134" w:type="dxa"/>
            <w:shd w:val="clear" w:color="auto" w:fill="FFFFFF" w:themeFill="background1"/>
            <w:noWrap/>
            <w:vAlign w:val="center"/>
            <w:hideMark/>
          </w:tcPr>
          <w:p w14:paraId="271C09C9"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 (¥)</w:t>
            </w:r>
          </w:p>
        </w:tc>
        <w:tc>
          <w:tcPr>
            <w:tcW w:w="1276" w:type="dxa"/>
            <w:shd w:val="clear" w:color="auto" w:fill="FFFFFF" w:themeFill="background1"/>
            <w:noWrap/>
            <w:vAlign w:val="center"/>
            <w:hideMark/>
          </w:tcPr>
          <w:p w14:paraId="79B02CB2"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1.09x1.09x4</w:t>
            </w:r>
          </w:p>
        </w:tc>
        <w:tc>
          <w:tcPr>
            <w:tcW w:w="850" w:type="dxa"/>
            <w:shd w:val="clear" w:color="auto" w:fill="FFFFFF" w:themeFill="background1"/>
            <w:noWrap/>
            <w:vAlign w:val="center"/>
            <w:hideMark/>
          </w:tcPr>
          <w:p w14:paraId="76AFB035"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3</w:t>
            </w:r>
          </w:p>
        </w:tc>
        <w:tc>
          <w:tcPr>
            <w:tcW w:w="1134" w:type="dxa"/>
            <w:shd w:val="clear" w:color="auto" w:fill="FFFFFF" w:themeFill="background1"/>
            <w:noWrap/>
            <w:vAlign w:val="center"/>
            <w:hideMark/>
          </w:tcPr>
          <w:p w14:paraId="4D07D1B9"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1000 (15, 20, 30)</w:t>
            </w:r>
          </w:p>
        </w:tc>
        <w:tc>
          <w:tcPr>
            <w:tcW w:w="709" w:type="dxa"/>
            <w:shd w:val="clear" w:color="auto" w:fill="FFFFFF" w:themeFill="background1"/>
            <w:noWrap/>
            <w:vAlign w:val="center"/>
            <w:hideMark/>
          </w:tcPr>
          <w:p w14:paraId="40057269"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2</w:t>
            </w:r>
          </w:p>
        </w:tc>
        <w:tc>
          <w:tcPr>
            <w:tcW w:w="992" w:type="dxa"/>
            <w:shd w:val="clear" w:color="auto" w:fill="FFFFFF" w:themeFill="background1"/>
            <w:noWrap/>
            <w:vAlign w:val="center"/>
            <w:hideMark/>
          </w:tcPr>
          <w:p w14:paraId="2C02F592"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14 (14) 11:3</w:t>
            </w:r>
          </w:p>
        </w:tc>
        <w:tc>
          <w:tcPr>
            <w:tcW w:w="1418" w:type="dxa"/>
            <w:shd w:val="clear" w:color="auto" w:fill="FFFFFF" w:themeFill="background1"/>
            <w:noWrap/>
            <w:vAlign w:val="center"/>
            <w:hideMark/>
          </w:tcPr>
          <w:p w14:paraId="0893AA33"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27.5 (1.76) [20-32]</w:t>
            </w:r>
          </w:p>
        </w:tc>
      </w:tr>
      <w:tr w:rsidR="009A77FE" w:rsidRPr="00A94BC3" w14:paraId="2C05813A" w14:textId="77777777" w:rsidTr="00DB1827">
        <w:trPr>
          <w:trHeight w:val="340"/>
        </w:trPr>
        <w:tc>
          <w:tcPr>
            <w:tcW w:w="950" w:type="dxa"/>
            <w:shd w:val="clear" w:color="auto" w:fill="FFFFFF" w:themeFill="background1"/>
            <w:noWrap/>
            <w:vAlign w:val="center"/>
            <w:hideMark/>
          </w:tcPr>
          <w:p w14:paraId="0C7D8F57" w14:textId="77777777" w:rsidR="009A77FE" w:rsidRPr="00A94BC3" w:rsidRDefault="009A77FE" w:rsidP="00DB1827">
            <w:pPr>
              <w:spacing w:line="240" w:lineRule="auto"/>
              <w:jc w:val="right"/>
              <w:rPr>
                <w:rFonts w:eastAsia="Times New Roman" w:cs="Arial"/>
                <w:color w:val="000000"/>
                <w:sz w:val="12"/>
                <w:szCs w:val="12"/>
                <w:lang w:eastAsia="en-GB"/>
              </w:rPr>
            </w:pPr>
            <w:proofErr w:type="spellStart"/>
            <w:r w:rsidRPr="00A94BC3">
              <w:rPr>
                <w:rFonts w:eastAsia="Times New Roman" w:cs="Arial"/>
                <w:color w:val="000000"/>
                <w:sz w:val="12"/>
                <w:szCs w:val="12"/>
                <w:lang w:eastAsia="en-GB"/>
              </w:rPr>
              <w:t>Jengojan</w:t>
            </w:r>
            <w:proofErr w:type="spellEnd"/>
            <w:r w:rsidRPr="00A94BC3">
              <w:rPr>
                <w:rFonts w:eastAsia="Times New Roman" w:cs="Arial"/>
                <w:color w:val="000000"/>
                <w:sz w:val="12"/>
                <w:szCs w:val="12"/>
                <w:lang w:eastAsia="en-GB"/>
              </w:rPr>
              <w:t xml:space="preserve"> 2015</w:t>
            </w:r>
            <w:r w:rsidRPr="00A94BC3">
              <w:rPr>
                <w:rFonts w:eastAsia="Times New Roman" w:cs="Arial"/>
                <w:color w:val="000000"/>
                <w:sz w:val="12"/>
                <w:szCs w:val="12"/>
                <w:lang w:eastAsia="en-GB"/>
              </w:rPr>
              <w:fldChar w:fldCharType="begin"/>
            </w:r>
            <w:r w:rsidRPr="00A94BC3">
              <w:rPr>
                <w:rFonts w:eastAsia="Times New Roman" w:cs="Arial"/>
                <w:color w:val="000000"/>
                <w:sz w:val="12"/>
                <w:szCs w:val="12"/>
                <w:lang w:eastAsia="en-GB"/>
              </w:rPr>
              <w:instrText xml:space="preserve"> ADDIN ZOTERO_ITEM CSL_CITATION {"citationID":"31sx0Jml","properties":{"formattedCitation":"\\super 46\\nosupersub{}","plainCitation":"46","noteIndex":0},"citationItems":[{"id":24614,"uris":["http://zotero.org/users/7501526/items/UZIJDV9C"],"itemData":{"id":24614,"type":"article-journal","abstract":"Objectives\nThis study evaluated the potential of three-tesla diffusion tensor imaging (DTI) and tractography to detect changes of the radial (RN) and median (MN) nerves during transient upper arm compression by a silicon ring tourniquet.","container-title":"European radiology","DOI":"10.1007/s00330-014-3562-6","issue":"6","note":"publisher: Springer Verlag","page":"1678-1683","title":"Acute radial nerve entrapment at the spiral groove: detection by DTI-based neurography","volume":"25","author":[{"family":"Jengojan","given":"Suren; Kovar","suffix":"Florian M.; Breitenseher, Julia; Weber, Michael; Prayer, Daniela; Kasprian, Gregor"}],"issued":{"date-parts":[["2015"]]}}}],"schema":"https://github.com/citation-style-language/schema/raw/master/csl-citation.json"} </w:instrText>
            </w:r>
            <w:r w:rsidRPr="00A94BC3">
              <w:rPr>
                <w:rFonts w:eastAsia="Times New Roman" w:cs="Arial"/>
                <w:color w:val="000000"/>
                <w:sz w:val="12"/>
                <w:szCs w:val="12"/>
                <w:lang w:eastAsia="en-GB"/>
              </w:rPr>
              <w:fldChar w:fldCharType="separate"/>
            </w:r>
            <w:r w:rsidRPr="00A94BC3">
              <w:rPr>
                <w:rFonts w:cs="Arial"/>
                <w:sz w:val="12"/>
                <w:szCs w:val="24"/>
                <w:vertAlign w:val="superscript"/>
              </w:rPr>
              <w:t>46</w:t>
            </w:r>
            <w:r w:rsidRPr="00A94BC3">
              <w:rPr>
                <w:rFonts w:eastAsia="Times New Roman" w:cs="Arial"/>
                <w:color w:val="000000"/>
                <w:sz w:val="12"/>
                <w:szCs w:val="12"/>
                <w:lang w:eastAsia="en-GB"/>
              </w:rPr>
              <w:fldChar w:fldCharType="end"/>
            </w:r>
          </w:p>
        </w:tc>
        <w:tc>
          <w:tcPr>
            <w:tcW w:w="864" w:type="dxa"/>
            <w:shd w:val="clear" w:color="auto" w:fill="FFFFFF" w:themeFill="background1"/>
            <w:noWrap/>
            <w:vAlign w:val="center"/>
            <w:hideMark/>
          </w:tcPr>
          <w:p w14:paraId="47F0BF24"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Austria</w:t>
            </w:r>
          </w:p>
        </w:tc>
        <w:tc>
          <w:tcPr>
            <w:tcW w:w="1150" w:type="dxa"/>
            <w:shd w:val="clear" w:color="auto" w:fill="FFFFFF" w:themeFill="background1"/>
            <w:noWrap/>
            <w:vAlign w:val="center"/>
            <w:hideMark/>
          </w:tcPr>
          <w:p w14:paraId="79E1AD4E"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Philips</w:t>
            </w:r>
          </w:p>
          <w:p w14:paraId="61C27262" w14:textId="77777777" w:rsidR="009A77FE" w:rsidRPr="00A94BC3" w:rsidRDefault="009A77FE" w:rsidP="00DB1827">
            <w:pPr>
              <w:spacing w:line="240" w:lineRule="auto"/>
              <w:jc w:val="right"/>
              <w:rPr>
                <w:rFonts w:eastAsia="Times New Roman" w:cs="Arial"/>
                <w:color w:val="000000"/>
                <w:sz w:val="12"/>
                <w:szCs w:val="12"/>
                <w:lang w:eastAsia="en-GB"/>
              </w:rPr>
            </w:pPr>
            <w:proofErr w:type="spellStart"/>
            <w:r w:rsidRPr="00A94BC3">
              <w:rPr>
                <w:rFonts w:eastAsia="Times New Roman" w:cs="Arial"/>
                <w:color w:val="000000"/>
                <w:sz w:val="12"/>
                <w:szCs w:val="12"/>
                <w:lang w:eastAsia="en-GB"/>
              </w:rPr>
              <w:t>Achieva</w:t>
            </w:r>
            <w:proofErr w:type="spellEnd"/>
            <w:r w:rsidRPr="00A94BC3">
              <w:rPr>
                <w:rFonts w:eastAsia="Times New Roman" w:cs="Arial"/>
                <w:color w:val="000000"/>
                <w:sz w:val="12"/>
                <w:szCs w:val="12"/>
                <w:lang w:eastAsia="en-GB"/>
              </w:rPr>
              <w:t xml:space="preserve"> (3T) </w:t>
            </w:r>
          </w:p>
        </w:tc>
        <w:tc>
          <w:tcPr>
            <w:tcW w:w="663" w:type="dxa"/>
            <w:shd w:val="clear" w:color="auto" w:fill="FFFFFF" w:themeFill="background1"/>
            <w:noWrap/>
            <w:vAlign w:val="center"/>
            <w:hideMark/>
          </w:tcPr>
          <w:p w14:paraId="7BAB0CEA"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78 (6433)</w:t>
            </w:r>
          </w:p>
        </w:tc>
        <w:tc>
          <w:tcPr>
            <w:tcW w:w="463" w:type="dxa"/>
            <w:shd w:val="clear" w:color="auto" w:fill="FFFFFF" w:themeFill="background1"/>
            <w:noWrap/>
            <w:vAlign w:val="center"/>
            <w:hideMark/>
          </w:tcPr>
          <w:p w14:paraId="6C1B5BC0"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SS</w:t>
            </w:r>
          </w:p>
        </w:tc>
        <w:tc>
          <w:tcPr>
            <w:tcW w:w="1864" w:type="dxa"/>
            <w:shd w:val="clear" w:color="auto" w:fill="FFFFFF" w:themeFill="background1"/>
            <w:noWrap/>
            <w:vAlign w:val="center"/>
            <w:hideMark/>
          </w:tcPr>
          <w:p w14:paraId="709BC092"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Supine, arm by side (Flexible [R], ¥) </w:t>
            </w:r>
          </w:p>
        </w:tc>
        <w:tc>
          <w:tcPr>
            <w:tcW w:w="1134" w:type="dxa"/>
            <w:shd w:val="clear" w:color="auto" w:fill="FFFFFF" w:themeFill="background1"/>
            <w:noWrap/>
            <w:vAlign w:val="center"/>
            <w:hideMark/>
          </w:tcPr>
          <w:p w14:paraId="22378991"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 (¥)</w:t>
            </w:r>
          </w:p>
        </w:tc>
        <w:tc>
          <w:tcPr>
            <w:tcW w:w="1276" w:type="dxa"/>
            <w:shd w:val="clear" w:color="auto" w:fill="FFFFFF" w:themeFill="background1"/>
            <w:noWrap/>
            <w:vAlign w:val="center"/>
            <w:hideMark/>
          </w:tcPr>
          <w:p w14:paraId="47A54223"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1.5x1.5x ¥</w:t>
            </w:r>
          </w:p>
          <w:p w14:paraId="29E716FA"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 </w:t>
            </w:r>
          </w:p>
        </w:tc>
        <w:tc>
          <w:tcPr>
            <w:tcW w:w="850" w:type="dxa"/>
            <w:shd w:val="clear" w:color="auto" w:fill="FFFFFF" w:themeFill="background1"/>
            <w:noWrap/>
            <w:vAlign w:val="center"/>
            <w:hideMark/>
          </w:tcPr>
          <w:p w14:paraId="21693BA1"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5</w:t>
            </w:r>
          </w:p>
        </w:tc>
        <w:tc>
          <w:tcPr>
            <w:tcW w:w="1134" w:type="dxa"/>
            <w:shd w:val="clear" w:color="auto" w:fill="FFFFFF" w:themeFill="background1"/>
            <w:noWrap/>
            <w:vAlign w:val="center"/>
            <w:hideMark/>
          </w:tcPr>
          <w:p w14:paraId="5D215BEA"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700 (16)</w:t>
            </w:r>
          </w:p>
        </w:tc>
        <w:tc>
          <w:tcPr>
            <w:tcW w:w="709" w:type="dxa"/>
            <w:shd w:val="clear" w:color="auto" w:fill="FFFFFF" w:themeFill="background1"/>
            <w:noWrap/>
            <w:vAlign w:val="center"/>
            <w:hideMark/>
          </w:tcPr>
          <w:p w14:paraId="63D00456"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2</w:t>
            </w:r>
          </w:p>
        </w:tc>
        <w:tc>
          <w:tcPr>
            <w:tcW w:w="992" w:type="dxa"/>
            <w:shd w:val="clear" w:color="auto" w:fill="FFFFFF" w:themeFill="background1"/>
            <w:noWrap/>
            <w:vAlign w:val="center"/>
            <w:hideMark/>
          </w:tcPr>
          <w:p w14:paraId="3E433966"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13 (13) 8:5</w:t>
            </w:r>
          </w:p>
        </w:tc>
        <w:tc>
          <w:tcPr>
            <w:tcW w:w="1418" w:type="dxa"/>
            <w:shd w:val="clear" w:color="auto" w:fill="FFFFFF" w:themeFill="background1"/>
            <w:noWrap/>
            <w:vAlign w:val="center"/>
            <w:hideMark/>
          </w:tcPr>
          <w:p w14:paraId="33FDD5F2"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24.3(1.94) [22-28]</w:t>
            </w:r>
          </w:p>
        </w:tc>
      </w:tr>
      <w:tr w:rsidR="009A77FE" w:rsidRPr="00A94BC3" w14:paraId="58D9904B" w14:textId="77777777" w:rsidTr="00DB1827">
        <w:trPr>
          <w:trHeight w:val="340"/>
        </w:trPr>
        <w:tc>
          <w:tcPr>
            <w:tcW w:w="950" w:type="dxa"/>
            <w:shd w:val="clear" w:color="auto" w:fill="FFFFFF" w:themeFill="background1"/>
            <w:noWrap/>
            <w:vAlign w:val="center"/>
            <w:hideMark/>
          </w:tcPr>
          <w:p w14:paraId="6A3B5F84"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Ho 2021</w:t>
            </w:r>
            <w:r w:rsidRPr="00A94BC3">
              <w:rPr>
                <w:rFonts w:eastAsia="Times New Roman" w:cs="Arial"/>
                <w:color w:val="000000"/>
                <w:sz w:val="12"/>
                <w:szCs w:val="12"/>
                <w:lang w:eastAsia="en-GB"/>
              </w:rPr>
              <w:fldChar w:fldCharType="begin"/>
            </w:r>
            <w:r w:rsidRPr="00A94BC3">
              <w:rPr>
                <w:rFonts w:eastAsia="Times New Roman" w:cs="Arial"/>
                <w:color w:val="000000"/>
                <w:sz w:val="12"/>
                <w:szCs w:val="12"/>
                <w:lang w:eastAsia="en-GB"/>
              </w:rPr>
              <w:instrText xml:space="preserve"> ADDIN ZOTERO_ITEM CSL_CITATION {"citationID":"c6E0gXdj","properties":{"formattedCitation":"\\super 53\\nosupersub{}","plainCitation":"53","noteIndex":0},"citationItems":[{"id":24607,"uris":["http://zotero.org/users/7501526/items/5IDSN8ZB"],"itemData":{"id":24607,"type":"article-journal","abstract":"NA","container-title":"Journal of neuroradiology = Journal de neuroradiologie","DOI":"10.1016/j.neurad.2021.05.004","issue":"NA","note":"publisher: Elsevier Masson","page":"NA-NA","title":"Comparison of electrodiagnosis, neurosonography and MR neurography in localization of ulnar neuropathy at the elbow.","volume":"NA","author":[{"family":"Ho","given":"Michael J.; Held","suffix":"Ulrike; Steigmiller, Klaus; Manoliu, Andrei; Schiller, Andreas; Hinzpeter, Ricarda; Lanz, Christian; Martinoli, Carlo; Jung, Hans H.; Petersen, Jens A."}],"issued":{"date-parts":[["2021"]]}}}],"schema":"https://github.com/citation-style-language/schema/raw/master/csl-citation.json"} </w:instrText>
            </w:r>
            <w:r w:rsidRPr="00A94BC3">
              <w:rPr>
                <w:rFonts w:eastAsia="Times New Roman" w:cs="Arial"/>
                <w:color w:val="000000"/>
                <w:sz w:val="12"/>
                <w:szCs w:val="12"/>
                <w:lang w:eastAsia="en-GB"/>
              </w:rPr>
              <w:fldChar w:fldCharType="separate"/>
            </w:r>
            <w:r w:rsidRPr="00A94BC3">
              <w:rPr>
                <w:rFonts w:cs="Arial"/>
                <w:sz w:val="12"/>
                <w:szCs w:val="24"/>
                <w:vertAlign w:val="superscript"/>
              </w:rPr>
              <w:t>53</w:t>
            </w:r>
            <w:r w:rsidRPr="00A94BC3">
              <w:rPr>
                <w:rFonts w:eastAsia="Times New Roman" w:cs="Arial"/>
                <w:color w:val="000000"/>
                <w:sz w:val="12"/>
                <w:szCs w:val="12"/>
                <w:lang w:eastAsia="en-GB"/>
              </w:rPr>
              <w:fldChar w:fldCharType="end"/>
            </w:r>
          </w:p>
        </w:tc>
        <w:tc>
          <w:tcPr>
            <w:tcW w:w="864" w:type="dxa"/>
            <w:shd w:val="clear" w:color="auto" w:fill="FFFFFF" w:themeFill="background1"/>
            <w:noWrap/>
            <w:vAlign w:val="center"/>
            <w:hideMark/>
          </w:tcPr>
          <w:p w14:paraId="02CC35CE"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 xml:space="preserve">Switzerland </w:t>
            </w:r>
          </w:p>
        </w:tc>
        <w:tc>
          <w:tcPr>
            <w:tcW w:w="1150" w:type="dxa"/>
            <w:shd w:val="clear" w:color="auto" w:fill="FFFFFF" w:themeFill="background1"/>
            <w:noWrap/>
            <w:vAlign w:val="center"/>
            <w:hideMark/>
          </w:tcPr>
          <w:p w14:paraId="6F38D40F"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Siemens</w:t>
            </w:r>
          </w:p>
          <w:p w14:paraId="722C3471" w14:textId="77777777" w:rsidR="009A77FE" w:rsidRPr="00A94BC3" w:rsidRDefault="009A77FE" w:rsidP="00DB1827">
            <w:pPr>
              <w:spacing w:line="240" w:lineRule="auto"/>
              <w:jc w:val="right"/>
              <w:rPr>
                <w:rFonts w:eastAsia="Times New Roman" w:cs="Arial"/>
                <w:color w:val="000000"/>
                <w:sz w:val="12"/>
                <w:szCs w:val="12"/>
                <w:lang w:eastAsia="en-GB"/>
              </w:rPr>
            </w:pPr>
            <w:proofErr w:type="spellStart"/>
            <w:r w:rsidRPr="00A94BC3">
              <w:rPr>
                <w:rFonts w:eastAsia="Times New Roman" w:cs="Arial"/>
                <w:color w:val="000000"/>
                <w:sz w:val="12"/>
                <w:szCs w:val="12"/>
                <w:lang w:eastAsia="en-GB"/>
              </w:rPr>
              <w:t>Skyra</w:t>
            </w:r>
            <w:proofErr w:type="spellEnd"/>
            <w:r w:rsidRPr="00A94BC3">
              <w:rPr>
                <w:rFonts w:eastAsia="Times New Roman" w:cs="Arial"/>
                <w:color w:val="000000"/>
                <w:sz w:val="12"/>
                <w:szCs w:val="12"/>
                <w:lang w:eastAsia="en-GB"/>
              </w:rPr>
              <w:t xml:space="preserve"> (3T)</w:t>
            </w:r>
          </w:p>
        </w:tc>
        <w:tc>
          <w:tcPr>
            <w:tcW w:w="663" w:type="dxa"/>
            <w:shd w:val="clear" w:color="auto" w:fill="FFFFFF" w:themeFill="background1"/>
            <w:noWrap/>
            <w:vAlign w:val="center"/>
            <w:hideMark/>
          </w:tcPr>
          <w:p w14:paraId="24E4C0AC"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77 (4400)</w:t>
            </w:r>
          </w:p>
        </w:tc>
        <w:tc>
          <w:tcPr>
            <w:tcW w:w="463" w:type="dxa"/>
            <w:shd w:val="clear" w:color="auto" w:fill="FFFFFF" w:themeFill="background1"/>
            <w:noWrap/>
            <w:vAlign w:val="center"/>
            <w:hideMark/>
          </w:tcPr>
          <w:p w14:paraId="76C0566E"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SS</w:t>
            </w:r>
          </w:p>
        </w:tc>
        <w:tc>
          <w:tcPr>
            <w:tcW w:w="1864" w:type="dxa"/>
            <w:shd w:val="clear" w:color="auto" w:fill="FFFFFF" w:themeFill="background1"/>
            <w:noWrap/>
            <w:vAlign w:val="center"/>
            <w:hideMark/>
          </w:tcPr>
          <w:p w14:paraId="4BC0B2E5"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Superman (Flexible, 4)</w:t>
            </w:r>
          </w:p>
        </w:tc>
        <w:tc>
          <w:tcPr>
            <w:tcW w:w="1134" w:type="dxa"/>
            <w:shd w:val="clear" w:color="auto" w:fill="FFFFFF" w:themeFill="background1"/>
            <w:noWrap/>
            <w:vAlign w:val="center"/>
            <w:hideMark/>
          </w:tcPr>
          <w:p w14:paraId="3A9BDBA0"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 (¥)</w:t>
            </w:r>
          </w:p>
        </w:tc>
        <w:tc>
          <w:tcPr>
            <w:tcW w:w="1276" w:type="dxa"/>
            <w:shd w:val="clear" w:color="auto" w:fill="FFFFFF" w:themeFill="background1"/>
            <w:noWrap/>
            <w:vAlign w:val="center"/>
            <w:hideMark/>
          </w:tcPr>
          <w:p w14:paraId="08455A33"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1.2x1.2x2</w:t>
            </w:r>
          </w:p>
        </w:tc>
        <w:tc>
          <w:tcPr>
            <w:tcW w:w="850" w:type="dxa"/>
            <w:shd w:val="clear" w:color="auto" w:fill="FFFFFF" w:themeFill="background1"/>
            <w:noWrap/>
            <w:vAlign w:val="center"/>
            <w:hideMark/>
          </w:tcPr>
          <w:p w14:paraId="67A21E88"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1</w:t>
            </w:r>
          </w:p>
        </w:tc>
        <w:tc>
          <w:tcPr>
            <w:tcW w:w="1134" w:type="dxa"/>
            <w:shd w:val="clear" w:color="auto" w:fill="FFFFFF" w:themeFill="background1"/>
            <w:noWrap/>
            <w:vAlign w:val="center"/>
            <w:hideMark/>
          </w:tcPr>
          <w:p w14:paraId="517A3699"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1000 (20)</w:t>
            </w:r>
          </w:p>
        </w:tc>
        <w:tc>
          <w:tcPr>
            <w:tcW w:w="709" w:type="dxa"/>
            <w:shd w:val="clear" w:color="auto" w:fill="FFFFFF" w:themeFill="background1"/>
            <w:noWrap/>
            <w:vAlign w:val="center"/>
            <w:hideMark/>
          </w:tcPr>
          <w:p w14:paraId="588D7AB3"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2</w:t>
            </w:r>
          </w:p>
        </w:tc>
        <w:tc>
          <w:tcPr>
            <w:tcW w:w="992" w:type="dxa"/>
            <w:shd w:val="clear" w:color="auto" w:fill="FFFFFF" w:themeFill="background1"/>
            <w:noWrap/>
            <w:vAlign w:val="center"/>
            <w:hideMark/>
          </w:tcPr>
          <w:p w14:paraId="46A90D2D"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10 (20) 5:5</w:t>
            </w:r>
          </w:p>
        </w:tc>
        <w:tc>
          <w:tcPr>
            <w:tcW w:w="1418" w:type="dxa"/>
            <w:shd w:val="clear" w:color="auto" w:fill="FFFFFF" w:themeFill="background1"/>
            <w:noWrap/>
            <w:vAlign w:val="center"/>
            <w:hideMark/>
          </w:tcPr>
          <w:p w14:paraId="5E6B639E"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32.1 (4.45) [¥-¥]</w:t>
            </w:r>
          </w:p>
        </w:tc>
      </w:tr>
      <w:tr w:rsidR="009A77FE" w:rsidRPr="00A94BC3" w14:paraId="7BBD4CEE" w14:textId="77777777" w:rsidTr="00DB1827">
        <w:trPr>
          <w:trHeight w:val="340"/>
        </w:trPr>
        <w:tc>
          <w:tcPr>
            <w:tcW w:w="950" w:type="dxa"/>
            <w:shd w:val="clear" w:color="auto" w:fill="FFFFFF" w:themeFill="background1"/>
            <w:noWrap/>
            <w:vAlign w:val="center"/>
            <w:hideMark/>
          </w:tcPr>
          <w:p w14:paraId="2D817CAA"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Ho 2018</w:t>
            </w:r>
            <w:r w:rsidRPr="00A94BC3">
              <w:rPr>
                <w:rFonts w:eastAsia="Times New Roman" w:cs="Arial"/>
                <w:color w:val="000000"/>
                <w:sz w:val="12"/>
                <w:szCs w:val="12"/>
                <w:lang w:eastAsia="en-GB"/>
              </w:rPr>
              <w:fldChar w:fldCharType="begin"/>
            </w:r>
            <w:r w:rsidRPr="00A94BC3">
              <w:rPr>
                <w:rFonts w:eastAsia="Times New Roman" w:cs="Arial"/>
                <w:color w:val="000000"/>
                <w:sz w:val="12"/>
                <w:szCs w:val="12"/>
                <w:lang w:eastAsia="en-GB"/>
              </w:rPr>
              <w:instrText xml:space="preserve"> ADDIN ZOTERO_ITEM CSL_CITATION {"citationID":"MD7kQ0QL","properties":{"formattedCitation":"\\super 38\\nosupersub{}","plainCitation":"38","noteIndex":0},"citationItems":[{"id":24639,"uris":["http://zotero.org/users/7501526/items/68HP5VGJ"],"itemData":{"id":24639,"type":"article-journal","abstract":"Purpose: To compare conventional single-shot echo planar imaging (ss-EPI) and simultaneous multi-slice (SMS) readout-segmented EPI (rs-EPI) for magnetic resonance di</w:instrText>
            </w:r>
            <w:r w:rsidRPr="00A94BC3">
              <w:rPr>
                <w:rFonts w:ascii="Cambria Math" w:eastAsia="Times New Roman" w:hAnsi="Cambria Math" w:cs="Cambria Math"/>
                <w:color w:val="000000"/>
                <w:sz w:val="12"/>
                <w:szCs w:val="12"/>
                <w:lang w:eastAsia="en-GB"/>
              </w:rPr>
              <w:instrText>ﬀ</w:instrText>
            </w:r>
            <w:r w:rsidRPr="00A94BC3">
              <w:rPr>
                <w:rFonts w:eastAsia="Times New Roman" w:cs="Arial"/>
                <w:color w:val="000000"/>
                <w:sz w:val="12"/>
                <w:szCs w:val="12"/>
                <w:lang w:eastAsia="en-GB"/>
              </w:rPr>
              <w:instrText xml:space="preserve">usion tensor imaging (DTI) of the ulnar nerve.","container-title":"Heliyon","DOI":"10.1016/j.heliyon.2018.e00853","ISSN":"24058440","issue":"10","journalAbbreviation":"Heliyon","language":"en","page":"e00853","source":"DOI.org (Crossref)","title":"Comparison of simultaneous multi-slice readout-segmented EPI and conventional single-shot EPI for diffusion tensor imaging of the ulnar nerve","volume":"4","author":[{"family":"Ho","given":"Michael"},{"family":"Becker","given":"Anton"},{"family":"Ulbrich","given":"Erika"},{"family":"Manoliu","given":"Andrei"},{"family":"Kuhn","given":"Félix P."},{"family":"Eberhard","given":"Matthias"},{"family":"Filli","given":"Lukas"}],"issued":{"date-parts":[["2018",10]]}}}],"schema":"https://github.com/citation-style-language/schema/raw/master/csl-citation.json"} </w:instrText>
            </w:r>
            <w:r w:rsidRPr="00A94BC3">
              <w:rPr>
                <w:rFonts w:eastAsia="Times New Roman" w:cs="Arial"/>
                <w:color w:val="000000"/>
                <w:sz w:val="12"/>
                <w:szCs w:val="12"/>
                <w:lang w:eastAsia="en-GB"/>
              </w:rPr>
              <w:fldChar w:fldCharType="separate"/>
            </w:r>
            <w:r w:rsidRPr="00A94BC3">
              <w:rPr>
                <w:rFonts w:cs="Arial"/>
                <w:sz w:val="12"/>
                <w:szCs w:val="24"/>
                <w:vertAlign w:val="superscript"/>
              </w:rPr>
              <w:t>38</w:t>
            </w:r>
            <w:r w:rsidRPr="00A94BC3">
              <w:rPr>
                <w:rFonts w:eastAsia="Times New Roman" w:cs="Arial"/>
                <w:color w:val="000000"/>
                <w:sz w:val="12"/>
                <w:szCs w:val="12"/>
                <w:lang w:eastAsia="en-GB"/>
              </w:rPr>
              <w:fldChar w:fldCharType="end"/>
            </w:r>
          </w:p>
        </w:tc>
        <w:tc>
          <w:tcPr>
            <w:tcW w:w="864" w:type="dxa"/>
            <w:shd w:val="clear" w:color="auto" w:fill="FFFFFF" w:themeFill="background1"/>
            <w:noWrap/>
            <w:vAlign w:val="center"/>
            <w:hideMark/>
          </w:tcPr>
          <w:p w14:paraId="5B98636B"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 xml:space="preserve">Switzerland </w:t>
            </w:r>
          </w:p>
        </w:tc>
        <w:tc>
          <w:tcPr>
            <w:tcW w:w="1150" w:type="dxa"/>
            <w:shd w:val="clear" w:color="auto" w:fill="FFFFFF" w:themeFill="background1"/>
            <w:noWrap/>
            <w:vAlign w:val="center"/>
            <w:hideMark/>
          </w:tcPr>
          <w:p w14:paraId="002ADBAA"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Siemens</w:t>
            </w:r>
          </w:p>
          <w:p w14:paraId="0739A96E" w14:textId="77777777" w:rsidR="009A77FE" w:rsidRPr="00A94BC3" w:rsidRDefault="009A77FE" w:rsidP="00DB1827">
            <w:pPr>
              <w:spacing w:line="240" w:lineRule="auto"/>
              <w:jc w:val="right"/>
              <w:rPr>
                <w:rFonts w:eastAsia="Times New Roman" w:cs="Arial"/>
                <w:color w:val="000000"/>
                <w:sz w:val="12"/>
                <w:szCs w:val="12"/>
                <w:lang w:eastAsia="en-GB"/>
              </w:rPr>
            </w:pPr>
            <w:proofErr w:type="spellStart"/>
            <w:r w:rsidRPr="00A94BC3">
              <w:rPr>
                <w:rFonts w:eastAsia="Times New Roman" w:cs="Arial"/>
                <w:color w:val="000000"/>
                <w:sz w:val="12"/>
                <w:szCs w:val="12"/>
                <w:lang w:eastAsia="en-GB"/>
              </w:rPr>
              <w:t>Skyra</w:t>
            </w:r>
            <w:proofErr w:type="spellEnd"/>
            <w:r w:rsidRPr="00A94BC3">
              <w:rPr>
                <w:rFonts w:eastAsia="Times New Roman" w:cs="Arial"/>
                <w:color w:val="000000"/>
                <w:sz w:val="12"/>
                <w:szCs w:val="12"/>
                <w:lang w:eastAsia="en-GB"/>
              </w:rPr>
              <w:t xml:space="preserve"> (3T)</w:t>
            </w:r>
          </w:p>
        </w:tc>
        <w:tc>
          <w:tcPr>
            <w:tcW w:w="663" w:type="dxa"/>
            <w:shd w:val="clear" w:color="auto" w:fill="FFFFFF" w:themeFill="background1"/>
            <w:noWrap/>
            <w:vAlign w:val="center"/>
            <w:hideMark/>
          </w:tcPr>
          <w:p w14:paraId="4A259BEE"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77 (4400)</w:t>
            </w:r>
          </w:p>
        </w:tc>
        <w:tc>
          <w:tcPr>
            <w:tcW w:w="463" w:type="dxa"/>
            <w:shd w:val="clear" w:color="auto" w:fill="FFFFFF" w:themeFill="background1"/>
            <w:noWrap/>
            <w:vAlign w:val="center"/>
            <w:hideMark/>
          </w:tcPr>
          <w:p w14:paraId="1FDBDFCE"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SS and RS</w:t>
            </w:r>
          </w:p>
        </w:tc>
        <w:tc>
          <w:tcPr>
            <w:tcW w:w="1864" w:type="dxa"/>
            <w:shd w:val="clear" w:color="auto" w:fill="FFFFFF" w:themeFill="background1"/>
            <w:noWrap/>
            <w:vAlign w:val="center"/>
            <w:hideMark/>
          </w:tcPr>
          <w:p w14:paraId="5125B109"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Superman (Flexible, 4)</w:t>
            </w:r>
          </w:p>
        </w:tc>
        <w:tc>
          <w:tcPr>
            <w:tcW w:w="1134" w:type="dxa"/>
            <w:shd w:val="clear" w:color="auto" w:fill="FFFFFF" w:themeFill="background1"/>
            <w:noWrap/>
            <w:vAlign w:val="center"/>
            <w:hideMark/>
          </w:tcPr>
          <w:p w14:paraId="2E057FE3"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GRAPPA (6/8)</w:t>
            </w:r>
          </w:p>
        </w:tc>
        <w:tc>
          <w:tcPr>
            <w:tcW w:w="1276" w:type="dxa"/>
            <w:shd w:val="clear" w:color="auto" w:fill="FFFFFF" w:themeFill="background1"/>
            <w:noWrap/>
            <w:vAlign w:val="center"/>
            <w:hideMark/>
          </w:tcPr>
          <w:p w14:paraId="2407E43C"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1.2x1.2x4</w:t>
            </w:r>
          </w:p>
        </w:tc>
        <w:tc>
          <w:tcPr>
            <w:tcW w:w="850" w:type="dxa"/>
            <w:shd w:val="clear" w:color="auto" w:fill="FFFFFF" w:themeFill="background1"/>
            <w:noWrap/>
            <w:vAlign w:val="center"/>
            <w:hideMark/>
          </w:tcPr>
          <w:p w14:paraId="5DCB912F"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2</w:t>
            </w:r>
          </w:p>
        </w:tc>
        <w:tc>
          <w:tcPr>
            <w:tcW w:w="1134" w:type="dxa"/>
            <w:shd w:val="clear" w:color="auto" w:fill="FFFFFF" w:themeFill="background1"/>
            <w:noWrap/>
            <w:vAlign w:val="center"/>
            <w:hideMark/>
          </w:tcPr>
          <w:p w14:paraId="658DAB89"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1000 (20)</w:t>
            </w:r>
          </w:p>
        </w:tc>
        <w:tc>
          <w:tcPr>
            <w:tcW w:w="709" w:type="dxa"/>
            <w:shd w:val="clear" w:color="auto" w:fill="FFFFFF" w:themeFill="background1"/>
            <w:noWrap/>
            <w:vAlign w:val="center"/>
            <w:hideMark/>
          </w:tcPr>
          <w:p w14:paraId="06FAA374"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2</w:t>
            </w:r>
          </w:p>
        </w:tc>
        <w:tc>
          <w:tcPr>
            <w:tcW w:w="992" w:type="dxa"/>
            <w:shd w:val="clear" w:color="auto" w:fill="FFFFFF" w:themeFill="background1"/>
            <w:noWrap/>
            <w:vAlign w:val="center"/>
            <w:hideMark/>
          </w:tcPr>
          <w:p w14:paraId="585D5635"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10 (10) 5:5</w:t>
            </w:r>
          </w:p>
        </w:tc>
        <w:tc>
          <w:tcPr>
            <w:tcW w:w="1418" w:type="dxa"/>
            <w:shd w:val="clear" w:color="auto" w:fill="FFFFFF" w:themeFill="background1"/>
            <w:noWrap/>
            <w:vAlign w:val="center"/>
            <w:hideMark/>
          </w:tcPr>
          <w:p w14:paraId="0FC10A85"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30.4 (4.01) [25-36]</w:t>
            </w:r>
          </w:p>
        </w:tc>
      </w:tr>
      <w:tr w:rsidR="009A77FE" w:rsidRPr="00A94BC3" w14:paraId="75349008" w14:textId="77777777" w:rsidTr="00DB1827">
        <w:trPr>
          <w:trHeight w:val="340"/>
        </w:trPr>
        <w:tc>
          <w:tcPr>
            <w:tcW w:w="950" w:type="dxa"/>
            <w:shd w:val="clear" w:color="auto" w:fill="FFFFFF" w:themeFill="background1"/>
            <w:noWrap/>
            <w:vAlign w:val="center"/>
            <w:hideMark/>
          </w:tcPr>
          <w:p w14:paraId="283D44A4"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Park 2020</w:t>
            </w:r>
            <w:r w:rsidRPr="00A94BC3">
              <w:rPr>
                <w:rFonts w:eastAsia="Times New Roman" w:cs="Arial"/>
                <w:color w:val="000000"/>
                <w:sz w:val="12"/>
                <w:szCs w:val="12"/>
                <w:lang w:eastAsia="en-GB"/>
              </w:rPr>
              <w:fldChar w:fldCharType="begin"/>
            </w:r>
            <w:r w:rsidRPr="00A94BC3">
              <w:rPr>
                <w:rFonts w:eastAsia="Times New Roman" w:cs="Arial"/>
                <w:color w:val="000000"/>
                <w:sz w:val="12"/>
                <w:szCs w:val="12"/>
                <w:lang w:eastAsia="en-GB"/>
              </w:rPr>
              <w:instrText xml:space="preserve"> ADDIN ZOTERO_ITEM CSL_CITATION {"citationID":"3KiwsVhh","properties":{"formattedCitation":"\\super 48\\nosupersub{}","plainCitation":"48","noteIndex":0},"citationItems":[{"id":24609,"uris":["http://zotero.org/users/7501526/items/F72RCYCT"],"itemData":{"id":24609,"type":"article-journal","abstract":"BackgroundSmall peripheral nerve tractography is challenging because of the trade-off among resolution, image acquisition time, and signal-to-noise ratio.PurposeTo optimize pixel size and slice thi...","container-title":"Acta radiologica (Stockholm, Sweden : 1987)","DOI":"10.1177/0284185120951965","issue":"8","note":"publisher: SAGE Publications Ltd","page":"1063-1071","title":"Determination of optimum pixel size and slice thickness for tractography and ulnar nerve diffusion tensor imaging at the cubital tunnel using 3T MRI","volume":"62","author":[{"family":"Park","given":"Sun-Young; Koh","suffix":"Sung Hye; Lee, I.; Lee, Kwanseop; Lee, Yul"}],"issued":{"date-parts":[["2020"]]}}}],"schema":"https://github.com/citation-style-language/schema/raw/master/csl-citation.json"} </w:instrText>
            </w:r>
            <w:r w:rsidRPr="00A94BC3">
              <w:rPr>
                <w:rFonts w:eastAsia="Times New Roman" w:cs="Arial"/>
                <w:color w:val="000000"/>
                <w:sz w:val="12"/>
                <w:szCs w:val="12"/>
                <w:lang w:eastAsia="en-GB"/>
              </w:rPr>
              <w:fldChar w:fldCharType="separate"/>
            </w:r>
            <w:r w:rsidRPr="00A94BC3">
              <w:rPr>
                <w:rFonts w:cs="Arial"/>
                <w:sz w:val="12"/>
                <w:szCs w:val="24"/>
                <w:vertAlign w:val="superscript"/>
              </w:rPr>
              <w:t>48</w:t>
            </w:r>
            <w:r w:rsidRPr="00A94BC3">
              <w:rPr>
                <w:rFonts w:eastAsia="Times New Roman" w:cs="Arial"/>
                <w:color w:val="000000"/>
                <w:sz w:val="12"/>
                <w:szCs w:val="12"/>
                <w:lang w:eastAsia="en-GB"/>
              </w:rPr>
              <w:fldChar w:fldCharType="end"/>
            </w:r>
          </w:p>
        </w:tc>
        <w:tc>
          <w:tcPr>
            <w:tcW w:w="864" w:type="dxa"/>
            <w:shd w:val="clear" w:color="auto" w:fill="FFFFFF" w:themeFill="background1"/>
            <w:noWrap/>
            <w:vAlign w:val="center"/>
            <w:hideMark/>
          </w:tcPr>
          <w:p w14:paraId="517F1CEC"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 xml:space="preserve">Korea </w:t>
            </w:r>
          </w:p>
        </w:tc>
        <w:tc>
          <w:tcPr>
            <w:tcW w:w="1150" w:type="dxa"/>
            <w:shd w:val="clear" w:color="auto" w:fill="FFFFFF" w:themeFill="background1"/>
            <w:noWrap/>
            <w:vAlign w:val="center"/>
            <w:hideMark/>
          </w:tcPr>
          <w:p w14:paraId="14855F4E"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Philips</w:t>
            </w:r>
          </w:p>
          <w:p w14:paraId="5BA5F772" w14:textId="77777777" w:rsidR="009A77FE" w:rsidRPr="00A94BC3" w:rsidRDefault="009A77FE" w:rsidP="00DB1827">
            <w:pPr>
              <w:spacing w:line="240" w:lineRule="auto"/>
              <w:jc w:val="right"/>
              <w:rPr>
                <w:rFonts w:eastAsia="Times New Roman" w:cs="Arial"/>
                <w:color w:val="000000"/>
                <w:sz w:val="12"/>
                <w:szCs w:val="12"/>
                <w:lang w:eastAsia="en-GB"/>
              </w:rPr>
            </w:pPr>
            <w:proofErr w:type="spellStart"/>
            <w:r w:rsidRPr="00A94BC3">
              <w:rPr>
                <w:rFonts w:eastAsia="Times New Roman" w:cs="Arial"/>
                <w:color w:val="000000"/>
                <w:sz w:val="12"/>
                <w:szCs w:val="12"/>
                <w:lang w:eastAsia="en-GB"/>
              </w:rPr>
              <w:t>Achieva</w:t>
            </w:r>
            <w:proofErr w:type="spellEnd"/>
            <w:r w:rsidRPr="00A94BC3">
              <w:rPr>
                <w:rFonts w:eastAsia="Times New Roman" w:cs="Arial"/>
                <w:color w:val="000000"/>
                <w:sz w:val="12"/>
                <w:szCs w:val="12"/>
                <w:lang w:eastAsia="en-GB"/>
              </w:rPr>
              <w:t xml:space="preserve"> (3T) </w:t>
            </w:r>
          </w:p>
        </w:tc>
        <w:tc>
          <w:tcPr>
            <w:tcW w:w="663" w:type="dxa"/>
            <w:shd w:val="clear" w:color="auto" w:fill="FFFFFF" w:themeFill="background1"/>
            <w:noWrap/>
            <w:vAlign w:val="center"/>
            <w:hideMark/>
          </w:tcPr>
          <w:p w14:paraId="0912AE87"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91 (7049)</w:t>
            </w:r>
          </w:p>
        </w:tc>
        <w:tc>
          <w:tcPr>
            <w:tcW w:w="463" w:type="dxa"/>
            <w:shd w:val="clear" w:color="auto" w:fill="FFFFFF" w:themeFill="background1"/>
            <w:noWrap/>
            <w:vAlign w:val="center"/>
            <w:hideMark/>
          </w:tcPr>
          <w:p w14:paraId="2CBE29EA"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SS</w:t>
            </w:r>
          </w:p>
        </w:tc>
        <w:tc>
          <w:tcPr>
            <w:tcW w:w="1864" w:type="dxa"/>
            <w:shd w:val="clear" w:color="auto" w:fill="FFFFFF" w:themeFill="background1"/>
            <w:noWrap/>
            <w:vAlign w:val="center"/>
            <w:hideMark/>
          </w:tcPr>
          <w:p w14:paraId="165ACAAE" w14:textId="77777777" w:rsidR="009A77FE" w:rsidRPr="00A94BC3" w:rsidRDefault="009A77FE" w:rsidP="00DB1827">
            <w:pPr>
              <w:spacing w:line="240" w:lineRule="auto"/>
              <w:jc w:val="right"/>
              <w:rPr>
                <w:rFonts w:eastAsia="Times New Roman" w:cs="Arial"/>
                <w:sz w:val="12"/>
                <w:szCs w:val="12"/>
                <w:lang w:eastAsia="en-GB"/>
              </w:rPr>
            </w:pPr>
            <w:r w:rsidRPr="00A94BC3">
              <w:rPr>
                <w:rFonts w:eastAsia="Times New Roman" w:cs="Arial"/>
                <w:color w:val="000000"/>
                <w:sz w:val="12"/>
                <w:szCs w:val="12"/>
                <w:lang w:eastAsia="en-GB"/>
              </w:rPr>
              <w:t>Superman (¥, ¥)</w:t>
            </w:r>
          </w:p>
        </w:tc>
        <w:tc>
          <w:tcPr>
            <w:tcW w:w="1134" w:type="dxa"/>
            <w:shd w:val="clear" w:color="auto" w:fill="FFFFFF" w:themeFill="background1"/>
            <w:noWrap/>
            <w:vAlign w:val="center"/>
            <w:hideMark/>
          </w:tcPr>
          <w:p w14:paraId="341E326E"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SENSE (¥)</w:t>
            </w:r>
          </w:p>
        </w:tc>
        <w:tc>
          <w:tcPr>
            <w:tcW w:w="1276" w:type="dxa"/>
            <w:shd w:val="clear" w:color="auto" w:fill="FFFFFF" w:themeFill="background1"/>
            <w:noWrap/>
            <w:vAlign w:val="center"/>
            <w:hideMark/>
          </w:tcPr>
          <w:p w14:paraId="058168CD"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1.1x1.1x3</w:t>
            </w:r>
          </w:p>
          <w:p w14:paraId="509E34D9"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1.3x1.3x3</w:t>
            </w:r>
          </w:p>
          <w:p w14:paraId="605E4165"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1.5x1.5x3</w:t>
            </w:r>
          </w:p>
          <w:p w14:paraId="1AFFB45B"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1.3x1.3x4</w:t>
            </w:r>
          </w:p>
          <w:p w14:paraId="5EB6D9C7"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1.3x1.3x5</w:t>
            </w:r>
          </w:p>
        </w:tc>
        <w:tc>
          <w:tcPr>
            <w:tcW w:w="850" w:type="dxa"/>
            <w:shd w:val="clear" w:color="auto" w:fill="FFFFFF" w:themeFill="background1"/>
            <w:noWrap/>
            <w:vAlign w:val="center"/>
            <w:hideMark/>
          </w:tcPr>
          <w:p w14:paraId="27CD9584"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5</w:t>
            </w:r>
          </w:p>
        </w:tc>
        <w:tc>
          <w:tcPr>
            <w:tcW w:w="1134" w:type="dxa"/>
            <w:shd w:val="clear" w:color="auto" w:fill="FFFFFF" w:themeFill="background1"/>
            <w:noWrap/>
            <w:vAlign w:val="center"/>
            <w:hideMark/>
          </w:tcPr>
          <w:p w14:paraId="14EDA3DA"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1200 (15)</w:t>
            </w:r>
          </w:p>
        </w:tc>
        <w:tc>
          <w:tcPr>
            <w:tcW w:w="709" w:type="dxa"/>
            <w:shd w:val="clear" w:color="auto" w:fill="FFFFFF" w:themeFill="background1"/>
            <w:noWrap/>
            <w:vAlign w:val="center"/>
            <w:hideMark/>
          </w:tcPr>
          <w:p w14:paraId="7BB38CD4"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2</w:t>
            </w:r>
          </w:p>
        </w:tc>
        <w:tc>
          <w:tcPr>
            <w:tcW w:w="992" w:type="dxa"/>
            <w:shd w:val="clear" w:color="auto" w:fill="FFFFFF" w:themeFill="background1"/>
            <w:noWrap/>
            <w:vAlign w:val="center"/>
            <w:hideMark/>
          </w:tcPr>
          <w:p w14:paraId="322E886B"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15 (15) 9:6</w:t>
            </w:r>
          </w:p>
        </w:tc>
        <w:tc>
          <w:tcPr>
            <w:tcW w:w="1418" w:type="dxa"/>
            <w:shd w:val="clear" w:color="auto" w:fill="FFFFFF" w:themeFill="background1"/>
            <w:noWrap/>
            <w:vAlign w:val="center"/>
            <w:hideMark/>
          </w:tcPr>
          <w:p w14:paraId="3E343DD3"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30 (6.8) [22-42]</w:t>
            </w:r>
          </w:p>
        </w:tc>
      </w:tr>
      <w:tr w:rsidR="009A77FE" w:rsidRPr="00A94BC3" w14:paraId="1D27640C" w14:textId="77777777" w:rsidTr="00DB1827">
        <w:trPr>
          <w:trHeight w:val="340"/>
        </w:trPr>
        <w:tc>
          <w:tcPr>
            <w:tcW w:w="950" w:type="dxa"/>
            <w:shd w:val="clear" w:color="auto" w:fill="FFFFFF" w:themeFill="background1"/>
            <w:noWrap/>
            <w:vAlign w:val="center"/>
            <w:hideMark/>
          </w:tcPr>
          <w:p w14:paraId="7C866E93" w14:textId="77777777" w:rsidR="009A77FE" w:rsidRPr="00A94BC3" w:rsidRDefault="009A77FE" w:rsidP="00DB1827">
            <w:pPr>
              <w:spacing w:line="240" w:lineRule="auto"/>
              <w:jc w:val="right"/>
              <w:rPr>
                <w:rFonts w:eastAsia="Times New Roman" w:cs="Arial"/>
                <w:color w:val="000000"/>
                <w:sz w:val="12"/>
                <w:szCs w:val="12"/>
                <w:lang w:eastAsia="en-GB"/>
              </w:rPr>
            </w:pPr>
            <w:proofErr w:type="spellStart"/>
            <w:r w:rsidRPr="00A94BC3">
              <w:rPr>
                <w:rFonts w:eastAsia="Times New Roman" w:cs="Arial"/>
                <w:color w:val="000000"/>
                <w:sz w:val="12"/>
                <w:szCs w:val="12"/>
                <w:lang w:eastAsia="en-GB"/>
              </w:rPr>
              <w:t>Breckwoldt</w:t>
            </w:r>
            <w:proofErr w:type="spellEnd"/>
            <w:r w:rsidRPr="00A94BC3">
              <w:rPr>
                <w:rFonts w:eastAsia="Times New Roman" w:cs="Arial"/>
                <w:color w:val="000000"/>
                <w:sz w:val="12"/>
                <w:szCs w:val="12"/>
                <w:lang w:eastAsia="en-GB"/>
              </w:rPr>
              <w:t xml:space="preserve"> 2015</w:t>
            </w:r>
            <w:r w:rsidRPr="00A94BC3">
              <w:rPr>
                <w:rFonts w:eastAsia="Times New Roman" w:cs="Arial"/>
                <w:color w:val="000000"/>
                <w:sz w:val="12"/>
                <w:szCs w:val="12"/>
                <w:lang w:eastAsia="en-GB"/>
              </w:rPr>
              <w:fldChar w:fldCharType="begin"/>
            </w:r>
            <w:r w:rsidRPr="00A94BC3">
              <w:rPr>
                <w:rFonts w:eastAsia="Times New Roman" w:cs="Arial"/>
                <w:color w:val="000000"/>
                <w:sz w:val="12"/>
                <w:szCs w:val="12"/>
                <w:lang w:eastAsia="en-GB"/>
              </w:rPr>
              <w:instrText xml:space="preserve"> ADDIN ZOTERO_ITEM CSL_CITATION {"citationID":"zkGSDLyY","properties":{"formattedCitation":"\\super 39\\nosupersub{}","plainCitation":"39","noteIndex":0},"citationItems":[{"id":24616,"uris":["http://zotero.org/users/7501526/items/NZZM6WJL"],"itemData":{"id":24616,"type":"article-journal","abstract":"OBJECTIVE The aim of this study was to determine whether quantitative diffusion tensor imaging (DTI) adds diagnostic accuracy in magnetic resonance neurography. MATERIALS AND METHODS This prospective study was approved by the institutional review board. We enrolled 16 patients with peripheral polyneuropathy of various etiologies involving the upper arm and 30 healthy controls. Magnetic resonance neurography was performed at 3 T using transverse T2-weighted (T2-w) turbo spin echo and spin echo planar imaging diffusion-weighted sequences. T2-weighted normalized signal (nT2), fractional anisotropy (FA), apparent diffusion coefficient (ADC), radial diffusivity (RD), and axial diffusivity (AD) of the median, ulnar, and radial nerves were quantified after manual segmentation. Diagnostic performance of each separate parameter and combinations of parameters was assessed using the area under the receiver operating characteristic curve (AUC). Bootstrap validation was used to adjust for potential overfitting. RESULTS Average nT2, ADC, RD, and AD values of the median, ulnar, and radial nerve were significantly increased in neuropathy patients compared with that in healthy controls (nT2, 1.49 ± 0.05 vs 1.05 ± 0.05; ADC, 1.4 × 10(-3) ± 2.8 × 10(-5) mm(2)/s vs 1.1 × 10(-3) ± 1.3 × 10(-5) mm(2)/s; RD, 9.5 × 10(-4) ± 2.9 × 10(-5) mm(2)/s vs 7.2 × 10(-4) ± 1.3 × 10(-5) mm(2)/s; AD, 2.3 × 10(-3) ± 3.7 × 10(-5) mm(2)/s vs 2.0 × 10(-3) ± 2.2 × 10(-5) mm(2)/s; P &lt; 0.001 for all comparisons). Fractional anisotropy values were significantly decreased in patients (0.51 ± 0.01 vs 0.59 ± 0.01; P &lt; 0.001). T2-weighted normalized signal and DTI parameters had comparable diagnostic accuracy (adjusted AUC: T2-w, 0.92; FA, 0.88; ADC, 0.89; AD, 0.84; RD, 0.86). Combining DTI parameters significantly improved the diagnostic accuracy over single-parameter analysis. In addition, the combination of nT2 with DTI parameters yielded excellent adjusted AUCs up to 0.97 (nT2 + FA). CONCLUSIONS Diffusion tensor imaging has high diagnostic accuracy in peripheral neuropathy. Combining DTI with T2 can outperform T2-w imaging alone and provides added value in magnetic resonance neurography.","container-title":"Investigative radiology","DOI":"10.1097/rli.0000000000000156","issue":"8","note":"publisher: Lippincott Williams and Wilkins","page":"498-504","title":"Diffusion Tensor Imaging Adds Diagnostic Accuracy in Magnetic Resonance Neurography.","volume":"50","author":[{"family":"Breckwoldt","given":"Michael O.; Stock","suffix":"Christian; Xia, Annie; Heckel, Andreas; Bendszus, Martin; Pham, Mirko; Heiland, Sabine; Bäumer, Philipp"}],"issued":{"date-parts":[["2015"]]}}}],"schema":"https://github.com/citation-style-language/schema/raw/master/csl-citation.json"} </w:instrText>
            </w:r>
            <w:r w:rsidRPr="00A94BC3">
              <w:rPr>
                <w:rFonts w:eastAsia="Times New Roman" w:cs="Arial"/>
                <w:color w:val="000000"/>
                <w:sz w:val="12"/>
                <w:szCs w:val="12"/>
                <w:lang w:eastAsia="en-GB"/>
              </w:rPr>
              <w:fldChar w:fldCharType="separate"/>
            </w:r>
            <w:r w:rsidRPr="00A94BC3">
              <w:rPr>
                <w:rFonts w:cs="Arial"/>
                <w:sz w:val="12"/>
                <w:szCs w:val="24"/>
                <w:vertAlign w:val="superscript"/>
              </w:rPr>
              <w:t>39</w:t>
            </w:r>
            <w:r w:rsidRPr="00A94BC3">
              <w:rPr>
                <w:rFonts w:eastAsia="Times New Roman" w:cs="Arial"/>
                <w:color w:val="000000"/>
                <w:sz w:val="12"/>
                <w:szCs w:val="12"/>
                <w:lang w:eastAsia="en-GB"/>
              </w:rPr>
              <w:fldChar w:fldCharType="end"/>
            </w:r>
          </w:p>
        </w:tc>
        <w:tc>
          <w:tcPr>
            <w:tcW w:w="864" w:type="dxa"/>
            <w:shd w:val="clear" w:color="auto" w:fill="FFFFFF" w:themeFill="background1"/>
            <w:noWrap/>
            <w:vAlign w:val="center"/>
            <w:hideMark/>
          </w:tcPr>
          <w:p w14:paraId="4C4CFE5A"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 xml:space="preserve">Germany </w:t>
            </w:r>
          </w:p>
        </w:tc>
        <w:tc>
          <w:tcPr>
            <w:tcW w:w="1150" w:type="dxa"/>
            <w:shd w:val="clear" w:color="auto" w:fill="FFFFFF" w:themeFill="background1"/>
            <w:noWrap/>
            <w:vAlign w:val="center"/>
            <w:hideMark/>
          </w:tcPr>
          <w:p w14:paraId="40C6B3C3"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Siemens</w:t>
            </w:r>
          </w:p>
          <w:p w14:paraId="21EB1D5A"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 xml:space="preserve">TIM-TRIO and </w:t>
            </w:r>
            <w:proofErr w:type="spellStart"/>
            <w:r w:rsidRPr="00A94BC3">
              <w:rPr>
                <w:rFonts w:eastAsia="Times New Roman" w:cs="Arial"/>
                <w:color w:val="000000"/>
                <w:sz w:val="12"/>
                <w:szCs w:val="12"/>
                <w:lang w:eastAsia="en-GB"/>
              </w:rPr>
              <w:t>Vario</w:t>
            </w:r>
            <w:proofErr w:type="spellEnd"/>
            <w:r w:rsidRPr="00A94BC3">
              <w:rPr>
                <w:rFonts w:eastAsia="Times New Roman" w:cs="Arial"/>
                <w:color w:val="000000"/>
                <w:sz w:val="12"/>
                <w:szCs w:val="12"/>
                <w:lang w:eastAsia="en-GB"/>
              </w:rPr>
              <w:t xml:space="preserve"> (3T)</w:t>
            </w:r>
          </w:p>
        </w:tc>
        <w:tc>
          <w:tcPr>
            <w:tcW w:w="663" w:type="dxa"/>
            <w:shd w:val="clear" w:color="auto" w:fill="FFFFFF" w:themeFill="background1"/>
            <w:noWrap/>
            <w:vAlign w:val="center"/>
            <w:hideMark/>
          </w:tcPr>
          <w:p w14:paraId="53D1D38C"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94 (3800)</w:t>
            </w:r>
          </w:p>
        </w:tc>
        <w:tc>
          <w:tcPr>
            <w:tcW w:w="463" w:type="dxa"/>
            <w:shd w:val="clear" w:color="auto" w:fill="FFFFFF" w:themeFill="background1"/>
            <w:noWrap/>
            <w:vAlign w:val="center"/>
            <w:hideMark/>
          </w:tcPr>
          <w:p w14:paraId="33AD7122"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cs="Arial"/>
                <w:sz w:val="12"/>
                <w:szCs w:val="12"/>
              </w:rPr>
              <w:t>¥</w:t>
            </w:r>
          </w:p>
        </w:tc>
        <w:tc>
          <w:tcPr>
            <w:tcW w:w="1864" w:type="dxa"/>
            <w:shd w:val="clear" w:color="auto" w:fill="FFFFFF" w:themeFill="background1"/>
            <w:noWrap/>
            <w:vAlign w:val="center"/>
            <w:hideMark/>
          </w:tcPr>
          <w:p w14:paraId="1FDA05F0"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Supine arm overhead (¥, ¥) </w:t>
            </w:r>
          </w:p>
        </w:tc>
        <w:tc>
          <w:tcPr>
            <w:tcW w:w="1134" w:type="dxa"/>
            <w:shd w:val="clear" w:color="auto" w:fill="FFFFFF" w:themeFill="background1"/>
            <w:noWrap/>
            <w:vAlign w:val="center"/>
            <w:hideMark/>
          </w:tcPr>
          <w:p w14:paraId="0A2280D6"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 xml:space="preserve">GRAPPA (7/8) </w:t>
            </w:r>
          </w:p>
        </w:tc>
        <w:tc>
          <w:tcPr>
            <w:tcW w:w="1276" w:type="dxa"/>
            <w:shd w:val="clear" w:color="auto" w:fill="FFFFFF" w:themeFill="background1"/>
            <w:noWrap/>
            <w:vAlign w:val="center"/>
            <w:hideMark/>
          </w:tcPr>
          <w:p w14:paraId="68B55181"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1.14x1.14x4</w:t>
            </w:r>
          </w:p>
        </w:tc>
        <w:tc>
          <w:tcPr>
            <w:tcW w:w="850" w:type="dxa"/>
            <w:shd w:val="clear" w:color="auto" w:fill="FFFFFF" w:themeFill="background1"/>
            <w:noWrap/>
            <w:vAlign w:val="center"/>
            <w:hideMark/>
          </w:tcPr>
          <w:p w14:paraId="0F04B1CF"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2</w:t>
            </w:r>
          </w:p>
        </w:tc>
        <w:tc>
          <w:tcPr>
            <w:tcW w:w="1134" w:type="dxa"/>
            <w:shd w:val="clear" w:color="auto" w:fill="FFFFFF" w:themeFill="background1"/>
            <w:noWrap/>
            <w:vAlign w:val="center"/>
            <w:hideMark/>
          </w:tcPr>
          <w:p w14:paraId="422613E9"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1200 (19)</w:t>
            </w:r>
          </w:p>
        </w:tc>
        <w:tc>
          <w:tcPr>
            <w:tcW w:w="709" w:type="dxa"/>
            <w:shd w:val="clear" w:color="auto" w:fill="FFFFFF" w:themeFill="background1"/>
            <w:noWrap/>
            <w:vAlign w:val="center"/>
            <w:hideMark/>
          </w:tcPr>
          <w:p w14:paraId="49D6B6F3"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2</w:t>
            </w:r>
          </w:p>
        </w:tc>
        <w:tc>
          <w:tcPr>
            <w:tcW w:w="992" w:type="dxa"/>
            <w:shd w:val="clear" w:color="auto" w:fill="FFFFFF" w:themeFill="background1"/>
            <w:noWrap/>
            <w:vAlign w:val="center"/>
            <w:hideMark/>
          </w:tcPr>
          <w:p w14:paraId="4D3551EE"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30 (30) 16:14</w:t>
            </w:r>
          </w:p>
        </w:tc>
        <w:tc>
          <w:tcPr>
            <w:tcW w:w="1418" w:type="dxa"/>
            <w:shd w:val="clear" w:color="auto" w:fill="FFFFFF" w:themeFill="background1"/>
            <w:noWrap/>
            <w:vAlign w:val="center"/>
            <w:hideMark/>
          </w:tcPr>
          <w:p w14:paraId="11950682"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40.67 (13.07) [20-70]</w:t>
            </w:r>
          </w:p>
        </w:tc>
      </w:tr>
      <w:tr w:rsidR="009A77FE" w:rsidRPr="00A94BC3" w14:paraId="5FA74716" w14:textId="77777777" w:rsidTr="00DB1827">
        <w:trPr>
          <w:trHeight w:val="340"/>
        </w:trPr>
        <w:tc>
          <w:tcPr>
            <w:tcW w:w="950" w:type="dxa"/>
            <w:shd w:val="clear" w:color="auto" w:fill="FFFFFF" w:themeFill="background1"/>
            <w:noWrap/>
            <w:vAlign w:val="center"/>
            <w:hideMark/>
          </w:tcPr>
          <w:p w14:paraId="0B35EA64" w14:textId="77777777" w:rsidR="009A77FE" w:rsidRPr="00A94BC3" w:rsidRDefault="009A77FE" w:rsidP="00DB1827">
            <w:pPr>
              <w:spacing w:line="240" w:lineRule="auto"/>
              <w:jc w:val="right"/>
              <w:rPr>
                <w:rFonts w:eastAsia="Times New Roman" w:cs="Arial"/>
                <w:color w:val="000000"/>
                <w:sz w:val="12"/>
                <w:szCs w:val="12"/>
                <w:lang w:eastAsia="en-GB"/>
              </w:rPr>
            </w:pPr>
            <w:proofErr w:type="spellStart"/>
            <w:r w:rsidRPr="00A94BC3">
              <w:rPr>
                <w:rFonts w:eastAsia="Times New Roman" w:cs="Arial"/>
                <w:color w:val="000000"/>
                <w:sz w:val="12"/>
                <w:szCs w:val="12"/>
                <w:lang w:eastAsia="en-GB"/>
              </w:rPr>
              <w:t>Kabakci</w:t>
            </w:r>
            <w:proofErr w:type="spellEnd"/>
            <w:r w:rsidRPr="00A94BC3">
              <w:rPr>
                <w:rFonts w:eastAsia="Times New Roman" w:cs="Arial"/>
                <w:color w:val="000000"/>
                <w:sz w:val="12"/>
                <w:szCs w:val="12"/>
                <w:lang w:eastAsia="en-GB"/>
              </w:rPr>
              <w:t xml:space="preserve"> 2007</w:t>
            </w:r>
            <w:r w:rsidRPr="00A94BC3">
              <w:rPr>
                <w:rFonts w:eastAsia="Times New Roman" w:cs="Arial"/>
                <w:color w:val="000000"/>
                <w:sz w:val="12"/>
                <w:szCs w:val="12"/>
                <w:lang w:eastAsia="en-GB"/>
              </w:rPr>
              <w:fldChar w:fldCharType="begin"/>
            </w:r>
            <w:r w:rsidRPr="00A94BC3">
              <w:rPr>
                <w:rFonts w:eastAsia="Times New Roman" w:cs="Arial"/>
                <w:color w:val="000000"/>
                <w:sz w:val="12"/>
                <w:szCs w:val="12"/>
                <w:lang w:eastAsia="en-GB"/>
              </w:rPr>
              <w:instrText xml:space="preserve"> ADDIN ZOTERO_ITEM CSL_CITATION {"citationID":"2eAWZ1z7","properties":{"formattedCitation":"\\super 47\\nosupersub{}","plainCitation":"47","noteIndex":0},"citationItems":[{"id":24619,"uris":["http://zotero.org/users/7501526/items/G78FMM4F"],"itemData":{"id":24619,"type":"article-journal","abstract":"OBJECTIVE. The purposes of this study were to visualize the human median nerve on diffusion tensor imaging and to determine the normal fractional anisotropy (FA) value and apparent diffusion coefficient (ADC) of the normal median nerve.SUBJECTS AND METHODS. The wrists of 20 healthy volunteers and of two patients with carpel tunnel syndrome were examined with a 3-T MRI system with a standard eight-channel sensitivity-encoding head coil. Diffusion tensor imaging was performed with a spin-echo echo-planar sequence. A T1-weighted sequence was performed for anatomic reference. After tractography, the FA value and ADC of the whole nerve were calculated automatically. Manual focal measurements also were obtained at the levels of the flexor retinaculum, wrist, and forearm.RESULTS. We visualized the median nerve with MR diffusion tensor tractography and followed the nerve for approximately 77.5 mm. We found the normative diffusion values of the median nerve were an FA of 0.709 ± 0.046 (SD) and an ADC of 1.016 ± 0....","container-title":"AJR. American journal of roentgenology","DOI":"10.2214/ajr.07.2423","issue":"4","note":"publisher: American Roentgen Ray Society","page":"923-927","title":"Diffusion tensor imaging and tractography of median nerve: normative diffusion values.","volume":"189","author":[{"family":"Kabakci","given":"N.; Gurses","suffix":"Bengi; Firat, Zeynep; Bayram, Ali; Uluğ, Aziz M.; Kovanlikaya, Arzu; Kovanlikaya, Ilhami"}],"issued":{"date-parts":[["2007"]]}}}],"schema":"https://github.com/citation-style-language/schema/raw/master/csl-citation.json"} </w:instrText>
            </w:r>
            <w:r w:rsidRPr="00A94BC3">
              <w:rPr>
                <w:rFonts w:eastAsia="Times New Roman" w:cs="Arial"/>
                <w:color w:val="000000"/>
                <w:sz w:val="12"/>
                <w:szCs w:val="12"/>
                <w:lang w:eastAsia="en-GB"/>
              </w:rPr>
              <w:fldChar w:fldCharType="separate"/>
            </w:r>
            <w:r w:rsidRPr="00A94BC3">
              <w:rPr>
                <w:rFonts w:cs="Arial"/>
                <w:sz w:val="12"/>
                <w:szCs w:val="24"/>
                <w:vertAlign w:val="superscript"/>
              </w:rPr>
              <w:t>47</w:t>
            </w:r>
            <w:r w:rsidRPr="00A94BC3">
              <w:rPr>
                <w:rFonts w:eastAsia="Times New Roman" w:cs="Arial"/>
                <w:color w:val="000000"/>
                <w:sz w:val="12"/>
                <w:szCs w:val="12"/>
                <w:lang w:eastAsia="en-GB"/>
              </w:rPr>
              <w:fldChar w:fldCharType="end"/>
            </w:r>
          </w:p>
        </w:tc>
        <w:tc>
          <w:tcPr>
            <w:tcW w:w="864" w:type="dxa"/>
            <w:shd w:val="clear" w:color="auto" w:fill="FFFFFF" w:themeFill="background1"/>
            <w:noWrap/>
            <w:vAlign w:val="center"/>
            <w:hideMark/>
          </w:tcPr>
          <w:p w14:paraId="2E6DC37D"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 xml:space="preserve">Turkey </w:t>
            </w:r>
          </w:p>
        </w:tc>
        <w:tc>
          <w:tcPr>
            <w:tcW w:w="1150" w:type="dxa"/>
            <w:shd w:val="clear" w:color="auto" w:fill="FFFFFF" w:themeFill="background1"/>
            <w:noWrap/>
            <w:vAlign w:val="center"/>
            <w:hideMark/>
          </w:tcPr>
          <w:p w14:paraId="43F15EFD"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Philips</w:t>
            </w:r>
          </w:p>
          <w:p w14:paraId="1DD5DBD1" w14:textId="77777777" w:rsidR="009A77FE" w:rsidRPr="00A94BC3" w:rsidRDefault="009A77FE" w:rsidP="00DB1827">
            <w:pPr>
              <w:spacing w:line="240" w:lineRule="auto"/>
              <w:jc w:val="right"/>
              <w:rPr>
                <w:rFonts w:eastAsia="Times New Roman" w:cs="Arial"/>
                <w:color w:val="000000"/>
                <w:sz w:val="12"/>
                <w:szCs w:val="12"/>
                <w:lang w:eastAsia="en-GB"/>
              </w:rPr>
            </w:pPr>
            <w:proofErr w:type="spellStart"/>
            <w:proofErr w:type="gramStart"/>
            <w:r w:rsidRPr="00A94BC3">
              <w:rPr>
                <w:rFonts w:eastAsia="Times New Roman" w:cs="Arial"/>
                <w:color w:val="000000"/>
                <w:sz w:val="12"/>
                <w:szCs w:val="12"/>
                <w:lang w:eastAsia="en-GB"/>
              </w:rPr>
              <w:t>Achieva</w:t>
            </w:r>
            <w:proofErr w:type="spellEnd"/>
            <w:r w:rsidRPr="00A94BC3">
              <w:rPr>
                <w:rFonts w:eastAsia="Times New Roman" w:cs="Arial"/>
                <w:color w:val="000000"/>
                <w:sz w:val="12"/>
                <w:szCs w:val="12"/>
                <w:lang w:eastAsia="en-GB"/>
              </w:rPr>
              <w:t xml:space="preserve">  (</w:t>
            </w:r>
            <w:proofErr w:type="gramEnd"/>
            <w:r w:rsidRPr="00A94BC3">
              <w:rPr>
                <w:rFonts w:eastAsia="Times New Roman" w:cs="Arial"/>
                <w:color w:val="000000"/>
                <w:sz w:val="12"/>
                <w:szCs w:val="12"/>
                <w:lang w:eastAsia="en-GB"/>
              </w:rPr>
              <w:t>3T)</w:t>
            </w:r>
          </w:p>
        </w:tc>
        <w:tc>
          <w:tcPr>
            <w:tcW w:w="663" w:type="dxa"/>
            <w:shd w:val="clear" w:color="auto" w:fill="FFFFFF" w:themeFill="background1"/>
            <w:noWrap/>
            <w:vAlign w:val="center"/>
            <w:hideMark/>
          </w:tcPr>
          <w:p w14:paraId="305E947A"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90 (4600)</w:t>
            </w:r>
          </w:p>
        </w:tc>
        <w:tc>
          <w:tcPr>
            <w:tcW w:w="463" w:type="dxa"/>
            <w:shd w:val="clear" w:color="auto" w:fill="FFFFFF" w:themeFill="background1"/>
            <w:noWrap/>
            <w:vAlign w:val="center"/>
            <w:hideMark/>
          </w:tcPr>
          <w:p w14:paraId="3772E4F6"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SS</w:t>
            </w:r>
          </w:p>
        </w:tc>
        <w:tc>
          <w:tcPr>
            <w:tcW w:w="1864" w:type="dxa"/>
            <w:shd w:val="clear" w:color="auto" w:fill="FFFFFF" w:themeFill="background1"/>
            <w:noWrap/>
            <w:vAlign w:val="center"/>
            <w:hideMark/>
          </w:tcPr>
          <w:p w14:paraId="4DC686A3"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Superman (head [T/R], 8]</w:t>
            </w:r>
          </w:p>
        </w:tc>
        <w:tc>
          <w:tcPr>
            <w:tcW w:w="1134" w:type="dxa"/>
            <w:shd w:val="clear" w:color="auto" w:fill="FFFFFF" w:themeFill="background1"/>
            <w:noWrap/>
            <w:vAlign w:val="center"/>
            <w:hideMark/>
          </w:tcPr>
          <w:p w14:paraId="5427E9D0"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 (¥)</w:t>
            </w:r>
          </w:p>
        </w:tc>
        <w:tc>
          <w:tcPr>
            <w:tcW w:w="1276" w:type="dxa"/>
            <w:shd w:val="clear" w:color="auto" w:fill="FFFFFF" w:themeFill="background1"/>
            <w:noWrap/>
            <w:vAlign w:val="center"/>
            <w:hideMark/>
          </w:tcPr>
          <w:p w14:paraId="1A41BF29"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1.09375x1.09375x4</w:t>
            </w:r>
          </w:p>
        </w:tc>
        <w:tc>
          <w:tcPr>
            <w:tcW w:w="850" w:type="dxa"/>
            <w:shd w:val="clear" w:color="auto" w:fill="FFFFFF" w:themeFill="background1"/>
            <w:noWrap/>
            <w:vAlign w:val="center"/>
            <w:hideMark/>
          </w:tcPr>
          <w:p w14:paraId="674F3F44"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3</w:t>
            </w:r>
          </w:p>
        </w:tc>
        <w:tc>
          <w:tcPr>
            <w:tcW w:w="1134" w:type="dxa"/>
            <w:shd w:val="clear" w:color="auto" w:fill="FFFFFF" w:themeFill="background1"/>
            <w:noWrap/>
            <w:vAlign w:val="center"/>
            <w:hideMark/>
          </w:tcPr>
          <w:p w14:paraId="663AF675"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1000 (32)</w:t>
            </w:r>
          </w:p>
        </w:tc>
        <w:tc>
          <w:tcPr>
            <w:tcW w:w="709" w:type="dxa"/>
            <w:shd w:val="clear" w:color="auto" w:fill="FFFFFF" w:themeFill="background1"/>
            <w:noWrap/>
            <w:vAlign w:val="center"/>
            <w:hideMark/>
          </w:tcPr>
          <w:p w14:paraId="7F0DCFC6" w14:textId="77777777" w:rsidR="009A77FE" w:rsidRPr="00A94BC3" w:rsidRDefault="009A77FE" w:rsidP="00DB1827">
            <w:pPr>
              <w:spacing w:line="240" w:lineRule="auto"/>
              <w:jc w:val="right"/>
              <w:rPr>
                <w:rFonts w:eastAsia="Times New Roman" w:cs="Arial"/>
                <w:sz w:val="12"/>
                <w:szCs w:val="12"/>
                <w:lang w:eastAsia="en-GB"/>
              </w:rPr>
            </w:pPr>
            <w:r w:rsidRPr="00A94BC3">
              <w:rPr>
                <w:rFonts w:eastAsia="Times New Roman" w:cs="Arial"/>
                <w:color w:val="000000"/>
                <w:sz w:val="12"/>
                <w:szCs w:val="12"/>
                <w:lang w:eastAsia="en-GB"/>
              </w:rPr>
              <w:t>¥</w:t>
            </w:r>
          </w:p>
        </w:tc>
        <w:tc>
          <w:tcPr>
            <w:tcW w:w="992" w:type="dxa"/>
            <w:shd w:val="clear" w:color="auto" w:fill="FFFFFF" w:themeFill="background1"/>
            <w:noWrap/>
            <w:vAlign w:val="center"/>
            <w:hideMark/>
          </w:tcPr>
          <w:p w14:paraId="4FE8E700"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20 (20) 6:14</w:t>
            </w:r>
          </w:p>
        </w:tc>
        <w:tc>
          <w:tcPr>
            <w:tcW w:w="1418" w:type="dxa"/>
            <w:shd w:val="clear" w:color="auto" w:fill="FFFFFF" w:themeFill="background1"/>
            <w:noWrap/>
            <w:vAlign w:val="center"/>
            <w:hideMark/>
          </w:tcPr>
          <w:p w14:paraId="34F2BF72"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27.5 (1.85) [21-35]</w:t>
            </w:r>
          </w:p>
        </w:tc>
      </w:tr>
      <w:tr w:rsidR="009A77FE" w:rsidRPr="00A94BC3" w14:paraId="72FD3157" w14:textId="77777777" w:rsidTr="00DB1827">
        <w:trPr>
          <w:trHeight w:val="340"/>
        </w:trPr>
        <w:tc>
          <w:tcPr>
            <w:tcW w:w="950" w:type="dxa"/>
            <w:shd w:val="clear" w:color="auto" w:fill="FFFFFF" w:themeFill="background1"/>
            <w:noWrap/>
            <w:vAlign w:val="center"/>
            <w:hideMark/>
          </w:tcPr>
          <w:p w14:paraId="2F5F0C8E" w14:textId="77777777" w:rsidR="009A77FE" w:rsidRPr="00A94BC3" w:rsidRDefault="009A77FE" w:rsidP="00DB1827">
            <w:pPr>
              <w:spacing w:line="240" w:lineRule="auto"/>
              <w:jc w:val="right"/>
              <w:rPr>
                <w:rFonts w:eastAsia="Times New Roman" w:cs="Arial"/>
                <w:color w:val="000000"/>
                <w:sz w:val="12"/>
                <w:szCs w:val="12"/>
                <w:lang w:eastAsia="en-GB"/>
              </w:rPr>
            </w:pPr>
            <w:proofErr w:type="spellStart"/>
            <w:r w:rsidRPr="00A94BC3">
              <w:rPr>
                <w:rFonts w:eastAsia="Times New Roman" w:cs="Arial"/>
                <w:color w:val="000000"/>
                <w:sz w:val="12"/>
                <w:szCs w:val="12"/>
                <w:lang w:eastAsia="en-GB"/>
              </w:rPr>
              <w:t>Kronlage</w:t>
            </w:r>
            <w:proofErr w:type="spellEnd"/>
            <w:r w:rsidRPr="00A94BC3">
              <w:rPr>
                <w:rFonts w:eastAsia="Times New Roman" w:cs="Arial"/>
                <w:color w:val="000000"/>
                <w:sz w:val="12"/>
                <w:szCs w:val="12"/>
                <w:lang w:eastAsia="en-GB"/>
              </w:rPr>
              <w:t xml:space="preserve"> 2017</w:t>
            </w:r>
            <w:r w:rsidRPr="00A94BC3">
              <w:rPr>
                <w:rFonts w:eastAsia="Times New Roman" w:cs="Arial"/>
                <w:color w:val="000000"/>
                <w:sz w:val="12"/>
                <w:szCs w:val="12"/>
                <w:lang w:eastAsia="en-GB"/>
              </w:rPr>
              <w:fldChar w:fldCharType="begin"/>
            </w:r>
            <w:r w:rsidRPr="00A94BC3">
              <w:rPr>
                <w:rFonts w:eastAsia="Times New Roman" w:cs="Arial"/>
                <w:color w:val="000000"/>
                <w:sz w:val="12"/>
                <w:szCs w:val="12"/>
                <w:lang w:eastAsia="en-GB"/>
              </w:rPr>
              <w:instrText xml:space="preserve"> ADDIN ZOTERO_ITEM CSL_CITATION {"citationID":"AEhbnuVk","properties":{"formattedCitation":"\\super 41\\nosupersub{}","plainCitation":"41","noteIndex":0},"citationItems":[{"id":24615,"uris":["http://zotero.org/users/7501526/items/JUY52CWJ"],"itemData":{"id":24615,"type":"article-journal","abstract":"PurposeThe aims of this study were to assess diagnostic accuracy of diffusion tensor imaging (DTI) in chronic inflammatory demyelinating polyneuropathy (CIDP), to correlate DTI with electrophysiological parameters, and to evaluate whether radial diffusivity (RD) and axial diffusivity (AD) might serv","container-title":"Investigative radiology","DOI":"10.1097/rli.0000000000000394","issue":"11","note":"publisher: Lippincott Williams and Wilkins","page":"701-707","title":"Diffusion Tensor Imaging in Chronic Inflammatory Demyelinating Polyneuropathy: Diagnostic Accuracy and Correlation With Electrophysiology.","volume":"52","author":[{"family":"Kronlage","given":"Moritz; Pitarokoili","suffix":"Kalliopi; Schwarz, Daniel; Godel, Tim; Heiland, Sabine; Yoon, Min-Suk; Bendszus, Martin; Bäumer, Philipp"}],"issued":{"date-parts":[["2017"]]}}}],"schema":"https://github.com/citation-style-language/schema/raw/master/csl-citation.json"} </w:instrText>
            </w:r>
            <w:r w:rsidRPr="00A94BC3">
              <w:rPr>
                <w:rFonts w:eastAsia="Times New Roman" w:cs="Arial"/>
                <w:color w:val="000000"/>
                <w:sz w:val="12"/>
                <w:szCs w:val="12"/>
                <w:lang w:eastAsia="en-GB"/>
              </w:rPr>
              <w:fldChar w:fldCharType="separate"/>
            </w:r>
            <w:r w:rsidRPr="00A94BC3">
              <w:rPr>
                <w:rFonts w:cs="Arial"/>
                <w:sz w:val="12"/>
                <w:szCs w:val="24"/>
                <w:vertAlign w:val="superscript"/>
              </w:rPr>
              <w:t>41</w:t>
            </w:r>
            <w:r w:rsidRPr="00A94BC3">
              <w:rPr>
                <w:rFonts w:eastAsia="Times New Roman" w:cs="Arial"/>
                <w:color w:val="000000"/>
                <w:sz w:val="12"/>
                <w:szCs w:val="12"/>
                <w:lang w:eastAsia="en-GB"/>
              </w:rPr>
              <w:fldChar w:fldCharType="end"/>
            </w:r>
          </w:p>
        </w:tc>
        <w:tc>
          <w:tcPr>
            <w:tcW w:w="864" w:type="dxa"/>
            <w:shd w:val="clear" w:color="auto" w:fill="FFFFFF" w:themeFill="background1"/>
            <w:noWrap/>
            <w:vAlign w:val="center"/>
            <w:hideMark/>
          </w:tcPr>
          <w:p w14:paraId="6C717D33"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 xml:space="preserve">Germany </w:t>
            </w:r>
          </w:p>
        </w:tc>
        <w:tc>
          <w:tcPr>
            <w:tcW w:w="1150" w:type="dxa"/>
            <w:shd w:val="clear" w:color="auto" w:fill="FFFFFF" w:themeFill="background1"/>
            <w:noWrap/>
            <w:vAlign w:val="center"/>
            <w:hideMark/>
          </w:tcPr>
          <w:p w14:paraId="58DCF0A8"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Siemens</w:t>
            </w:r>
          </w:p>
          <w:p w14:paraId="2F0942DC"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TIM-TRIO (3T)</w:t>
            </w:r>
          </w:p>
        </w:tc>
        <w:tc>
          <w:tcPr>
            <w:tcW w:w="663" w:type="dxa"/>
            <w:shd w:val="clear" w:color="auto" w:fill="FFFFFF" w:themeFill="background1"/>
            <w:noWrap/>
            <w:vAlign w:val="center"/>
            <w:hideMark/>
          </w:tcPr>
          <w:p w14:paraId="1156C5FF"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92.8 (4000)</w:t>
            </w:r>
          </w:p>
        </w:tc>
        <w:tc>
          <w:tcPr>
            <w:tcW w:w="463" w:type="dxa"/>
            <w:shd w:val="clear" w:color="auto" w:fill="FFFFFF" w:themeFill="background1"/>
            <w:noWrap/>
            <w:vAlign w:val="center"/>
            <w:hideMark/>
          </w:tcPr>
          <w:p w14:paraId="48F67378"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SS</w:t>
            </w:r>
          </w:p>
        </w:tc>
        <w:tc>
          <w:tcPr>
            <w:tcW w:w="1864" w:type="dxa"/>
            <w:shd w:val="clear" w:color="auto" w:fill="FFFFFF" w:themeFill="background1"/>
            <w:noWrap/>
            <w:vAlign w:val="center"/>
            <w:hideMark/>
          </w:tcPr>
          <w:p w14:paraId="31B8A666"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Superman (Flexible [R], 16)</w:t>
            </w:r>
          </w:p>
        </w:tc>
        <w:tc>
          <w:tcPr>
            <w:tcW w:w="1134" w:type="dxa"/>
            <w:shd w:val="clear" w:color="auto" w:fill="FFFFFF" w:themeFill="background1"/>
            <w:noWrap/>
            <w:vAlign w:val="center"/>
            <w:hideMark/>
          </w:tcPr>
          <w:p w14:paraId="13D46ECC"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GRAPPA (¥)</w:t>
            </w:r>
          </w:p>
        </w:tc>
        <w:tc>
          <w:tcPr>
            <w:tcW w:w="1276" w:type="dxa"/>
            <w:shd w:val="clear" w:color="auto" w:fill="FFFFFF" w:themeFill="background1"/>
            <w:noWrap/>
            <w:vAlign w:val="center"/>
            <w:hideMark/>
          </w:tcPr>
          <w:p w14:paraId="57AB567C"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1.25x1.25x4</w:t>
            </w:r>
          </w:p>
        </w:tc>
        <w:tc>
          <w:tcPr>
            <w:tcW w:w="850" w:type="dxa"/>
            <w:shd w:val="clear" w:color="auto" w:fill="FFFFFF" w:themeFill="background1"/>
            <w:noWrap/>
            <w:vAlign w:val="center"/>
            <w:hideMark/>
          </w:tcPr>
          <w:p w14:paraId="6321ACBC"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3</w:t>
            </w:r>
          </w:p>
        </w:tc>
        <w:tc>
          <w:tcPr>
            <w:tcW w:w="1134" w:type="dxa"/>
            <w:shd w:val="clear" w:color="auto" w:fill="FFFFFF" w:themeFill="background1"/>
            <w:noWrap/>
            <w:vAlign w:val="center"/>
            <w:hideMark/>
          </w:tcPr>
          <w:p w14:paraId="1DEC9266"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1000 (20)</w:t>
            </w:r>
          </w:p>
        </w:tc>
        <w:tc>
          <w:tcPr>
            <w:tcW w:w="709" w:type="dxa"/>
            <w:shd w:val="clear" w:color="auto" w:fill="FFFFFF" w:themeFill="background1"/>
            <w:noWrap/>
            <w:vAlign w:val="center"/>
            <w:hideMark/>
          </w:tcPr>
          <w:p w14:paraId="17B90E53"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1</w:t>
            </w:r>
          </w:p>
        </w:tc>
        <w:tc>
          <w:tcPr>
            <w:tcW w:w="992" w:type="dxa"/>
            <w:shd w:val="clear" w:color="auto" w:fill="FFFFFF" w:themeFill="background1"/>
            <w:noWrap/>
            <w:vAlign w:val="center"/>
            <w:hideMark/>
          </w:tcPr>
          <w:p w14:paraId="316753A1"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18 (18) 11:7</w:t>
            </w:r>
          </w:p>
        </w:tc>
        <w:tc>
          <w:tcPr>
            <w:tcW w:w="1418" w:type="dxa"/>
            <w:shd w:val="clear" w:color="auto" w:fill="FFFFFF" w:themeFill="background1"/>
            <w:noWrap/>
            <w:vAlign w:val="center"/>
            <w:hideMark/>
          </w:tcPr>
          <w:p w14:paraId="64001A48"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54.9 (13.3) [¥-¥]</w:t>
            </w:r>
          </w:p>
        </w:tc>
      </w:tr>
      <w:tr w:rsidR="009A77FE" w:rsidRPr="00A94BC3" w14:paraId="3ABE2594" w14:textId="77777777" w:rsidTr="00DB1827">
        <w:trPr>
          <w:trHeight w:val="340"/>
        </w:trPr>
        <w:tc>
          <w:tcPr>
            <w:tcW w:w="950" w:type="dxa"/>
            <w:shd w:val="clear" w:color="auto" w:fill="FFFFFF" w:themeFill="background1"/>
            <w:noWrap/>
            <w:vAlign w:val="center"/>
            <w:hideMark/>
          </w:tcPr>
          <w:p w14:paraId="765ADA1A"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Zhou 2012</w:t>
            </w:r>
            <w:r w:rsidRPr="00A94BC3">
              <w:rPr>
                <w:rFonts w:eastAsia="Times New Roman" w:cs="Arial"/>
                <w:color w:val="000000"/>
                <w:sz w:val="12"/>
                <w:szCs w:val="12"/>
                <w:lang w:eastAsia="en-GB"/>
              </w:rPr>
              <w:fldChar w:fldCharType="begin"/>
            </w:r>
            <w:r w:rsidRPr="00A94BC3">
              <w:rPr>
                <w:rFonts w:eastAsia="Times New Roman" w:cs="Arial"/>
                <w:color w:val="000000"/>
                <w:sz w:val="12"/>
                <w:szCs w:val="12"/>
                <w:lang w:eastAsia="en-GB"/>
              </w:rPr>
              <w:instrText xml:space="preserve"> ADDIN ZOTERO_ITEM CSL_CITATION {"citationID":"aP7Qtryo","properties":{"formattedCitation":"\\super 49\\nosupersub{}","plainCitation":"49","noteIndex":0},"citationItems":[{"id":24604,"uris":["http://zotero.org/users/7501526/items/8VHSCLAR"],"itemData":{"id":24604,"type":"article-journal","abstract":"Purpose:\nTo implement a diffusion tensor imaging (DTI) protocol for visualization of peripheral nerves in human forearm.\n\nMaterials and Methods:\nThis Health Insurance Portability and Accountability Act (HIPAA)-compliant study was approved by our Institutional Review Board and written informed consent was obtained from 10 healthy participants. T1- and T2-weighted turbo spin echo with fat saturation, short tau inversion recovery (STIR), and DTI sequences with 21 diffusion-encoding directions were implemented to acquire images of the forearm nerves with an 8 channel knee coil on a 3T MRI scanner. Identification of the nerves was based on T1-weighted, T2-weighted, STIR, and DTI-derived fractional anisotropy (FA) images. Maps of the DTI-derived indices, FA, mean diffusivity (MD), longitudinal diffusivity (λ//), and radial diffusivity (λ</w:instrText>
            </w:r>
            <w:r w:rsidRPr="00A94BC3">
              <w:rPr>
                <w:rFonts w:ascii="Segoe UI Symbol" w:eastAsia="Times New Roman" w:hAnsi="Segoe UI Symbol" w:cs="Segoe UI Symbol"/>
                <w:color w:val="000000"/>
                <w:sz w:val="12"/>
                <w:szCs w:val="12"/>
                <w:lang w:eastAsia="en-GB"/>
              </w:rPr>
              <w:instrText>⟂</w:instrText>
            </w:r>
            <w:r w:rsidRPr="00A94BC3">
              <w:rPr>
                <w:rFonts w:eastAsia="Times New Roman" w:cs="Arial"/>
                <w:color w:val="000000"/>
                <w:sz w:val="12"/>
                <w:szCs w:val="12"/>
                <w:lang w:eastAsia="en-GB"/>
              </w:rPr>
              <w:instrText xml:space="preserve">) along the length of the nerves were generated.\n\nResults:\nDTI-derived maps delineated the forearm nerves more clearly than images acquired with other sequences. Only ulnar and median nerves were clearly visualized on the DTI-derived FA maps. No significant differences were observed between the left and right forearms in any of the DTI-derived measures. Significant variation in the DTI measures was observed along the length of the nerve. Significant differences in the DTI measures were also observed between the median and ulnar nerves.\n\nConclusion:\nDTI is superior in visualizing the median and ulnar nerves in the human forearm. The normative data could potentially help distinguish normal from diseased nerves. J. Magn. Reson. Imaging 2012;36:920–927. © 2012 Wiley Periodicals, Inc.","container-title":"Journal of magnetic resonance imaging : JMRI","DOI":"10.1002/jmri.23709","issue":"4","note":"publisher: John Wiley and Sons Inc.","page":"920-927","title":"Diffusion tensor imaging of forearm nerves in humans.","volume":"36","author":[{"family":"Zhou","given":"Yuxiang; Kumaravel","suffix":"Manickam; Patel, Vipulkumar S.; Sheikh, Kazim A.; Narayana, Ponnada A."}],"issued":{"date-parts":[["2012"]]}}}],"schema":"https://github.com/citation-style-language/schema/raw/master/csl-citation.json"} </w:instrText>
            </w:r>
            <w:r w:rsidRPr="00A94BC3">
              <w:rPr>
                <w:rFonts w:eastAsia="Times New Roman" w:cs="Arial"/>
                <w:color w:val="000000"/>
                <w:sz w:val="12"/>
                <w:szCs w:val="12"/>
                <w:lang w:eastAsia="en-GB"/>
              </w:rPr>
              <w:fldChar w:fldCharType="separate"/>
            </w:r>
            <w:r w:rsidRPr="00A94BC3">
              <w:rPr>
                <w:rFonts w:cs="Arial"/>
                <w:sz w:val="12"/>
                <w:szCs w:val="24"/>
                <w:vertAlign w:val="superscript"/>
              </w:rPr>
              <w:t>49</w:t>
            </w:r>
            <w:r w:rsidRPr="00A94BC3">
              <w:rPr>
                <w:rFonts w:eastAsia="Times New Roman" w:cs="Arial"/>
                <w:color w:val="000000"/>
                <w:sz w:val="12"/>
                <w:szCs w:val="12"/>
                <w:lang w:eastAsia="en-GB"/>
              </w:rPr>
              <w:fldChar w:fldCharType="end"/>
            </w:r>
          </w:p>
        </w:tc>
        <w:tc>
          <w:tcPr>
            <w:tcW w:w="864" w:type="dxa"/>
            <w:shd w:val="clear" w:color="auto" w:fill="FFFFFF" w:themeFill="background1"/>
            <w:noWrap/>
            <w:vAlign w:val="center"/>
            <w:hideMark/>
          </w:tcPr>
          <w:p w14:paraId="166E0F42"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USA</w:t>
            </w:r>
          </w:p>
        </w:tc>
        <w:tc>
          <w:tcPr>
            <w:tcW w:w="1150" w:type="dxa"/>
            <w:shd w:val="clear" w:color="auto" w:fill="FFFFFF" w:themeFill="background1"/>
            <w:noWrap/>
            <w:vAlign w:val="center"/>
            <w:hideMark/>
          </w:tcPr>
          <w:p w14:paraId="174C1B8A"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Philips</w:t>
            </w:r>
          </w:p>
          <w:p w14:paraId="5DC93853" w14:textId="77777777" w:rsidR="009A77FE" w:rsidRPr="00A94BC3" w:rsidRDefault="009A77FE" w:rsidP="00DB1827">
            <w:pPr>
              <w:spacing w:line="240" w:lineRule="auto"/>
              <w:jc w:val="right"/>
              <w:rPr>
                <w:rFonts w:eastAsia="Times New Roman" w:cs="Arial"/>
                <w:color w:val="000000"/>
                <w:sz w:val="12"/>
                <w:szCs w:val="12"/>
                <w:lang w:eastAsia="en-GB"/>
              </w:rPr>
            </w:pPr>
            <w:proofErr w:type="spellStart"/>
            <w:r w:rsidRPr="00A94BC3">
              <w:rPr>
                <w:rFonts w:eastAsia="Times New Roman" w:cs="Arial"/>
                <w:color w:val="000000"/>
                <w:sz w:val="12"/>
                <w:szCs w:val="12"/>
                <w:lang w:eastAsia="en-GB"/>
              </w:rPr>
              <w:t>Achieva</w:t>
            </w:r>
            <w:proofErr w:type="spellEnd"/>
            <w:r w:rsidRPr="00A94BC3">
              <w:rPr>
                <w:rFonts w:eastAsia="Times New Roman" w:cs="Arial"/>
                <w:color w:val="000000"/>
                <w:sz w:val="12"/>
                <w:szCs w:val="12"/>
                <w:lang w:eastAsia="en-GB"/>
              </w:rPr>
              <w:t xml:space="preserve"> (3T) </w:t>
            </w:r>
          </w:p>
        </w:tc>
        <w:tc>
          <w:tcPr>
            <w:tcW w:w="663" w:type="dxa"/>
            <w:shd w:val="clear" w:color="auto" w:fill="FFFFFF" w:themeFill="background1"/>
            <w:noWrap/>
            <w:vAlign w:val="center"/>
            <w:hideMark/>
          </w:tcPr>
          <w:p w14:paraId="0B82B507"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65 (7200)</w:t>
            </w:r>
          </w:p>
        </w:tc>
        <w:tc>
          <w:tcPr>
            <w:tcW w:w="463" w:type="dxa"/>
            <w:shd w:val="clear" w:color="auto" w:fill="FFFFFF" w:themeFill="background1"/>
            <w:noWrap/>
            <w:vAlign w:val="center"/>
            <w:hideMark/>
          </w:tcPr>
          <w:p w14:paraId="30677E19"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SS</w:t>
            </w:r>
          </w:p>
        </w:tc>
        <w:tc>
          <w:tcPr>
            <w:tcW w:w="1864" w:type="dxa"/>
            <w:shd w:val="clear" w:color="auto" w:fill="FFFFFF" w:themeFill="background1"/>
            <w:noWrap/>
            <w:vAlign w:val="center"/>
            <w:hideMark/>
          </w:tcPr>
          <w:p w14:paraId="0D5D5389"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Superman (Knee [T/R], 8)</w:t>
            </w:r>
          </w:p>
        </w:tc>
        <w:tc>
          <w:tcPr>
            <w:tcW w:w="1134" w:type="dxa"/>
            <w:shd w:val="clear" w:color="auto" w:fill="FFFFFF" w:themeFill="background1"/>
            <w:noWrap/>
            <w:vAlign w:val="center"/>
            <w:hideMark/>
          </w:tcPr>
          <w:p w14:paraId="505A6910"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SENSE (¥)</w:t>
            </w:r>
          </w:p>
        </w:tc>
        <w:tc>
          <w:tcPr>
            <w:tcW w:w="1276" w:type="dxa"/>
            <w:shd w:val="clear" w:color="auto" w:fill="FFFFFF" w:themeFill="background1"/>
            <w:noWrap/>
            <w:vAlign w:val="center"/>
            <w:hideMark/>
          </w:tcPr>
          <w:p w14:paraId="377D70CA"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1.8x1.8x3</w:t>
            </w:r>
          </w:p>
        </w:tc>
        <w:tc>
          <w:tcPr>
            <w:tcW w:w="850" w:type="dxa"/>
            <w:shd w:val="clear" w:color="auto" w:fill="FFFFFF" w:themeFill="background1"/>
            <w:noWrap/>
            <w:vAlign w:val="center"/>
            <w:hideMark/>
          </w:tcPr>
          <w:p w14:paraId="625CD763"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2</w:t>
            </w:r>
          </w:p>
        </w:tc>
        <w:tc>
          <w:tcPr>
            <w:tcW w:w="1134" w:type="dxa"/>
            <w:shd w:val="clear" w:color="auto" w:fill="FFFFFF" w:themeFill="background1"/>
            <w:noWrap/>
            <w:vAlign w:val="center"/>
            <w:hideMark/>
          </w:tcPr>
          <w:p w14:paraId="1EBFE149"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1000 (21)</w:t>
            </w:r>
          </w:p>
        </w:tc>
        <w:tc>
          <w:tcPr>
            <w:tcW w:w="709" w:type="dxa"/>
            <w:shd w:val="clear" w:color="auto" w:fill="FFFFFF" w:themeFill="background1"/>
            <w:noWrap/>
            <w:vAlign w:val="center"/>
            <w:hideMark/>
          </w:tcPr>
          <w:p w14:paraId="42326BB6"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 ¥</w:t>
            </w:r>
          </w:p>
        </w:tc>
        <w:tc>
          <w:tcPr>
            <w:tcW w:w="992" w:type="dxa"/>
            <w:shd w:val="clear" w:color="auto" w:fill="FFFFFF" w:themeFill="background1"/>
            <w:noWrap/>
            <w:vAlign w:val="center"/>
            <w:hideMark/>
          </w:tcPr>
          <w:p w14:paraId="235AF5D1"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10 (20) 5:5</w:t>
            </w:r>
          </w:p>
        </w:tc>
        <w:tc>
          <w:tcPr>
            <w:tcW w:w="1418" w:type="dxa"/>
            <w:shd w:val="clear" w:color="auto" w:fill="FFFFFF" w:themeFill="background1"/>
            <w:noWrap/>
            <w:vAlign w:val="center"/>
            <w:hideMark/>
          </w:tcPr>
          <w:p w14:paraId="73951E73"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26.5 (3.23) [22-32]</w:t>
            </w:r>
          </w:p>
        </w:tc>
      </w:tr>
      <w:tr w:rsidR="009A77FE" w:rsidRPr="00A94BC3" w14:paraId="4C986A29" w14:textId="77777777" w:rsidTr="00DB1827">
        <w:trPr>
          <w:trHeight w:val="340"/>
        </w:trPr>
        <w:tc>
          <w:tcPr>
            <w:tcW w:w="950" w:type="dxa"/>
            <w:shd w:val="clear" w:color="auto" w:fill="FFFFFF" w:themeFill="background1"/>
            <w:noWrap/>
            <w:vAlign w:val="center"/>
            <w:hideMark/>
          </w:tcPr>
          <w:p w14:paraId="2BB465B9" w14:textId="77777777" w:rsidR="009A77FE" w:rsidRPr="00A94BC3" w:rsidRDefault="009A77FE" w:rsidP="00DB1827">
            <w:pPr>
              <w:spacing w:line="240" w:lineRule="auto"/>
              <w:jc w:val="right"/>
              <w:rPr>
                <w:rFonts w:eastAsia="Times New Roman" w:cs="Arial"/>
                <w:color w:val="000000"/>
                <w:sz w:val="12"/>
                <w:szCs w:val="12"/>
                <w:lang w:eastAsia="en-GB"/>
              </w:rPr>
            </w:pPr>
            <w:proofErr w:type="spellStart"/>
            <w:r w:rsidRPr="00A94BC3">
              <w:rPr>
                <w:rFonts w:eastAsia="Times New Roman" w:cs="Arial"/>
                <w:color w:val="000000"/>
                <w:sz w:val="12"/>
                <w:szCs w:val="12"/>
                <w:lang w:eastAsia="en-GB"/>
              </w:rPr>
              <w:t>Jambawalikar</w:t>
            </w:r>
            <w:proofErr w:type="spellEnd"/>
            <w:r w:rsidRPr="00A94BC3">
              <w:rPr>
                <w:rFonts w:eastAsia="Times New Roman" w:cs="Arial"/>
                <w:color w:val="000000"/>
                <w:sz w:val="12"/>
                <w:szCs w:val="12"/>
                <w:lang w:eastAsia="en-GB"/>
              </w:rPr>
              <w:t xml:space="preserve"> 2010</w:t>
            </w:r>
            <w:r w:rsidRPr="00A94BC3">
              <w:rPr>
                <w:rFonts w:eastAsia="Times New Roman" w:cs="Arial"/>
                <w:color w:val="000000"/>
                <w:sz w:val="12"/>
                <w:szCs w:val="12"/>
                <w:lang w:eastAsia="en-GB"/>
              </w:rPr>
              <w:fldChar w:fldCharType="begin"/>
            </w:r>
            <w:r w:rsidRPr="00A94BC3">
              <w:rPr>
                <w:rFonts w:eastAsia="Times New Roman" w:cs="Arial"/>
                <w:color w:val="000000"/>
                <w:sz w:val="12"/>
                <w:szCs w:val="12"/>
                <w:lang w:eastAsia="en-GB"/>
              </w:rPr>
              <w:instrText xml:space="preserve"> ADDIN ZOTERO_ITEM CSL_CITATION {"citationID":"NlpnlkMw","properties":{"formattedCitation":"\\super 45\\nosupersub{}","plainCitation":"45","noteIndex":0},"citationItems":[{"id":24613,"uris":["http://zotero.org/users/7501526/items/ZFK6ZLGF"],"itemData":{"id":24613,"type":"article-journal","abstract":"Magnetic resonance diffusion tensor imaging (DTI) allows the directional dependence of water diffusion to be studied. Analysis of the resulting image data allows for the determination of fractional anisotropy (FA), apparent diffusion coefficient (ADC), as well as allowing three-dimensional visualization of the fiber tract (tractography). We visualized the ulnar nerve of ten healthy volunteers with DTI. We found FA to be 0.752 ± 0.067 and the ADC to be 0.96 ± 0.13 × 10−3 mm2/s. A nuts-and-bolts description of the physical aspects of DTI is provided as an educational process for readers.","container-title":"Skeletal radiology","DOI":"10.1007/s00256-010-0974-5","issue":"11","note":"publisher: Springer Verlag","page":"1073-1079","title":"Diffusion tensor imaging of peripheral nerves.","volume":"39","author":[{"family":"Jambawalikar","given":"Sachin; Baum","suffix":"Jeremy; Button, Terry M.; Li, Haifang; Geronimo, Veronica; Gould, Elaine S."}],"issued":{"date-parts":[["2010"]]}}}],"schema":"https://github.com/citation-style-language/schema/raw/master/csl-citation.json"} </w:instrText>
            </w:r>
            <w:r w:rsidRPr="00A94BC3">
              <w:rPr>
                <w:rFonts w:eastAsia="Times New Roman" w:cs="Arial"/>
                <w:color w:val="000000"/>
                <w:sz w:val="12"/>
                <w:szCs w:val="12"/>
                <w:lang w:eastAsia="en-GB"/>
              </w:rPr>
              <w:fldChar w:fldCharType="separate"/>
            </w:r>
            <w:r w:rsidRPr="00A94BC3">
              <w:rPr>
                <w:rFonts w:cs="Arial"/>
                <w:sz w:val="12"/>
                <w:szCs w:val="24"/>
                <w:vertAlign w:val="superscript"/>
              </w:rPr>
              <w:t>45</w:t>
            </w:r>
            <w:r w:rsidRPr="00A94BC3">
              <w:rPr>
                <w:rFonts w:eastAsia="Times New Roman" w:cs="Arial"/>
                <w:color w:val="000000"/>
                <w:sz w:val="12"/>
                <w:szCs w:val="12"/>
                <w:lang w:eastAsia="en-GB"/>
              </w:rPr>
              <w:fldChar w:fldCharType="end"/>
            </w:r>
          </w:p>
        </w:tc>
        <w:tc>
          <w:tcPr>
            <w:tcW w:w="864" w:type="dxa"/>
            <w:shd w:val="clear" w:color="auto" w:fill="FFFFFF" w:themeFill="background1"/>
            <w:noWrap/>
            <w:vAlign w:val="center"/>
            <w:hideMark/>
          </w:tcPr>
          <w:p w14:paraId="42AF4492"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USA</w:t>
            </w:r>
          </w:p>
        </w:tc>
        <w:tc>
          <w:tcPr>
            <w:tcW w:w="1150" w:type="dxa"/>
            <w:shd w:val="clear" w:color="auto" w:fill="FFFFFF" w:themeFill="background1"/>
            <w:noWrap/>
            <w:vAlign w:val="center"/>
            <w:hideMark/>
          </w:tcPr>
          <w:p w14:paraId="58E67120"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Philips</w:t>
            </w:r>
          </w:p>
          <w:p w14:paraId="1B8EBB88"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 (3T)</w:t>
            </w:r>
          </w:p>
        </w:tc>
        <w:tc>
          <w:tcPr>
            <w:tcW w:w="663" w:type="dxa"/>
            <w:shd w:val="clear" w:color="auto" w:fill="FFFFFF" w:themeFill="background1"/>
            <w:noWrap/>
            <w:vAlign w:val="center"/>
            <w:hideMark/>
          </w:tcPr>
          <w:p w14:paraId="4DBD2141"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69 (5300)</w:t>
            </w:r>
          </w:p>
        </w:tc>
        <w:tc>
          <w:tcPr>
            <w:tcW w:w="463" w:type="dxa"/>
            <w:shd w:val="clear" w:color="auto" w:fill="FFFFFF" w:themeFill="background1"/>
            <w:noWrap/>
            <w:vAlign w:val="center"/>
            <w:hideMark/>
          </w:tcPr>
          <w:p w14:paraId="6BB19413"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SS</w:t>
            </w:r>
          </w:p>
        </w:tc>
        <w:tc>
          <w:tcPr>
            <w:tcW w:w="1864" w:type="dxa"/>
            <w:shd w:val="clear" w:color="auto" w:fill="FFFFFF" w:themeFill="background1"/>
            <w:noWrap/>
            <w:vAlign w:val="center"/>
            <w:hideMark/>
          </w:tcPr>
          <w:p w14:paraId="168A9876"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Superman (Knee [T/R], 8)</w:t>
            </w:r>
          </w:p>
        </w:tc>
        <w:tc>
          <w:tcPr>
            <w:tcW w:w="1134" w:type="dxa"/>
            <w:shd w:val="clear" w:color="auto" w:fill="FFFFFF" w:themeFill="background1"/>
            <w:noWrap/>
            <w:vAlign w:val="center"/>
            <w:hideMark/>
          </w:tcPr>
          <w:p w14:paraId="5E07AE92"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 (¥)</w:t>
            </w:r>
          </w:p>
        </w:tc>
        <w:tc>
          <w:tcPr>
            <w:tcW w:w="1276" w:type="dxa"/>
            <w:shd w:val="clear" w:color="auto" w:fill="FFFFFF" w:themeFill="background1"/>
            <w:noWrap/>
            <w:vAlign w:val="center"/>
            <w:hideMark/>
          </w:tcPr>
          <w:p w14:paraId="67C110B8"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1.25x1.25x4</w:t>
            </w:r>
          </w:p>
        </w:tc>
        <w:tc>
          <w:tcPr>
            <w:tcW w:w="850" w:type="dxa"/>
            <w:shd w:val="clear" w:color="auto" w:fill="FFFFFF" w:themeFill="background1"/>
            <w:noWrap/>
            <w:vAlign w:val="center"/>
            <w:hideMark/>
          </w:tcPr>
          <w:p w14:paraId="74AB6272"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2</w:t>
            </w:r>
          </w:p>
        </w:tc>
        <w:tc>
          <w:tcPr>
            <w:tcW w:w="1134" w:type="dxa"/>
            <w:shd w:val="clear" w:color="auto" w:fill="FFFFFF" w:themeFill="background1"/>
            <w:noWrap/>
            <w:vAlign w:val="center"/>
            <w:hideMark/>
          </w:tcPr>
          <w:p w14:paraId="6DEC9610"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1000 (6)</w:t>
            </w:r>
          </w:p>
        </w:tc>
        <w:tc>
          <w:tcPr>
            <w:tcW w:w="709" w:type="dxa"/>
            <w:shd w:val="clear" w:color="auto" w:fill="FFFFFF" w:themeFill="background1"/>
            <w:noWrap/>
            <w:vAlign w:val="center"/>
            <w:hideMark/>
          </w:tcPr>
          <w:p w14:paraId="2845DE52"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 ¥</w:t>
            </w:r>
          </w:p>
        </w:tc>
        <w:tc>
          <w:tcPr>
            <w:tcW w:w="992" w:type="dxa"/>
            <w:shd w:val="clear" w:color="auto" w:fill="FFFFFF" w:themeFill="background1"/>
            <w:noWrap/>
            <w:vAlign w:val="center"/>
            <w:hideMark/>
          </w:tcPr>
          <w:p w14:paraId="1B6EC908"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10 (10) 8:2</w:t>
            </w:r>
          </w:p>
        </w:tc>
        <w:tc>
          <w:tcPr>
            <w:tcW w:w="1418" w:type="dxa"/>
            <w:shd w:val="clear" w:color="auto" w:fill="FFFFFF" w:themeFill="background1"/>
            <w:noWrap/>
            <w:vAlign w:val="center"/>
            <w:hideMark/>
          </w:tcPr>
          <w:p w14:paraId="0422F833"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30.3 (4.85) [24-39]</w:t>
            </w:r>
          </w:p>
        </w:tc>
      </w:tr>
      <w:tr w:rsidR="009A77FE" w:rsidRPr="00A94BC3" w14:paraId="388C8A09" w14:textId="77777777" w:rsidTr="00DB1827">
        <w:trPr>
          <w:trHeight w:val="340"/>
        </w:trPr>
        <w:tc>
          <w:tcPr>
            <w:tcW w:w="950" w:type="dxa"/>
            <w:shd w:val="clear" w:color="auto" w:fill="FFFFFF" w:themeFill="background1"/>
            <w:noWrap/>
            <w:vAlign w:val="center"/>
            <w:hideMark/>
          </w:tcPr>
          <w:p w14:paraId="0E2D7220"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Stein 2009</w:t>
            </w:r>
            <w:r w:rsidRPr="00A94BC3">
              <w:rPr>
                <w:rFonts w:eastAsia="Times New Roman" w:cs="Arial"/>
                <w:color w:val="000000"/>
                <w:sz w:val="12"/>
                <w:szCs w:val="12"/>
                <w:lang w:eastAsia="en-GB"/>
              </w:rPr>
              <w:fldChar w:fldCharType="begin"/>
            </w:r>
            <w:r w:rsidRPr="00A94BC3">
              <w:rPr>
                <w:rFonts w:eastAsia="Times New Roman" w:cs="Arial"/>
                <w:color w:val="000000"/>
                <w:sz w:val="12"/>
                <w:szCs w:val="12"/>
                <w:lang w:eastAsia="en-GB"/>
              </w:rPr>
              <w:instrText xml:space="preserve"> ADDIN ZOTERO_ITEM CSL_CITATION {"citationID":"44kIGeT3","properties":{"formattedCitation":"\\super 52\\nosupersub{}","plainCitation":"52","noteIndex":0},"citationItems":[{"id":24620,"uris":["http://zotero.org/users/7501526/items/F68JVXFS"],"itemData":{"id":24620,"type":"article-journal","abstract":"Purpose\n\nTo determine if diffusion tensor imaging (DTI) of the median nerve could allow identification of patients with carpal tunnel syndrome (CTS).\n\n\nMaterials and Methods\n\nA total of 13 healthy subjects and 9 CTS patients were scanned on a 3T magnetic resonance imaging (MRI) scanner. The MRI protocol included a DTI sequence from which the fractional anisotropy (FA), apparent diffusion coefficient (ADC), and the parallel and radial diffusivities could be extracted. Those parameters were quantified at different locations along the median nerve (proximal to the carpal tunnel, within the carpal tunnel, and distal to the carpal tunnel).\n\n\nResults\n\nAt the carpal tunnel, the FA, radial diffusivity, and ADC differed significantly between healthy subjects and CTS patients (P &lt; 0.0002). This highly significant difference between the two groups was due to an opposite trend of changes in the DTI indices between the proximal to the carpal tunnel and within the carpal tunnel locations. In healthy subjects the FA increased (+20%, P &lt; 0.001) and the radial diffusivity and ADC decreased (by −15% and −8%, respectively, P &lt; 0.05) between the proximal to the carpal tunnel and within the carpal tunnel locations. In CTS subjects the FA decreased (by −21%, P &lt; 0.05) and the radial diffusivity increased (by +23%, P &lt; 0.01) between the proximal to the carpal tunnel and within the carpal tunnel locations.\n\n\nConclusion\n\nDTI enables visualization and characterization of the median nerve in healthy subjects and CTS patients. DTI indices show clear-cut discrimination between the two groups and in fact enables the of use DTI in the diagnosis of CTS.","container-title":"Journal of magnetic resonance imaging : JMRI","DOI":"10.1002/jmri.21553","issue":"3","note":"publisher: John Wiley and Sons Inc.","page":"657-662","title":"Diffusion tensor imaging of the median nerve in healthy and carpal tunnel syndrome subjects.","volume":"29","author":[{"family":"Stein","given":"Daniel; Neufeld","suffix":"Arnon; Pasternak, Ofer; Graif, Moshe; Patish, Hagar; Schwimmer, Etti; Ziv, Efrat; Assaf, Yaniv"}],"issued":{"date-parts":[["2009"]]}}}],"schema":"https://github.com/citation-style-language/schema/raw/master/csl-citation.json"} </w:instrText>
            </w:r>
            <w:r w:rsidRPr="00A94BC3">
              <w:rPr>
                <w:rFonts w:eastAsia="Times New Roman" w:cs="Arial"/>
                <w:color w:val="000000"/>
                <w:sz w:val="12"/>
                <w:szCs w:val="12"/>
                <w:lang w:eastAsia="en-GB"/>
              </w:rPr>
              <w:fldChar w:fldCharType="separate"/>
            </w:r>
            <w:r w:rsidRPr="00A94BC3">
              <w:rPr>
                <w:rFonts w:cs="Arial"/>
                <w:sz w:val="12"/>
                <w:szCs w:val="24"/>
                <w:vertAlign w:val="superscript"/>
              </w:rPr>
              <w:t>52</w:t>
            </w:r>
            <w:r w:rsidRPr="00A94BC3">
              <w:rPr>
                <w:rFonts w:eastAsia="Times New Roman" w:cs="Arial"/>
                <w:color w:val="000000"/>
                <w:sz w:val="12"/>
                <w:szCs w:val="12"/>
                <w:lang w:eastAsia="en-GB"/>
              </w:rPr>
              <w:fldChar w:fldCharType="end"/>
            </w:r>
          </w:p>
        </w:tc>
        <w:tc>
          <w:tcPr>
            <w:tcW w:w="864" w:type="dxa"/>
            <w:shd w:val="clear" w:color="auto" w:fill="FFFFFF" w:themeFill="background1"/>
            <w:noWrap/>
            <w:vAlign w:val="center"/>
            <w:hideMark/>
          </w:tcPr>
          <w:p w14:paraId="007FF731"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 xml:space="preserve">Israel </w:t>
            </w:r>
          </w:p>
        </w:tc>
        <w:tc>
          <w:tcPr>
            <w:tcW w:w="1150" w:type="dxa"/>
            <w:shd w:val="clear" w:color="auto" w:fill="FFFFFF" w:themeFill="background1"/>
            <w:noWrap/>
            <w:vAlign w:val="center"/>
            <w:hideMark/>
          </w:tcPr>
          <w:p w14:paraId="483AC3CE"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 xml:space="preserve">GE Signa </w:t>
            </w:r>
          </w:p>
        </w:tc>
        <w:tc>
          <w:tcPr>
            <w:tcW w:w="663" w:type="dxa"/>
            <w:shd w:val="clear" w:color="auto" w:fill="FFFFFF" w:themeFill="background1"/>
            <w:noWrap/>
            <w:vAlign w:val="center"/>
            <w:hideMark/>
          </w:tcPr>
          <w:p w14:paraId="117687BD"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81 (10,000)</w:t>
            </w:r>
          </w:p>
        </w:tc>
        <w:tc>
          <w:tcPr>
            <w:tcW w:w="463" w:type="dxa"/>
            <w:shd w:val="clear" w:color="auto" w:fill="FFFFFF" w:themeFill="background1"/>
            <w:noWrap/>
            <w:vAlign w:val="center"/>
            <w:hideMark/>
          </w:tcPr>
          <w:p w14:paraId="0B420AB2"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SS</w:t>
            </w:r>
          </w:p>
        </w:tc>
        <w:tc>
          <w:tcPr>
            <w:tcW w:w="1864" w:type="dxa"/>
            <w:shd w:val="clear" w:color="auto" w:fill="FFFFFF" w:themeFill="background1"/>
            <w:noWrap/>
            <w:vAlign w:val="center"/>
            <w:hideMark/>
          </w:tcPr>
          <w:p w14:paraId="7FA10881"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cs="Arial"/>
                <w:sz w:val="12"/>
                <w:szCs w:val="12"/>
              </w:rPr>
              <w:t>¥</w:t>
            </w:r>
            <w:r w:rsidRPr="00A94BC3">
              <w:rPr>
                <w:rFonts w:eastAsia="Times New Roman" w:cs="Arial"/>
                <w:color w:val="000000"/>
                <w:sz w:val="12"/>
                <w:szCs w:val="12"/>
                <w:lang w:eastAsia="en-GB"/>
              </w:rPr>
              <w:t xml:space="preserve"> (</w:t>
            </w:r>
            <w:r w:rsidRPr="00A94BC3">
              <w:rPr>
                <w:rFonts w:cs="Arial"/>
                <w:sz w:val="12"/>
                <w:szCs w:val="12"/>
              </w:rPr>
              <w:t>¥</w:t>
            </w:r>
            <w:r w:rsidRPr="00A94BC3">
              <w:rPr>
                <w:rFonts w:eastAsia="Times New Roman" w:cs="Arial"/>
                <w:color w:val="000000"/>
                <w:sz w:val="12"/>
                <w:szCs w:val="12"/>
                <w:lang w:eastAsia="en-GB"/>
              </w:rPr>
              <w:t>,</w:t>
            </w:r>
            <w:r w:rsidRPr="00A94BC3">
              <w:rPr>
                <w:rFonts w:cs="Arial"/>
                <w:sz w:val="12"/>
                <w:szCs w:val="12"/>
              </w:rPr>
              <w:t>¥</w:t>
            </w:r>
            <w:r w:rsidRPr="00A94BC3">
              <w:rPr>
                <w:rFonts w:eastAsia="Times New Roman" w:cs="Arial"/>
                <w:color w:val="000000"/>
                <w:sz w:val="12"/>
                <w:szCs w:val="12"/>
                <w:lang w:eastAsia="en-GB"/>
              </w:rPr>
              <w:t>)</w:t>
            </w:r>
          </w:p>
        </w:tc>
        <w:tc>
          <w:tcPr>
            <w:tcW w:w="1134" w:type="dxa"/>
            <w:shd w:val="clear" w:color="auto" w:fill="FFFFFF" w:themeFill="background1"/>
            <w:noWrap/>
            <w:vAlign w:val="center"/>
            <w:hideMark/>
          </w:tcPr>
          <w:p w14:paraId="5FD045C1"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 (¥)</w:t>
            </w:r>
          </w:p>
        </w:tc>
        <w:tc>
          <w:tcPr>
            <w:tcW w:w="1276" w:type="dxa"/>
            <w:shd w:val="clear" w:color="auto" w:fill="FFFFFF" w:themeFill="background1"/>
            <w:noWrap/>
            <w:vAlign w:val="center"/>
            <w:hideMark/>
          </w:tcPr>
          <w:p w14:paraId="5410F7EB"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 x1.09x3</w:t>
            </w:r>
          </w:p>
        </w:tc>
        <w:tc>
          <w:tcPr>
            <w:tcW w:w="850" w:type="dxa"/>
            <w:shd w:val="clear" w:color="auto" w:fill="FFFFFF" w:themeFill="background1"/>
            <w:noWrap/>
            <w:vAlign w:val="center"/>
            <w:hideMark/>
          </w:tcPr>
          <w:p w14:paraId="2A03E769"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2</w:t>
            </w:r>
          </w:p>
        </w:tc>
        <w:tc>
          <w:tcPr>
            <w:tcW w:w="1134" w:type="dxa"/>
            <w:shd w:val="clear" w:color="auto" w:fill="FFFFFF" w:themeFill="background1"/>
            <w:noWrap/>
            <w:vAlign w:val="center"/>
            <w:hideMark/>
          </w:tcPr>
          <w:p w14:paraId="72D17657"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1000 (6)</w:t>
            </w:r>
          </w:p>
        </w:tc>
        <w:tc>
          <w:tcPr>
            <w:tcW w:w="709" w:type="dxa"/>
            <w:shd w:val="clear" w:color="auto" w:fill="FFFFFF" w:themeFill="background1"/>
            <w:noWrap/>
            <w:vAlign w:val="center"/>
            <w:hideMark/>
          </w:tcPr>
          <w:p w14:paraId="68B5E795"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 ¥</w:t>
            </w:r>
          </w:p>
        </w:tc>
        <w:tc>
          <w:tcPr>
            <w:tcW w:w="992" w:type="dxa"/>
            <w:shd w:val="clear" w:color="auto" w:fill="FFFFFF" w:themeFill="background1"/>
            <w:noWrap/>
            <w:vAlign w:val="center"/>
            <w:hideMark/>
          </w:tcPr>
          <w:p w14:paraId="25822243"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17 (17) 7:10</w:t>
            </w:r>
          </w:p>
        </w:tc>
        <w:tc>
          <w:tcPr>
            <w:tcW w:w="1418" w:type="dxa"/>
            <w:shd w:val="clear" w:color="auto" w:fill="FFFFFF" w:themeFill="background1"/>
            <w:noWrap/>
            <w:vAlign w:val="center"/>
            <w:hideMark/>
          </w:tcPr>
          <w:p w14:paraId="0C6923BC"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26 (2.78) [24-34]</w:t>
            </w:r>
          </w:p>
        </w:tc>
      </w:tr>
      <w:tr w:rsidR="009A77FE" w:rsidRPr="00A94BC3" w14:paraId="7D32D0D4" w14:textId="77777777" w:rsidTr="00DB1827">
        <w:trPr>
          <w:trHeight w:val="340"/>
        </w:trPr>
        <w:tc>
          <w:tcPr>
            <w:tcW w:w="950" w:type="dxa"/>
            <w:shd w:val="clear" w:color="auto" w:fill="FFFFFF" w:themeFill="background1"/>
            <w:noWrap/>
            <w:vAlign w:val="center"/>
            <w:hideMark/>
          </w:tcPr>
          <w:p w14:paraId="02985197"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Zhou 2014</w:t>
            </w:r>
            <w:r w:rsidRPr="00A94BC3">
              <w:rPr>
                <w:rFonts w:eastAsia="Times New Roman" w:cs="Arial"/>
                <w:color w:val="000000"/>
                <w:sz w:val="12"/>
                <w:szCs w:val="12"/>
                <w:lang w:eastAsia="en-GB"/>
              </w:rPr>
              <w:fldChar w:fldCharType="begin"/>
            </w:r>
            <w:r w:rsidRPr="00A94BC3">
              <w:rPr>
                <w:rFonts w:eastAsia="Times New Roman" w:cs="Arial"/>
                <w:color w:val="000000"/>
                <w:sz w:val="12"/>
                <w:szCs w:val="12"/>
                <w:lang w:eastAsia="en-GB"/>
              </w:rPr>
              <w:instrText xml:space="preserve"> ADDIN ZOTERO_ITEM CSL_CITATION {"citationID":"vdH42Wq7","properties":{"formattedCitation":"\\super 50\\nosupersub{}","plainCitation":"50","noteIndex":0},"citationItems":[{"id":24611,"uris":["http://zotero.org/users/7501526/items/AVPG4UB6"],"itemData":{"id":24611,"type":"article-journal","abstract":"Purpose\n\nTo implement high resolution diffusion tensor imaging (DTI) for visualization and quantification of peripheral nerves in human forearm.\n\n\n\nMaterials and Methods\n\nThis HIPAA-compliant study was approved by our Institutional Review Board and written informed consent was obtained from all the study participants. Images were acquired with T1-and T2-weighted turbo spin echo with/without fat saturation, short tau inversion recovery (STIR). In addition, high spatial resolution (1.0 × 1.0 × 3.0 mm3) DTI sequence was optimized for clearly visualizing ulnar, superficial radial and median nerves in the forearm. Maps of the DTI derived indices, fractional anisotropy (FA), mean diffusivity (MD), longitudinal diffusivity (λ//) and radial diffusivity (λ</w:instrText>
            </w:r>
            <w:r w:rsidRPr="00A94BC3">
              <w:rPr>
                <w:rFonts w:ascii="Cambria Math" w:eastAsia="Times New Roman" w:hAnsi="Cambria Math" w:cs="Cambria Math"/>
                <w:color w:val="000000"/>
                <w:sz w:val="12"/>
                <w:szCs w:val="12"/>
                <w:lang w:eastAsia="en-GB"/>
              </w:rPr>
              <w:instrText>⊥</w:instrText>
            </w:r>
            <w:r w:rsidRPr="00A94BC3">
              <w:rPr>
                <w:rFonts w:eastAsia="Times New Roman" w:cs="Arial"/>
                <w:color w:val="000000"/>
                <w:sz w:val="12"/>
                <w:szCs w:val="12"/>
                <w:lang w:eastAsia="en-GB"/>
              </w:rPr>
              <w:instrText>) were generated.\n\n\n\nResults\n\nFor the first time, the three peripheral nerves, ulnar, superficial radial, and median, were visualized unequivocally on high resolution DTI-derived maps. DTI delineated the forearm nerves more clearly than other sequences. Significant differences in the DTI-derived measures, FA, MD, λ// and λ</w:instrText>
            </w:r>
            <w:r w:rsidRPr="00A94BC3">
              <w:rPr>
                <w:rFonts w:ascii="Cambria Math" w:eastAsia="Times New Roman" w:hAnsi="Cambria Math" w:cs="Cambria Math"/>
                <w:color w:val="000000"/>
                <w:sz w:val="12"/>
                <w:szCs w:val="12"/>
                <w:lang w:eastAsia="en-GB"/>
              </w:rPr>
              <w:instrText>⊥</w:instrText>
            </w:r>
            <w:r w:rsidRPr="00A94BC3">
              <w:rPr>
                <w:rFonts w:eastAsia="Times New Roman" w:cs="Arial"/>
                <w:color w:val="000000"/>
                <w:sz w:val="12"/>
                <w:szCs w:val="12"/>
                <w:lang w:eastAsia="en-GB"/>
              </w:rPr>
              <w:instrText xml:space="preserve">, were observed among the three nerves. A strong correlation between the nerve size derived from FA map and T2-weighted images was observed.\n\n\n\nConclusion\n\nHigh spatial resolution DTI is superior in identifying and quantifying the median, ulnar, and superficial radial nerves in human forearm. Consistent visualization of small nerves and nerve branches is possible with high spatial resolution DTI. These normative data could potentially help in identifying pathology in diseased nerves. J. Magn. Reson. Imaging 2014;39:1374–1383. © 2013 Wiley Periodicals, Inc.","container-title":"Journal of magnetic resonance imaging : JMRI","DOI":"10.1002/jmri.24300","issue":"6","note":"publisher: John Wiley and Sons Inc.","page":"1374-1383","title":"High Resolution Diffusion Tensor Imaging of Human Nerves in Forearm","volume":"39","author":[{"family":"Zhou","given":"Yuxiang; Narayana","suffix":"Ponnada A.; Kumaravel, Manickam; Athar, Parveen; Patel, Vipulkumar S.; Sheikh, Kazim A."}],"issued":{"date-parts":[["2014"]]}}}],"schema":"https://github.com/citation-style-language/schema/raw/master/csl-citation.json"} </w:instrText>
            </w:r>
            <w:r w:rsidRPr="00A94BC3">
              <w:rPr>
                <w:rFonts w:eastAsia="Times New Roman" w:cs="Arial"/>
                <w:color w:val="000000"/>
                <w:sz w:val="12"/>
                <w:szCs w:val="12"/>
                <w:lang w:eastAsia="en-GB"/>
              </w:rPr>
              <w:fldChar w:fldCharType="separate"/>
            </w:r>
            <w:r w:rsidRPr="00A94BC3">
              <w:rPr>
                <w:rFonts w:cs="Arial"/>
                <w:sz w:val="12"/>
                <w:szCs w:val="24"/>
                <w:vertAlign w:val="superscript"/>
              </w:rPr>
              <w:t>50</w:t>
            </w:r>
            <w:r w:rsidRPr="00A94BC3">
              <w:rPr>
                <w:rFonts w:eastAsia="Times New Roman" w:cs="Arial"/>
                <w:color w:val="000000"/>
                <w:sz w:val="12"/>
                <w:szCs w:val="12"/>
                <w:lang w:eastAsia="en-GB"/>
              </w:rPr>
              <w:fldChar w:fldCharType="end"/>
            </w:r>
          </w:p>
        </w:tc>
        <w:tc>
          <w:tcPr>
            <w:tcW w:w="864" w:type="dxa"/>
            <w:shd w:val="clear" w:color="auto" w:fill="FFFFFF" w:themeFill="background1"/>
            <w:noWrap/>
            <w:vAlign w:val="center"/>
            <w:hideMark/>
          </w:tcPr>
          <w:p w14:paraId="287ECAEC"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USA</w:t>
            </w:r>
          </w:p>
        </w:tc>
        <w:tc>
          <w:tcPr>
            <w:tcW w:w="1150" w:type="dxa"/>
            <w:shd w:val="clear" w:color="auto" w:fill="FFFFFF" w:themeFill="background1"/>
            <w:noWrap/>
            <w:vAlign w:val="center"/>
            <w:hideMark/>
          </w:tcPr>
          <w:p w14:paraId="233B9B00"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Philips</w:t>
            </w:r>
          </w:p>
          <w:p w14:paraId="40B6229F"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 (3T)</w:t>
            </w:r>
          </w:p>
        </w:tc>
        <w:tc>
          <w:tcPr>
            <w:tcW w:w="663" w:type="dxa"/>
            <w:shd w:val="clear" w:color="auto" w:fill="FFFFFF" w:themeFill="background1"/>
            <w:noWrap/>
            <w:vAlign w:val="center"/>
            <w:hideMark/>
          </w:tcPr>
          <w:p w14:paraId="265AFC83"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65 (7200)</w:t>
            </w:r>
          </w:p>
        </w:tc>
        <w:tc>
          <w:tcPr>
            <w:tcW w:w="463" w:type="dxa"/>
            <w:shd w:val="clear" w:color="auto" w:fill="FFFFFF" w:themeFill="background1"/>
            <w:noWrap/>
            <w:vAlign w:val="center"/>
            <w:hideMark/>
          </w:tcPr>
          <w:p w14:paraId="0B9603C3"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SS</w:t>
            </w:r>
          </w:p>
        </w:tc>
        <w:tc>
          <w:tcPr>
            <w:tcW w:w="1864" w:type="dxa"/>
            <w:shd w:val="clear" w:color="auto" w:fill="FFFFFF" w:themeFill="background1"/>
            <w:noWrap/>
            <w:vAlign w:val="center"/>
            <w:hideMark/>
          </w:tcPr>
          <w:p w14:paraId="151AFEF9"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Superman (Flexible [R], 8)</w:t>
            </w:r>
          </w:p>
        </w:tc>
        <w:tc>
          <w:tcPr>
            <w:tcW w:w="1134" w:type="dxa"/>
            <w:shd w:val="clear" w:color="auto" w:fill="FFFFFF" w:themeFill="background1"/>
            <w:noWrap/>
            <w:vAlign w:val="center"/>
            <w:hideMark/>
          </w:tcPr>
          <w:p w14:paraId="47B45399"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SENSE (6/8)</w:t>
            </w:r>
          </w:p>
        </w:tc>
        <w:tc>
          <w:tcPr>
            <w:tcW w:w="1276" w:type="dxa"/>
            <w:shd w:val="clear" w:color="auto" w:fill="FFFFFF" w:themeFill="background1"/>
            <w:noWrap/>
            <w:vAlign w:val="center"/>
            <w:hideMark/>
          </w:tcPr>
          <w:p w14:paraId="6BF7F6D0"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1x1x3</w:t>
            </w:r>
          </w:p>
        </w:tc>
        <w:tc>
          <w:tcPr>
            <w:tcW w:w="850" w:type="dxa"/>
            <w:shd w:val="clear" w:color="auto" w:fill="FFFFFF" w:themeFill="background1"/>
            <w:noWrap/>
            <w:vAlign w:val="center"/>
            <w:hideMark/>
          </w:tcPr>
          <w:p w14:paraId="22C4686D"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2</w:t>
            </w:r>
          </w:p>
        </w:tc>
        <w:tc>
          <w:tcPr>
            <w:tcW w:w="1134" w:type="dxa"/>
            <w:shd w:val="clear" w:color="auto" w:fill="FFFFFF" w:themeFill="background1"/>
            <w:noWrap/>
            <w:vAlign w:val="center"/>
            <w:hideMark/>
          </w:tcPr>
          <w:p w14:paraId="63E6CF93"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1000 (42)</w:t>
            </w:r>
          </w:p>
        </w:tc>
        <w:tc>
          <w:tcPr>
            <w:tcW w:w="709" w:type="dxa"/>
            <w:shd w:val="clear" w:color="auto" w:fill="FFFFFF" w:themeFill="background1"/>
            <w:noWrap/>
            <w:vAlign w:val="center"/>
            <w:hideMark/>
          </w:tcPr>
          <w:p w14:paraId="28B61A2A"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1</w:t>
            </w:r>
          </w:p>
        </w:tc>
        <w:tc>
          <w:tcPr>
            <w:tcW w:w="992" w:type="dxa"/>
            <w:shd w:val="clear" w:color="auto" w:fill="FFFFFF" w:themeFill="background1"/>
            <w:noWrap/>
            <w:vAlign w:val="center"/>
            <w:hideMark/>
          </w:tcPr>
          <w:p w14:paraId="6D1675FA"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10 (10) 5:5</w:t>
            </w:r>
          </w:p>
        </w:tc>
        <w:tc>
          <w:tcPr>
            <w:tcW w:w="1418" w:type="dxa"/>
            <w:shd w:val="clear" w:color="auto" w:fill="FFFFFF" w:themeFill="background1"/>
            <w:noWrap/>
            <w:vAlign w:val="center"/>
            <w:hideMark/>
          </w:tcPr>
          <w:p w14:paraId="11B8E4EB"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27 (3.88) [22-34]</w:t>
            </w:r>
          </w:p>
        </w:tc>
      </w:tr>
      <w:tr w:rsidR="009A77FE" w:rsidRPr="00A94BC3" w14:paraId="4BF5ADFC" w14:textId="77777777" w:rsidTr="00DB1827">
        <w:trPr>
          <w:trHeight w:val="340"/>
        </w:trPr>
        <w:tc>
          <w:tcPr>
            <w:tcW w:w="950" w:type="dxa"/>
            <w:shd w:val="clear" w:color="auto" w:fill="FFFFFF" w:themeFill="background1"/>
            <w:noWrap/>
            <w:vAlign w:val="center"/>
            <w:hideMark/>
          </w:tcPr>
          <w:p w14:paraId="21823D78" w14:textId="77777777" w:rsidR="009A77FE" w:rsidRPr="00A94BC3" w:rsidRDefault="009A77FE" w:rsidP="00DB1827">
            <w:pPr>
              <w:spacing w:line="240" w:lineRule="auto"/>
              <w:jc w:val="right"/>
              <w:rPr>
                <w:rFonts w:eastAsia="Times New Roman" w:cs="Arial"/>
                <w:color w:val="000000"/>
                <w:sz w:val="12"/>
                <w:szCs w:val="12"/>
                <w:lang w:eastAsia="en-GB"/>
              </w:rPr>
            </w:pPr>
            <w:proofErr w:type="spellStart"/>
            <w:r w:rsidRPr="00A94BC3">
              <w:rPr>
                <w:rFonts w:eastAsia="Times New Roman" w:cs="Arial"/>
                <w:color w:val="000000"/>
                <w:sz w:val="12"/>
                <w:szCs w:val="12"/>
                <w:lang w:eastAsia="en-GB"/>
              </w:rPr>
              <w:t>Breitenseher</w:t>
            </w:r>
            <w:proofErr w:type="spellEnd"/>
            <w:r w:rsidRPr="00A94BC3">
              <w:rPr>
                <w:rFonts w:eastAsia="Times New Roman" w:cs="Arial"/>
                <w:color w:val="000000"/>
                <w:sz w:val="12"/>
                <w:szCs w:val="12"/>
                <w:lang w:eastAsia="en-GB"/>
              </w:rPr>
              <w:t xml:space="preserve"> 2015</w:t>
            </w:r>
            <w:r w:rsidRPr="00A94BC3">
              <w:rPr>
                <w:rFonts w:eastAsia="Times New Roman" w:cs="Arial"/>
                <w:color w:val="000000"/>
                <w:sz w:val="12"/>
                <w:szCs w:val="12"/>
                <w:lang w:eastAsia="en-GB"/>
              </w:rPr>
              <w:fldChar w:fldCharType="begin"/>
            </w:r>
            <w:r w:rsidRPr="00A94BC3">
              <w:rPr>
                <w:rFonts w:eastAsia="Times New Roman" w:cs="Arial"/>
                <w:color w:val="000000"/>
                <w:sz w:val="12"/>
                <w:szCs w:val="12"/>
                <w:lang w:eastAsia="en-GB"/>
              </w:rPr>
              <w:instrText xml:space="preserve"> ADDIN ZOTERO_ITEM CSL_CITATION {"citationID":"KfGUtRJe","properties":{"formattedCitation":"\\super 43\\nosupersub{}","plainCitation":"43","noteIndex":0},"citationItems":[{"id":24606,"uris":["http://zotero.org/users/7501526/items/APFB6FA3"],"itemData":{"id":24606,"type":"article-journal","abstract":"MR neurography, diffusion tensor imaging (DTI) and tractography at 3 Tesla were evaluated for the assessment of patients with ulnar neuropathy at the elbow (UNE). Axial T2-weighted and single-shot DTI sequences (16 gradient encoding directions) were acquired, covering the cubital tunnel of 46 patients with clinically and electrodiagnostically confirmed UNE and 20 healthy controls. Cross-sectional area (CSA) was measured at the retrocondylar sulcus and FA and ADC values on each section along the ulnar nerve. Three-dimensional nerve tractography and T2-weighted neurography results were independently assessed by two raters. Patients showed a significant reduction of ulnar nerve FA values at the retrocondylar sulcus (p = 0.002) and the deep flexor fascia (p = 0.005). At tractography, a complete or partial discontinuity of the ulnar nerve was found in 26/40 (65 %) of patients. Assessment of T2 neurography was most sensitive in detecting UNE (sensitivity, 91 %; specificity, 79 %), followed by tractography (88 %/69 %). CSA and FA measurements were less effective in detecting UNE. T2-weighted neurography remains the most sensitive MR technique in the imaging evaluation of clinically manifest UNE. DTI-based neurography at 3 Tesla supports the MR imaging assessment of UNE patients by adding quantitative and 3D imaging data. • DTI and tractography support conventional MR neurography in the detection of UNE\n• Regionally reduced FA values and discontinuous tractography patterns indicate UNE\n• T2-weighted MR neurography remains the imaging gold standard in cases of UNE\n• DTI-based ulnar nerve tractography offers additional topographic information in 3D","container-title":"European radiology","DOI":"10.1007/s00330-015-3613-7","issue":"7","note":"publisher: Springer Verlag","page":"1911-1918","title":"MR neurography of ulnar nerve entrapment at the cubital tunnel: a diffusion tensor imaging study","volume":"25","author":[{"family":"Breitenseher","given":"Julia; Kranz","suffix":"Gottfried; Hold, Alina; Berzaczy, Dominik; Nemec, Stefan F.; Sycha, Thomas; Weber, Michael; Prayer, Daniela; Kasprian, Gregor"}],"issued":{"date-parts":[["2015"]]}}}],"schema":"https://github.com/citation-style-language/schema/raw/master/csl-citation.json"} </w:instrText>
            </w:r>
            <w:r w:rsidRPr="00A94BC3">
              <w:rPr>
                <w:rFonts w:eastAsia="Times New Roman" w:cs="Arial"/>
                <w:color w:val="000000"/>
                <w:sz w:val="12"/>
                <w:szCs w:val="12"/>
                <w:lang w:eastAsia="en-GB"/>
              </w:rPr>
              <w:fldChar w:fldCharType="separate"/>
            </w:r>
            <w:r w:rsidRPr="00A94BC3">
              <w:rPr>
                <w:rFonts w:cs="Arial"/>
                <w:sz w:val="12"/>
                <w:szCs w:val="24"/>
                <w:vertAlign w:val="superscript"/>
              </w:rPr>
              <w:t>43</w:t>
            </w:r>
            <w:r w:rsidRPr="00A94BC3">
              <w:rPr>
                <w:rFonts w:eastAsia="Times New Roman" w:cs="Arial"/>
                <w:color w:val="000000"/>
                <w:sz w:val="12"/>
                <w:szCs w:val="12"/>
                <w:lang w:eastAsia="en-GB"/>
              </w:rPr>
              <w:fldChar w:fldCharType="end"/>
            </w:r>
          </w:p>
        </w:tc>
        <w:tc>
          <w:tcPr>
            <w:tcW w:w="864" w:type="dxa"/>
            <w:shd w:val="clear" w:color="auto" w:fill="FFFFFF" w:themeFill="background1"/>
            <w:noWrap/>
            <w:vAlign w:val="center"/>
            <w:hideMark/>
          </w:tcPr>
          <w:p w14:paraId="1C7CE02A"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Austria</w:t>
            </w:r>
          </w:p>
        </w:tc>
        <w:tc>
          <w:tcPr>
            <w:tcW w:w="1150" w:type="dxa"/>
            <w:shd w:val="clear" w:color="auto" w:fill="FFFFFF" w:themeFill="background1"/>
            <w:noWrap/>
            <w:vAlign w:val="center"/>
            <w:hideMark/>
          </w:tcPr>
          <w:p w14:paraId="7DB06E3E"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Philips</w:t>
            </w:r>
          </w:p>
          <w:p w14:paraId="74822932" w14:textId="77777777" w:rsidR="009A77FE" w:rsidRPr="00A94BC3" w:rsidRDefault="009A77FE" w:rsidP="00DB1827">
            <w:pPr>
              <w:spacing w:line="240" w:lineRule="auto"/>
              <w:jc w:val="right"/>
              <w:rPr>
                <w:rFonts w:eastAsia="Times New Roman" w:cs="Arial"/>
                <w:color w:val="000000"/>
                <w:sz w:val="12"/>
                <w:szCs w:val="12"/>
                <w:lang w:eastAsia="en-GB"/>
              </w:rPr>
            </w:pPr>
            <w:proofErr w:type="spellStart"/>
            <w:proofErr w:type="gramStart"/>
            <w:r w:rsidRPr="00A94BC3">
              <w:rPr>
                <w:rFonts w:eastAsia="Times New Roman" w:cs="Arial"/>
                <w:color w:val="000000"/>
                <w:sz w:val="12"/>
                <w:szCs w:val="12"/>
                <w:lang w:eastAsia="en-GB"/>
              </w:rPr>
              <w:t>Achieva</w:t>
            </w:r>
            <w:proofErr w:type="spellEnd"/>
            <w:r w:rsidRPr="00A94BC3">
              <w:rPr>
                <w:rFonts w:eastAsia="Times New Roman" w:cs="Arial"/>
                <w:color w:val="000000"/>
                <w:sz w:val="12"/>
                <w:szCs w:val="12"/>
                <w:lang w:eastAsia="en-GB"/>
              </w:rPr>
              <w:t xml:space="preserve">  (</w:t>
            </w:r>
            <w:proofErr w:type="gramEnd"/>
            <w:r w:rsidRPr="00A94BC3">
              <w:rPr>
                <w:rFonts w:eastAsia="Times New Roman" w:cs="Arial"/>
                <w:color w:val="000000"/>
                <w:sz w:val="12"/>
                <w:szCs w:val="12"/>
                <w:lang w:eastAsia="en-GB"/>
              </w:rPr>
              <w:t>3T)</w:t>
            </w:r>
          </w:p>
        </w:tc>
        <w:tc>
          <w:tcPr>
            <w:tcW w:w="663" w:type="dxa"/>
            <w:shd w:val="clear" w:color="auto" w:fill="FFFFFF" w:themeFill="background1"/>
            <w:noWrap/>
            <w:vAlign w:val="center"/>
            <w:hideMark/>
          </w:tcPr>
          <w:p w14:paraId="407359ED"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100 (3964)</w:t>
            </w:r>
          </w:p>
        </w:tc>
        <w:tc>
          <w:tcPr>
            <w:tcW w:w="463" w:type="dxa"/>
            <w:shd w:val="clear" w:color="auto" w:fill="FFFFFF" w:themeFill="background1"/>
            <w:noWrap/>
            <w:vAlign w:val="center"/>
            <w:hideMark/>
          </w:tcPr>
          <w:p w14:paraId="244DAF31"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SS</w:t>
            </w:r>
          </w:p>
        </w:tc>
        <w:tc>
          <w:tcPr>
            <w:tcW w:w="1864" w:type="dxa"/>
            <w:shd w:val="clear" w:color="auto" w:fill="FFFFFF" w:themeFill="background1"/>
            <w:noWrap/>
            <w:vAlign w:val="center"/>
            <w:hideMark/>
          </w:tcPr>
          <w:p w14:paraId="5346B953"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Supine, arm by side (Flexible [R], 2) </w:t>
            </w:r>
          </w:p>
        </w:tc>
        <w:tc>
          <w:tcPr>
            <w:tcW w:w="1134" w:type="dxa"/>
            <w:shd w:val="clear" w:color="auto" w:fill="FFFFFF" w:themeFill="background1"/>
            <w:noWrap/>
            <w:vAlign w:val="center"/>
            <w:hideMark/>
          </w:tcPr>
          <w:p w14:paraId="5B408CC7"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 (¥)</w:t>
            </w:r>
          </w:p>
        </w:tc>
        <w:tc>
          <w:tcPr>
            <w:tcW w:w="1276" w:type="dxa"/>
            <w:shd w:val="clear" w:color="auto" w:fill="FFFFFF" w:themeFill="background1"/>
            <w:noWrap/>
            <w:vAlign w:val="center"/>
            <w:hideMark/>
          </w:tcPr>
          <w:p w14:paraId="56659026"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1.18x1.16x4</w:t>
            </w:r>
          </w:p>
        </w:tc>
        <w:tc>
          <w:tcPr>
            <w:tcW w:w="850" w:type="dxa"/>
            <w:shd w:val="clear" w:color="auto" w:fill="FFFFFF" w:themeFill="background1"/>
            <w:noWrap/>
            <w:vAlign w:val="center"/>
            <w:hideMark/>
          </w:tcPr>
          <w:p w14:paraId="1157E430"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2</w:t>
            </w:r>
          </w:p>
        </w:tc>
        <w:tc>
          <w:tcPr>
            <w:tcW w:w="1134" w:type="dxa"/>
            <w:shd w:val="clear" w:color="auto" w:fill="FFFFFF" w:themeFill="background1"/>
            <w:noWrap/>
            <w:vAlign w:val="center"/>
            <w:hideMark/>
          </w:tcPr>
          <w:p w14:paraId="73D9CBDE"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700 (16)</w:t>
            </w:r>
          </w:p>
        </w:tc>
        <w:tc>
          <w:tcPr>
            <w:tcW w:w="709" w:type="dxa"/>
            <w:shd w:val="clear" w:color="auto" w:fill="FFFFFF" w:themeFill="background1"/>
            <w:noWrap/>
            <w:vAlign w:val="center"/>
            <w:hideMark/>
          </w:tcPr>
          <w:p w14:paraId="056EF9F7"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2</w:t>
            </w:r>
          </w:p>
        </w:tc>
        <w:tc>
          <w:tcPr>
            <w:tcW w:w="992" w:type="dxa"/>
            <w:shd w:val="clear" w:color="auto" w:fill="FFFFFF" w:themeFill="background1"/>
            <w:noWrap/>
            <w:vAlign w:val="center"/>
            <w:hideMark/>
          </w:tcPr>
          <w:p w14:paraId="0D782504"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20 (20) 14:6</w:t>
            </w:r>
          </w:p>
        </w:tc>
        <w:tc>
          <w:tcPr>
            <w:tcW w:w="1418" w:type="dxa"/>
            <w:shd w:val="clear" w:color="auto" w:fill="FFFFFF" w:themeFill="background1"/>
            <w:noWrap/>
            <w:vAlign w:val="center"/>
            <w:hideMark/>
          </w:tcPr>
          <w:p w14:paraId="5530CB57"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40 (8.56) [28-60]</w:t>
            </w:r>
          </w:p>
        </w:tc>
      </w:tr>
      <w:tr w:rsidR="009A77FE" w:rsidRPr="00A94BC3" w14:paraId="4C7D2009" w14:textId="77777777" w:rsidTr="00DB1827">
        <w:trPr>
          <w:trHeight w:val="340"/>
        </w:trPr>
        <w:tc>
          <w:tcPr>
            <w:tcW w:w="950" w:type="dxa"/>
            <w:shd w:val="clear" w:color="auto" w:fill="FFFFFF" w:themeFill="background1"/>
            <w:noWrap/>
            <w:vAlign w:val="center"/>
            <w:hideMark/>
          </w:tcPr>
          <w:p w14:paraId="2B206D2C" w14:textId="77777777" w:rsidR="009A77FE" w:rsidRPr="00A94BC3" w:rsidRDefault="009A77FE" w:rsidP="00DB1827">
            <w:pPr>
              <w:spacing w:line="240" w:lineRule="auto"/>
              <w:jc w:val="right"/>
              <w:rPr>
                <w:rFonts w:eastAsia="Times New Roman" w:cs="Arial"/>
                <w:color w:val="000000"/>
                <w:sz w:val="12"/>
                <w:szCs w:val="12"/>
                <w:lang w:eastAsia="en-GB"/>
              </w:rPr>
            </w:pPr>
            <w:proofErr w:type="spellStart"/>
            <w:r w:rsidRPr="00A94BC3">
              <w:rPr>
                <w:rFonts w:eastAsia="Times New Roman" w:cs="Arial"/>
                <w:color w:val="000000"/>
                <w:sz w:val="12"/>
                <w:szCs w:val="12"/>
                <w:lang w:eastAsia="en-GB"/>
              </w:rPr>
              <w:t>Haakma</w:t>
            </w:r>
            <w:proofErr w:type="spellEnd"/>
            <w:r w:rsidRPr="00A94BC3">
              <w:rPr>
                <w:rFonts w:eastAsia="Times New Roman" w:cs="Arial"/>
                <w:color w:val="000000"/>
                <w:sz w:val="12"/>
                <w:szCs w:val="12"/>
                <w:lang w:eastAsia="en-GB"/>
              </w:rPr>
              <w:t xml:space="preserve"> 2017</w:t>
            </w:r>
            <w:r w:rsidRPr="00A94BC3">
              <w:rPr>
                <w:rFonts w:eastAsia="Times New Roman" w:cs="Arial"/>
                <w:color w:val="000000"/>
                <w:sz w:val="12"/>
                <w:szCs w:val="12"/>
                <w:lang w:eastAsia="en-GB"/>
              </w:rPr>
              <w:fldChar w:fldCharType="begin"/>
            </w:r>
            <w:r w:rsidRPr="00A94BC3">
              <w:rPr>
                <w:rFonts w:eastAsia="Times New Roman" w:cs="Arial"/>
                <w:color w:val="000000"/>
                <w:sz w:val="12"/>
                <w:szCs w:val="12"/>
                <w:lang w:eastAsia="en-GB"/>
              </w:rPr>
              <w:instrText xml:space="preserve"> ADDIN ZOTERO_ITEM CSL_CITATION {"citationID":"eUVFPeo0","properties":{"formattedCitation":"\\super 28\\nosupersub{}","plainCitation":"28","noteIndex":0},"citationItems":[{"id":24603,"uris":["http://zotero.org/users/7501526/items/KACQQBH9"],"itemData":{"id":24603,"type":"article-journal","abstract":"To study disease mechanisms in multifocal motor neuropathy (MMN) with magnetic resonance imaging (MRI) and diffusion tensor imaging (DTI) of the median and ulnar nerves. We enrolled ten MMN patients, ten patients with amyotrophic lateral sclerosis (ALS) and ten healthy controls (HCs). Patients underwent MRI (in a prone position) and nerve conduction studies. DTI and fat-suppressed T2-weighted scans of the forearms were performed on a 3.0T MRI scanner. Fibre tractography of the median and ulnar nerves was performed to extract diffusion parameters: fractional anisotropy (FA), mean (MD), axial (AD) and radial (RD) diffusivity. Cross-sectional areas (CSA) were measured on T2-weighted scans. Forty-five out of 60 arms were included in the analysis. AD was significantly lower in MMN patients (2.20 ± 0.12 × 10-3 mm2/s) compared to ALS patients (2.31 ± 0.17 × 10-3 mm2/s; p &lt; 0.05) and HCs (2.31± 0.17 × 10-3 mm2/s; p &lt; 0.05). Segmental analysis showed significant restriction of AD, RD and MD (p &lt; 0.005) in the proximal third of the nerves. CSA was significantly larger in MMN patients compared to ALS patients and HCs (p &lt; 0.01). Thickening of nerves is compatible with changes in the myelin sheath structure, whereas lowered AD values suggest axonal dysfunction. These findings suggest that myelin and axons are diffusely involved in MMN pathogenesis. • Diffusion magnetic resonance imaging provides quantitative information about multifocal motor neuropathy (MMN).\n• Diffusion tensor imaging allows non-invasive evaluation of the forearm nerves in MMN.\n• Nerve thickening and lowered diffusion parameters suggests myelin and axonal changes.\n• This study can help to provide insight into pathological mechanisms of MMN.","container-title":"European radiology","DOI":"10.1007/s00330-016-4575-0","issue":"5","note":"publisher: Springer Verlag","page":"2216-2224","title":"MRI shows thickening and altered diffusion in the median and ulnar nerves in multifocal motor neuropathy.","volume":"27","author":[{"family":"Haakma","given":"Wieke; Jongbloed","suffix":"Bas A.; Froeling, Martijn; Goedee, H. Stephan; Bos, Clemens; Leemans, Alexander; van den Berg, Leonard H.; Hendrikse, Jeroen; van der Pol, W. Ludo"}],"issued":{"date-parts":[["2016"]]}}}],"schema":"https://github.com/citation-style-language/schema/raw/master/csl-citation.json"} </w:instrText>
            </w:r>
            <w:r w:rsidRPr="00A94BC3">
              <w:rPr>
                <w:rFonts w:eastAsia="Times New Roman" w:cs="Arial"/>
                <w:color w:val="000000"/>
                <w:sz w:val="12"/>
                <w:szCs w:val="12"/>
                <w:lang w:eastAsia="en-GB"/>
              </w:rPr>
              <w:fldChar w:fldCharType="separate"/>
            </w:r>
            <w:r w:rsidRPr="00A94BC3">
              <w:rPr>
                <w:rFonts w:cs="Arial"/>
                <w:sz w:val="12"/>
                <w:szCs w:val="24"/>
                <w:vertAlign w:val="superscript"/>
              </w:rPr>
              <w:t>28</w:t>
            </w:r>
            <w:r w:rsidRPr="00A94BC3">
              <w:rPr>
                <w:rFonts w:eastAsia="Times New Roman" w:cs="Arial"/>
                <w:color w:val="000000"/>
                <w:sz w:val="12"/>
                <w:szCs w:val="12"/>
                <w:lang w:eastAsia="en-GB"/>
              </w:rPr>
              <w:fldChar w:fldCharType="end"/>
            </w:r>
          </w:p>
        </w:tc>
        <w:tc>
          <w:tcPr>
            <w:tcW w:w="864" w:type="dxa"/>
            <w:shd w:val="clear" w:color="auto" w:fill="FFFFFF" w:themeFill="background1"/>
            <w:noWrap/>
            <w:vAlign w:val="center"/>
            <w:hideMark/>
          </w:tcPr>
          <w:p w14:paraId="1608F58C"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Netherlands</w:t>
            </w:r>
          </w:p>
        </w:tc>
        <w:tc>
          <w:tcPr>
            <w:tcW w:w="1150" w:type="dxa"/>
            <w:shd w:val="clear" w:color="auto" w:fill="FFFFFF" w:themeFill="background1"/>
            <w:noWrap/>
            <w:vAlign w:val="center"/>
            <w:hideMark/>
          </w:tcPr>
          <w:p w14:paraId="70C0B70D"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Philips</w:t>
            </w:r>
          </w:p>
          <w:p w14:paraId="2C3B5A98" w14:textId="77777777" w:rsidR="009A77FE" w:rsidRPr="00A94BC3" w:rsidRDefault="009A77FE" w:rsidP="00DB1827">
            <w:pPr>
              <w:spacing w:line="240" w:lineRule="auto"/>
              <w:jc w:val="right"/>
              <w:rPr>
                <w:rFonts w:eastAsia="Times New Roman" w:cs="Arial"/>
                <w:color w:val="000000"/>
                <w:sz w:val="12"/>
                <w:szCs w:val="12"/>
                <w:lang w:eastAsia="en-GB"/>
              </w:rPr>
            </w:pPr>
            <w:proofErr w:type="spellStart"/>
            <w:proofErr w:type="gramStart"/>
            <w:r w:rsidRPr="00A94BC3">
              <w:rPr>
                <w:rFonts w:eastAsia="Times New Roman" w:cs="Arial"/>
                <w:color w:val="000000"/>
                <w:sz w:val="12"/>
                <w:szCs w:val="12"/>
                <w:lang w:eastAsia="en-GB"/>
              </w:rPr>
              <w:t>Achieva</w:t>
            </w:r>
            <w:proofErr w:type="spellEnd"/>
            <w:r w:rsidRPr="00A94BC3">
              <w:rPr>
                <w:rFonts w:eastAsia="Times New Roman" w:cs="Arial"/>
                <w:color w:val="000000"/>
                <w:sz w:val="12"/>
                <w:szCs w:val="12"/>
                <w:lang w:eastAsia="en-GB"/>
              </w:rPr>
              <w:t xml:space="preserve">  (</w:t>
            </w:r>
            <w:proofErr w:type="gramEnd"/>
            <w:r w:rsidRPr="00A94BC3">
              <w:rPr>
                <w:rFonts w:eastAsia="Times New Roman" w:cs="Arial"/>
                <w:color w:val="000000"/>
                <w:sz w:val="12"/>
                <w:szCs w:val="12"/>
                <w:lang w:eastAsia="en-GB"/>
              </w:rPr>
              <w:t>3T)</w:t>
            </w:r>
          </w:p>
        </w:tc>
        <w:tc>
          <w:tcPr>
            <w:tcW w:w="663" w:type="dxa"/>
            <w:shd w:val="clear" w:color="auto" w:fill="FFFFFF" w:themeFill="background1"/>
            <w:noWrap/>
            <w:vAlign w:val="center"/>
            <w:hideMark/>
          </w:tcPr>
          <w:p w14:paraId="7C0F5035"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66 (6340)</w:t>
            </w:r>
          </w:p>
        </w:tc>
        <w:tc>
          <w:tcPr>
            <w:tcW w:w="463" w:type="dxa"/>
            <w:shd w:val="clear" w:color="auto" w:fill="FFFFFF" w:themeFill="background1"/>
            <w:noWrap/>
            <w:vAlign w:val="center"/>
            <w:hideMark/>
          </w:tcPr>
          <w:p w14:paraId="7284FD08"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SS</w:t>
            </w:r>
          </w:p>
        </w:tc>
        <w:tc>
          <w:tcPr>
            <w:tcW w:w="1864" w:type="dxa"/>
            <w:shd w:val="clear" w:color="auto" w:fill="FFFFFF" w:themeFill="background1"/>
            <w:noWrap/>
            <w:vAlign w:val="center"/>
            <w:hideMark/>
          </w:tcPr>
          <w:p w14:paraId="72EC1ECE"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Superman (Flexible [R], 32)</w:t>
            </w:r>
          </w:p>
        </w:tc>
        <w:tc>
          <w:tcPr>
            <w:tcW w:w="1134" w:type="dxa"/>
            <w:shd w:val="clear" w:color="auto" w:fill="FFFFFF" w:themeFill="background1"/>
            <w:noWrap/>
            <w:vAlign w:val="center"/>
            <w:hideMark/>
          </w:tcPr>
          <w:p w14:paraId="6766AB43"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SENSE (</w:t>
            </w:r>
            <w:r w:rsidRPr="00A94BC3">
              <w:rPr>
                <w:rFonts w:cs="Arial"/>
                <w:sz w:val="12"/>
                <w:szCs w:val="12"/>
              </w:rPr>
              <w:t>¥</w:t>
            </w:r>
            <w:r w:rsidRPr="00A94BC3">
              <w:rPr>
                <w:rFonts w:eastAsia="Times New Roman" w:cs="Arial"/>
                <w:color w:val="000000"/>
                <w:sz w:val="12"/>
                <w:szCs w:val="12"/>
                <w:lang w:eastAsia="en-GB"/>
              </w:rPr>
              <w:t>)</w:t>
            </w:r>
          </w:p>
        </w:tc>
        <w:tc>
          <w:tcPr>
            <w:tcW w:w="1276" w:type="dxa"/>
            <w:shd w:val="clear" w:color="auto" w:fill="FFFFFF" w:themeFill="background1"/>
            <w:noWrap/>
            <w:vAlign w:val="center"/>
            <w:hideMark/>
          </w:tcPr>
          <w:p w14:paraId="68C50EDE"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1.5x1.5x4</w:t>
            </w:r>
          </w:p>
        </w:tc>
        <w:tc>
          <w:tcPr>
            <w:tcW w:w="850" w:type="dxa"/>
            <w:shd w:val="clear" w:color="auto" w:fill="FFFFFF" w:themeFill="background1"/>
            <w:noWrap/>
            <w:vAlign w:val="center"/>
            <w:hideMark/>
          </w:tcPr>
          <w:p w14:paraId="6AD83935"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1</w:t>
            </w:r>
          </w:p>
        </w:tc>
        <w:tc>
          <w:tcPr>
            <w:tcW w:w="1134" w:type="dxa"/>
            <w:shd w:val="clear" w:color="auto" w:fill="FFFFFF" w:themeFill="background1"/>
            <w:noWrap/>
            <w:vAlign w:val="center"/>
            <w:hideMark/>
          </w:tcPr>
          <w:p w14:paraId="041788F0"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800 (15)</w:t>
            </w:r>
          </w:p>
        </w:tc>
        <w:tc>
          <w:tcPr>
            <w:tcW w:w="709" w:type="dxa"/>
            <w:shd w:val="clear" w:color="auto" w:fill="FFFFFF" w:themeFill="background1"/>
            <w:noWrap/>
            <w:vAlign w:val="center"/>
            <w:hideMark/>
          </w:tcPr>
          <w:p w14:paraId="15ED1B35" w14:textId="77777777" w:rsidR="009A77FE" w:rsidRPr="00A94BC3" w:rsidRDefault="009A77FE" w:rsidP="00DB1827">
            <w:pPr>
              <w:spacing w:line="240" w:lineRule="auto"/>
              <w:jc w:val="right"/>
              <w:rPr>
                <w:rFonts w:eastAsia="Times New Roman" w:cs="Arial"/>
                <w:sz w:val="12"/>
                <w:szCs w:val="12"/>
                <w:lang w:eastAsia="en-GB"/>
              </w:rPr>
            </w:pPr>
            <w:r w:rsidRPr="00A94BC3">
              <w:rPr>
                <w:rFonts w:eastAsia="Times New Roman" w:cs="Arial"/>
                <w:color w:val="000000"/>
                <w:sz w:val="12"/>
                <w:szCs w:val="12"/>
                <w:lang w:eastAsia="en-GB"/>
              </w:rPr>
              <w:t> ¥</w:t>
            </w:r>
          </w:p>
        </w:tc>
        <w:tc>
          <w:tcPr>
            <w:tcW w:w="992" w:type="dxa"/>
            <w:shd w:val="clear" w:color="auto" w:fill="FFFFFF" w:themeFill="background1"/>
            <w:noWrap/>
            <w:vAlign w:val="center"/>
            <w:hideMark/>
          </w:tcPr>
          <w:p w14:paraId="443986B0"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10 (20) 8:2</w:t>
            </w:r>
          </w:p>
        </w:tc>
        <w:tc>
          <w:tcPr>
            <w:tcW w:w="1418" w:type="dxa"/>
            <w:shd w:val="clear" w:color="auto" w:fill="FFFFFF" w:themeFill="background1"/>
            <w:noWrap/>
            <w:vAlign w:val="center"/>
            <w:hideMark/>
          </w:tcPr>
          <w:p w14:paraId="6DF0DDE2"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54 (12.28) [29-67]</w:t>
            </w:r>
          </w:p>
        </w:tc>
      </w:tr>
      <w:tr w:rsidR="009A77FE" w:rsidRPr="00A94BC3" w14:paraId="40DFEF2A" w14:textId="77777777" w:rsidTr="00DB1827">
        <w:trPr>
          <w:trHeight w:val="340"/>
        </w:trPr>
        <w:tc>
          <w:tcPr>
            <w:tcW w:w="950" w:type="dxa"/>
            <w:shd w:val="clear" w:color="auto" w:fill="FFFFFF" w:themeFill="background1"/>
            <w:noWrap/>
            <w:vAlign w:val="center"/>
            <w:hideMark/>
          </w:tcPr>
          <w:p w14:paraId="7742D9B3" w14:textId="77777777" w:rsidR="009A77FE" w:rsidRPr="00A94BC3" w:rsidRDefault="009A77FE" w:rsidP="00DB1827">
            <w:pPr>
              <w:spacing w:line="240" w:lineRule="auto"/>
              <w:jc w:val="right"/>
              <w:rPr>
                <w:rFonts w:eastAsia="Times New Roman" w:cs="Arial"/>
                <w:color w:val="000000"/>
                <w:sz w:val="12"/>
                <w:szCs w:val="12"/>
                <w:lang w:eastAsia="en-GB"/>
              </w:rPr>
            </w:pPr>
            <w:proofErr w:type="spellStart"/>
            <w:r w:rsidRPr="00A94BC3">
              <w:rPr>
                <w:rFonts w:eastAsia="Times New Roman" w:cs="Arial"/>
                <w:color w:val="000000"/>
                <w:sz w:val="12"/>
                <w:szCs w:val="12"/>
                <w:lang w:eastAsia="en-GB"/>
              </w:rPr>
              <w:t>Kronlage</w:t>
            </w:r>
            <w:proofErr w:type="spellEnd"/>
            <w:r w:rsidRPr="00A94BC3">
              <w:rPr>
                <w:rFonts w:eastAsia="Times New Roman" w:cs="Arial"/>
                <w:color w:val="000000"/>
                <w:sz w:val="12"/>
                <w:szCs w:val="12"/>
                <w:lang w:eastAsia="en-GB"/>
              </w:rPr>
              <w:t xml:space="preserve"> 2018</w:t>
            </w:r>
            <w:r w:rsidRPr="00A94BC3">
              <w:rPr>
                <w:rFonts w:eastAsia="Times New Roman" w:cs="Arial"/>
                <w:color w:val="000000"/>
                <w:sz w:val="12"/>
                <w:szCs w:val="12"/>
                <w:lang w:eastAsia="en-GB"/>
              </w:rPr>
              <w:fldChar w:fldCharType="begin"/>
            </w:r>
            <w:r w:rsidRPr="00A94BC3">
              <w:rPr>
                <w:rFonts w:eastAsia="Times New Roman" w:cs="Arial"/>
                <w:color w:val="000000"/>
                <w:sz w:val="12"/>
                <w:szCs w:val="12"/>
                <w:lang w:eastAsia="en-GB"/>
              </w:rPr>
              <w:instrText xml:space="preserve"> ADDIN ZOTERO_ITEM CSL_CITATION {"citationID":"up3wfLtz","properties":{"formattedCitation":"\\super 42\\nosupersub{}","plainCitation":"42","noteIndex":0},"citationItems":[{"id":24625,"uris":["http://zotero.org/users/7501526/items/B9NYNF46"],"itemData":{"id":24625,"type":"article-journal","abstract":"Objective To identify demographic determinants of peripheral nerve diffusion tensor imaging (DTI) and to establish normal values for fractional anisotropy (FA), axial diffusivity (AD), radial diffusivity (RD), and mean diffusivity (MD).\nMethods Sixty subjects were examined at 3 Tesla by singleshot DTI. FA, AD, RD, and MD were collected for the sciatic, tibial, median, ulnar, and radial nerve and were correlated with demographic variables.\nResults Mean FA of all nerves declined with increasing age (r = −0.77), which could be explained by RD increasing (r = 0.56) and AD declining (r = −0.40) with age. Moreover, FA was inversely associated with height (r = −0.28), weight (r = −0.38) and BMI (r = −0.35). Although FA tended to be lower in men than women (p = 0.052), this difference became completely negligible after adjustment to body weight. A multiple linear regression model for FA was calculated with age and weight as predictors (defined by backward variable selection), yielding an R2 = 0.71 and providing a correction formula to adjust FA for age and weight.\nConclusion Peripheral nerve DTI parameters depend on demographic variables. The most important determinants age and weight should be considered in all studies employing peripheral nerve DTI.","container-title":"European Radiology","DOI":"10.1007/s00330-017-5134-z","ISSN":"0938-7994, 1432-1084","issue":"5","journalAbbreviation":"Eur Radiol","language":"en","page":"1801-1808","source":"DOI.org (Crossref)","title":"Peripheral nerve diffusion tensor imaging (DTI): normal values and demographic determinants in a cohort of 60 healthy individuals","title-short":"Peripheral nerve diffusion tensor imaging (DTI)","volume":"28","author":[{"family":"Kronlage","given":"Moritz"},{"family":"Schwehr","given":"Véronique"},{"family":"Schwarz","given":"Daniel"},{"family":"Godel","given":"Tim"},{"family":"Uhlmann","given":"Lorenz"},{"family":"Heiland","given":"Sabine"},{"family":"Bendszus","given":"Martin"},{"family":"Bäumer","given":"Philipp"}],"issued":{"date-parts":[["2018",5]]}}}],"schema":"https://github.com/citation-style-language/schema/raw/master/csl-citation.json"} </w:instrText>
            </w:r>
            <w:r w:rsidRPr="00A94BC3">
              <w:rPr>
                <w:rFonts w:eastAsia="Times New Roman" w:cs="Arial"/>
                <w:color w:val="000000"/>
                <w:sz w:val="12"/>
                <w:szCs w:val="12"/>
                <w:lang w:eastAsia="en-GB"/>
              </w:rPr>
              <w:fldChar w:fldCharType="separate"/>
            </w:r>
            <w:r w:rsidRPr="00A94BC3">
              <w:rPr>
                <w:rFonts w:cs="Arial"/>
                <w:sz w:val="12"/>
                <w:szCs w:val="24"/>
                <w:vertAlign w:val="superscript"/>
              </w:rPr>
              <w:t>42</w:t>
            </w:r>
            <w:r w:rsidRPr="00A94BC3">
              <w:rPr>
                <w:rFonts w:eastAsia="Times New Roman" w:cs="Arial"/>
                <w:color w:val="000000"/>
                <w:sz w:val="12"/>
                <w:szCs w:val="12"/>
                <w:lang w:eastAsia="en-GB"/>
              </w:rPr>
              <w:fldChar w:fldCharType="end"/>
            </w:r>
          </w:p>
        </w:tc>
        <w:tc>
          <w:tcPr>
            <w:tcW w:w="864" w:type="dxa"/>
            <w:shd w:val="clear" w:color="auto" w:fill="FFFFFF" w:themeFill="background1"/>
            <w:noWrap/>
            <w:vAlign w:val="center"/>
            <w:hideMark/>
          </w:tcPr>
          <w:p w14:paraId="5AA69F76"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Germany</w:t>
            </w:r>
          </w:p>
        </w:tc>
        <w:tc>
          <w:tcPr>
            <w:tcW w:w="1150" w:type="dxa"/>
            <w:shd w:val="clear" w:color="auto" w:fill="FFFFFF" w:themeFill="background1"/>
            <w:noWrap/>
            <w:vAlign w:val="center"/>
            <w:hideMark/>
          </w:tcPr>
          <w:p w14:paraId="45406063"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Siemens</w:t>
            </w:r>
          </w:p>
          <w:p w14:paraId="51BE8CBB"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TIM-TRIO (3T)</w:t>
            </w:r>
          </w:p>
        </w:tc>
        <w:tc>
          <w:tcPr>
            <w:tcW w:w="663" w:type="dxa"/>
            <w:shd w:val="clear" w:color="auto" w:fill="FFFFFF" w:themeFill="background1"/>
            <w:noWrap/>
            <w:vAlign w:val="center"/>
            <w:hideMark/>
          </w:tcPr>
          <w:p w14:paraId="1629C8D0"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92.8 (4000)</w:t>
            </w:r>
          </w:p>
        </w:tc>
        <w:tc>
          <w:tcPr>
            <w:tcW w:w="463" w:type="dxa"/>
            <w:shd w:val="clear" w:color="auto" w:fill="FFFFFF" w:themeFill="background1"/>
            <w:noWrap/>
            <w:vAlign w:val="center"/>
            <w:hideMark/>
          </w:tcPr>
          <w:p w14:paraId="5C099619"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SS</w:t>
            </w:r>
          </w:p>
        </w:tc>
        <w:tc>
          <w:tcPr>
            <w:tcW w:w="1864" w:type="dxa"/>
            <w:shd w:val="clear" w:color="auto" w:fill="FFFFFF" w:themeFill="background1"/>
            <w:noWrap/>
            <w:vAlign w:val="center"/>
            <w:hideMark/>
          </w:tcPr>
          <w:p w14:paraId="76D0224F"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Superman (Flexible [R], 16)</w:t>
            </w:r>
          </w:p>
        </w:tc>
        <w:tc>
          <w:tcPr>
            <w:tcW w:w="1134" w:type="dxa"/>
            <w:shd w:val="clear" w:color="auto" w:fill="FFFFFF" w:themeFill="background1"/>
            <w:noWrap/>
            <w:vAlign w:val="center"/>
            <w:hideMark/>
          </w:tcPr>
          <w:p w14:paraId="29C119C0"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GRAPPA (</w:t>
            </w:r>
            <w:r w:rsidRPr="00A94BC3">
              <w:rPr>
                <w:rFonts w:cs="Arial"/>
                <w:sz w:val="12"/>
                <w:szCs w:val="12"/>
              </w:rPr>
              <w:t>¥</w:t>
            </w:r>
            <w:r w:rsidRPr="00A94BC3">
              <w:rPr>
                <w:rFonts w:eastAsia="Times New Roman" w:cs="Arial"/>
                <w:color w:val="000000"/>
                <w:sz w:val="12"/>
                <w:szCs w:val="12"/>
                <w:lang w:eastAsia="en-GB"/>
              </w:rPr>
              <w:t>)</w:t>
            </w:r>
          </w:p>
        </w:tc>
        <w:tc>
          <w:tcPr>
            <w:tcW w:w="1276" w:type="dxa"/>
            <w:shd w:val="clear" w:color="auto" w:fill="FFFFFF" w:themeFill="background1"/>
            <w:noWrap/>
            <w:vAlign w:val="center"/>
            <w:hideMark/>
          </w:tcPr>
          <w:p w14:paraId="7005A7B3"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1.25x1.25x4</w:t>
            </w:r>
          </w:p>
        </w:tc>
        <w:tc>
          <w:tcPr>
            <w:tcW w:w="850" w:type="dxa"/>
            <w:shd w:val="clear" w:color="auto" w:fill="FFFFFF" w:themeFill="background1"/>
            <w:noWrap/>
            <w:vAlign w:val="center"/>
            <w:hideMark/>
          </w:tcPr>
          <w:p w14:paraId="23FF6CC6"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3</w:t>
            </w:r>
          </w:p>
        </w:tc>
        <w:tc>
          <w:tcPr>
            <w:tcW w:w="1134" w:type="dxa"/>
            <w:shd w:val="clear" w:color="auto" w:fill="FFFFFF" w:themeFill="background1"/>
            <w:noWrap/>
            <w:vAlign w:val="center"/>
            <w:hideMark/>
          </w:tcPr>
          <w:p w14:paraId="18FCAD64"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1000 (20)</w:t>
            </w:r>
          </w:p>
        </w:tc>
        <w:tc>
          <w:tcPr>
            <w:tcW w:w="709" w:type="dxa"/>
            <w:shd w:val="clear" w:color="auto" w:fill="FFFFFF" w:themeFill="background1"/>
            <w:noWrap/>
            <w:vAlign w:val="center"/>
            <w:hideMark/>
          </w:tcPr>
          <w:p w14:paraId="3094976B"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2</w:t>
            </w:r>
          </w:p>
        </w:tc>
        <w:tc>
          <w:tcPr>
            <w:tcW w:w="992" w:type="dxa"/>
            <w:shd w:val="clear" w:color="auto" w:fill="FFFFFF" w:themeFill="background1"/>
            <w:noWrap/>
            <w:vAlign w:val="center"/>
            <w:hideMark/>
          </w:tcPr>
          <w:p w14:paraId="4F819F4A"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60 (60) 30:30</w:t>
            </w:r>
          </w:p>
        </w:tc>
        <w:tc>
          <w:tcPr>
            <w:tcW w:w="1418" w:type="dxa"/>
            <w:shd w:val="clear" w:color="auto" w:fill="FFFFFF" w:themeFill="background1"/>
            <w:noWrap/>
            <w:vAlign w:val="center"/>
            <w:hideMark/>
          </w:tcPr>
          <w:p w14:paraId="3AC8B54C"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50.1 (17. 3) [25-80]</w:t>
            </w:r>
          </w:p>
        </w:tc>
      </w:tr>
      <w:tr w:rsidR="009A77FE" w:rsidRPr="00A94BC3" w14:paraId="7B295518" w14:textId="77777777" w:rsidTr="00DB1827">
        <w:trPr>
          <w:trHeight w:val="340"/>
        </w:trPr>
        <w:tc>
          <w:tcPr>
            <w:tcW w:w="950" w:type="dxa"/>
            <w:shd w:val="clear" w:color="auto" w:fill="FFFFFF" w:themeFill="background1"/>
            <w:noWrap/>
            <w:vAlign w:val="center"/>
            <w:hideMark/>
          </w:tcPr>
          <w:p w14:paraId="69E6EDD4" w14:textId="77777777" w:rsidR="009A77FE" w:rsidRPr="00A94BC3" w:rsidRDefault="009A77FE" w:rsidP="00DB1827">
            <w:pPr>
              <w:spacing w:line="240" w:lineRule="auto"/>
              <w:jc w:val="right"/>
              <w:rPr>
                <w:rFonts w:eastAsia="Times New Roman" w:cs="Arial"/>
                <w:color w:val="000000"/>
                <w:sz w:val="12"/>
                <w:szCs w:val="12"/>
                <w:lang w:eastAsia="en-GB"/>
              </w:rPr>
            </w:pPr>
            <w:proofErr w:type="spellStart"/>
            <w:r w:rsidRPr="00A94BC3">
              <w:rPr>
                <w:rFonts w:eastAsia="Times New Roman" w:cs="Arial"/>
                <w:color w:val="000000"/>
                <w:sz w:val="12"/>
                <w:szCs w:val="12"/>
                <w:lang w:eastAsia="en-GB"/>
              </w:rPr>
              <w:t>Raval</w:t>
            </w:r>
            <w:proofErr w:type="spellEnd"/>
            <w:r w:rsidRPr="00A94BC3">
              <w:rPr>
                <w:rFonts w:eastAsia="Times New Roman" w:cs="Arial"/>
                <w:color w:val="000000"/>
                <w:sz w:val="12"/>
                <w:szCs w:val="12"/>
                <w:lang w:eastAsia="en-GB"/>
              </w:rPr>
              <w:t xml:space="preserve"> 2017</w:t>
            </w:r>
            <w:r w:rsidRPr="00A94BC3">
              <w:rPr>
                <w:rFonts w:eastAsia="Times New Roman" w:cs="Arial"/>
                <w:color w:val="000000"/>
                <w:sz w:val="12"/>
                <w:szCs w:val="12"/>
                <w:lang w:eastAsia="en-GB"/>
              </w:rPr>
              <w:fldChar w:fldCharType="begin"/>
            </w:r>
            <w:r w:rsidRPr="00A94BC3">
              <w:rPr>
                <w:rFonts w:eastAsia="Times New Roman" w:cs="Arial"/>
                <w:color w:val="000000"/>
                <w:sz w:val="12"/>
                <w:szCs w:val="12"/>
                <w:lang w:eastAsia="en-GB"/>
              </w:rPr>
              <w:instrText xml:space="preserve"> ADDIN ZOTERO_ITEM CSL_CITATION {"citationID":"9qjIhvEB","properties":{"formattedCitation":"\\super 30\\nosupersub{}","plainCitation":"30","noteIndex":0},"citationItems":[{"id":24605,"uris":["http://zotero.org/users/7501526/items/I4Z9ZU6W"],"itemData":{"id":24605,"type":"article-journal","abstract":"Objective \nThe purpose of this study was to explore the efficacy of Ultra-high field [UHF] 7 Tesla [T] MRI as compared to 3T MRI in non-contrast enhanced [nCE] imaging of structural anatomy in the elbow, forearm, and hand [upper extremity].\n\n\nMaterials and method\nA wide range of sequences including T1 weighted [T1] volumetric interpolate breath-hold exam [VIBE], T2 weighted [T2] double-echo steady state [DESS], susceptibility weighted imaging [SWI], time-of-flight [TOF], diffusion tensor imaging [DTI], and diffusion spectrum imaging [DSI] were optimized and incorporated with a radiofrequency [RF] coil system composed of a transverse electromagnetic [TEM] transmit coil combined with an 8-channel receive-only array for 7T upper extremity [UE] imaging. In addition, Siemens optimized protocol/sequences were used on a 3T scanner and the resulting images from T1 VIBE and T2 DESS were compared to that obtained at 7T qualitatively and quantitatively [SWI was only qualitatively compared]. DSI studio was utilized to identify nerves based on analysis of diffusion weighted derived fractional anisotropy images. Images of forearm vasculature were extracted using a paint grow manual segmentation method based on MIPAV [Medical Image Processing, Analysis, and Visualization].\n\n\nResults\nHigh resolution and high quality signal-to-noise ratio [SNR] and contrast-to-noise ratio [CNR]—images of the hand, forearm, and elbow were acquired with nearly homogeneous 7T excitation. Measured [performed on the T1 VIBE and T2 DESS sequences] SNR and CNR values were almost doubled at 7T vs. 3T. Cartilage, synovial fluid and tendon structures could be seen with higher clarity in the 7T T1 and T2 weighted images. SWI allowed high resolution and better quality imaging of large and medium sized arteries and veins, capillary networks and arteriovenous anastomoses at 7T when compared to 3T. 7T diffusion weighted sequence [not performed at 3T] demonstrates that the forearm nerves are clearly delineated by fiber tractography. The proper digital palmar arteries and superficial palmar arch could also be clearly visualized using TOF nCE 7T MRI.\n\n\nConclusion\nUltra-high resolution neurovascular imaging in upper extremities is possible at 7T without use of renal toxic intravenous contrast. 7T MRI can provide superior peripheral nerve [based on fiber anisotropy and diffusion coefficient parameters derived from diffusion tensor/spectrum imaging] and vascular [nCE MRA and vessel segmentation] imaging.","container-title":"PloS one","DOI":"10.1371/journal.pone.0175629","issue":"6","note":"publisher: Public Library of Science","page":"e0175629-NA","title":"Ultra-high field upper extremity peripheral nerve and non-contrast enhanced vascular imaging.","volume":"12","author":[{"family":"Raval","given":"Shailesh B.; Britton","suffix":"Cynthia A.; Zhao, Tiejun; Krishnamurthy, Narayanan; Santini, Tales; Gorantla, Vijay S.; Ibrahim, Tamer S."}],"issued":{"date-parts":[["2017"]]}}}],"schema":"https://github.com/citation-style-language/schema/raw/master/csl-citation.json"} </w:instrText>
            </w:r>
            <w:r w:rsidRPr="00A94BC3">
              <w:rPr>
                <w:rFonts w:eastAsia="Times New Roman" w:cs="Arial"/>
                <w:color w:val="000000"/>
                <w:sz w:val="12"/>
                <w:szCs w:val="12"/>
                <w:lang w:eastAsia="en-GB"/>
              </w:rPr>
              <w:fldChar w:fldCharType="separate"/>
            </w:r>
            <w:r w:rsidRPr="00A94BC3">
              <w:rPr>
                <w:rFonts w:cs="Arial"/>
                <w:sz w:val="12"/>
                <w:szCs w:val="24"/>
                <w:vertAlign w:val="superscript"/>
              </w:rPr>
              <w:t>30</w:t>
            </w:r>
            <w:r w:rsidRPr="00A94BC3">
              <w:rPr>
                <w:rFonts w:eastAsia="Times New Roman" w:cs="Arial"/>
                <w:color w:val="000000"/>
                <w:sz w:val="12"/>
                <w:szCs w:val="12"/>
                <w:lang w:eastAsia="en-GB"/>
              </w:rPr>
              <w:fldChar w:fldCharType="end"/>
            </w:r>
          </w:p>
        </w:tc>
        <w:tc>
          <w:tcPr>
            <w:tcW w:w="864" w:type="dxa"/>
            <w:shd w:val="clear" w:color="auto" w:fill="FFFFFF" w:themeFill="background1"/>
            <w:noWrap/>
            <w:vAlign w:val="center"/>
            <w:hideMark/>
          </w:tcPr>
          <w:p w14:paraId="5B3EDA78"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 xml:space="preserve">USA </w:t>
            </w:r>
          </w:p>
        </w:tc>
        <w:tc>
          <w:tcPr>
            <w:tcW w:w="1150" w:type="dxa"/>
            <w:shd w:val="clear" w:color="auto" w:fill="FFFFFF" w:themeFill="background1"/>
            <w:noWrap/>
            <w:vAlign w:val="center"/>
            <w:hideMark/>
          </w:tcPr>
          <w:p w14:paraId="1550227C"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Siemens</w:t>
            </w:r>
          </w:p>
          <w:p w14:paraId="3E47B04F"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TIM-TRIO (7T)</w:t>
            </w:r>
          </w:p>
        </w:tc>
        <w:tc>
          <w:tcPr>
            <w:tcW w:w="663" w:type="dxa"/>
            <w:shd w:val="clear" w:color="auto" w:fill="FFFFFF" w:themeFill="background1"/>
            <w:noWrap/>
            <w:vAlign w:val="center"/>
            <w:hideMark/>
          </w:tcPr>
          <w:p w14:paraId="5F43A88E"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83 (7000)</w:t>
            </w:r>
          </w:p>
        </w:tc>
        <w:tc>
          <w:tcPr>
            <w:tcW w:w="463" w:type="dxa"/>
            <w:shd w:val="clear" w:color="auto" w:fill="FFFFFF" w:themeFill="background1"/>
            <w:noWrap/>
            <w:vAlign w:val="center"/>
            <w:hideMark/>
          </w:tcPr>
          <w:p w14:paraId="41A631F8"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cs="Arial"/>
                <w:sz w:val="12"/>
                <w:szCs w:val="12"/>
              </w:rPr>
              <w:t>¥</w:t>
            </w:r>
          </w:p>
        </w:tc>
        <w:tc>
          <w:tcPr>
            <w:tcW w:w="1864" w:type="dxa"/>
            <w:shd w:val="clear" w:color="auto" w:fill="FFFFFF" w:themeFill="background1"/>
            <w:noWrap/>
            <w:vAlign w:val="center"/>
            <w:hideMark/>
          </w:tcPr>
          <w:p w14:paraId="1FD7BD87"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Superman (Flexible [R], 8)</w:t>
            </w:r>
          </w:p>
        </w:tc>
        <w:tc>
          <w:tcPr>
            <w:tcW w:w="1134" w:type="dxa"/>
            <w:shd w:val="clear" w:color="auto" w:fill="FFFFFF" w:themeFill="background1"/>
            <w:noWrap/>
            <w:vAlign w:val="center"/>
            <w:hideMark/>
          </w:tcPr>
          <w:p w14:paraId="328EB3FE"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Used but ¥ (¥)</w:t>
            </w:r>
          </w:p>
        </w:tc>
        <w:tc>
          <w:tcPr>
            <w:tcW w:w="1276" w:type="dxa"/>
            <w:shd w:val="clear" w:color="auto" w:fill="FFFFFF" w:themeFill="background1"/>
            <w:noWrap/>
            <w:vAlign w:val="center"/>
            <w:hideMark/>
          </w:tcPr>
          <w:p w14:paraId="279BE9D9"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0.14x0.14x3</w:t>
            </w:r>
          </w:p>
        </w:tc>
        <w:tc>
          <w:tcPr>
            <w:tcW w:w="850" w:type="dxa"/>
            <w:shd w:val="clear" w:color="auto" w:fill="FFFFFF" w:themeFill="background1"/>
            <w:noWrap/>
            <w:vAlign w:val="center"/>
            <w:hideMark/>
          </w:tcPr>
          <w:p w14:paraId="2366E3C1"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5</w:t>
            </w:r>
          </w:p>
        </w:tc>
        <w:tc>
          <w:tcPr>
            <w:tcW w:w="1134" w:type="dxa"/>
            <w:shd w:val="clear" w:color="auto" w:fill="FFFFFF" w:themeFill="background1"/>
            <w:noWrap/>
            <w:vAlign w:val="center"/>
            <w:hideMark/>
          </w:tcPr>
          <w:p w14:paraId="3D3C2640"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1300 (64)</w:t>
            </w:r>
          </w:p>
        </w:tc>
        <w:tc>
          <w:tcPr>
            <w:tcW w:w="709" w:type="dxa"/>
            <w:shd w:val="clear" w:color="auto" w:fill="FFFFFF" w:themeFill="background1"/>
            <w:noWrap/>
            <w:vAlign w:val="center"/>
            <w:hideMark/>
          </w:tcPr>
          <w:p w14:paraId="47943580"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2</w:t>
            </w:r>
          </w:p>
        </w:tc>
        <w:tc>
          <w:tcPr>
            <w:tcW w:w="992" w:type="dxa"/>
            <w:shd w:val="clear" w:color="auto" w:fill="FFFFFF" w:themeFill="background1"/>
            <w:noWrap/>
            <w:vAlign w:val="center"/>
            <w:hideMark/>
          </w:tcPr>
          <w:p w14:paraId="1BD53795"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 xml:space="preserve">3 (3) </w:t>
            </w:r>
            <w:proofErr w:type="gramStart"/>
            <w:r w:rsidRPr="00A94BC3">
              <w:rPr>
                <w:rFonts w:eastAsia="Times New Roman" w:cs="Arial"/>
                <w:color w:val="000000"/>
                <w:sz w:val="12"/>
                <w:szCs w:val="12"/>
                <w:lang w:eastAsia="en-GB"/>
              </w:rPr>
              <w:t>¥:¥</w:t>
            </w:r>
            <w:proofErr w:type="gramEnd"/>
          </w:p>
        </w:tc>
        <w:tc>
          <w:tcPr>
            <w:tcW w:w="1418" w:type="dxa"/>
            <w:shd w:val="clear" w:color="auto" w:fill="FFFFFF" w:themeFill="background1"/>
            <w:noWrap/>
            <w:vAlign w:val="center"/>
            <w:hideMark/>
          </w:tcPr>
          <w:p w14:paraId="5DC21EED"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 (¥) [¥-¥]</w:t>
            </w:r>
          </w:p>
        </w:tc>
      </w:tr>
      <w:tr w:rsidR="009A77FE" w:rsidRPr="00A94BC3" w14:paraId="12B48597" w14:textId="77777777" w:rsidTr="00DB1827">
        <w:trPr>
          <w:trHeight w:val="340"/>
        </w:trPr>
        <w:tc>
          <w:tcPr>
            <w:tcW w:w="950" w:type="dxa"/>
            <w:shd w:val="clear" w:color="auto" w:fill="FFFFFF" w:themeFill="background1"/>
            <w:noWrap/>
            <w:vAlign w:val="center"/>
          </w:tcPr>
          <w:p w14:paraId="7BB2623E"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Griffiths 2021</w:t>
            </w:r>
            <w:r w:rsidRPr="00A94BC3">
              <w:rPr>
                <w:rFonts w:eastAsia="Times New Roman" w:cs="Arial"/>
                <w:color w:val="000000"/>
                <w:sz w:val="12"/>
                <w:szCs w:val="12"/>
                <w:lang w:eastAsia="en-GB"/>
              </w:rPr>
              <w:fldChar w:fldCharType="begin"/>
            </w:r>
            <w:r w:rsidRPr="00A94BC3">
              <w:rPr>
                <w:rFonts w:eastAsia="Times New Roman" w:cs="Arial"/>
                <w:color w:val="000000"/>
                <w:sz w:val="12"/>
                <w:szCs w:val="12"/>
                <w:lang w:eastAsia="en-GB"/>
              </w:rPr>
              <w:instrText xml:space="preserve"> ADDIN ZOTERO_ITEM CSL_CITATION {"citationID":"YvDuXZRY","properties":{"formattedCitation":"\\super 40\\nosupersub{}","plainCitation":"40","noteIndex":0},"citationItems":[{"id":24612,"uris":["http://zotero.org/users/7501526/items/L3GPT5TJ"],"itemData":{"id":24612,"type":"article-journal","abstract":"Cubital tunnel syndrome (CuTS) is the 2nd most common compressive neuropathy. To improve both diagnosis and the selection of patients for surgery, there is a pressing need to develop a reliable and objective test of ulnar nerve ‘health’. Diffusion tensor imaging (DTI) characterises tissue microstructure and may identify differences in the normal ulnar from those affected by CuTS. The aim of this study was to compare the DTI metrics from the ulnar nerves of healthy (asymptomatic) adults and patients with CuTS awaiting surgery. DTI was acquired at 3.0 T using single-shot echo-planar imaging (55 axial slices, 3 mm thick, 1.5 mm2 in-plane) with 30 diffusion sensitising gradient directions, a b-value of 800 s/mm2 and 4 signal averages. The sequence was repeated with the phase-encoding direction reversed. Data were combined and corrected using the FMRIB Software Library (FSL) and reconstructed using generalized q-sampling imaging in DSI Studio. Throughout the length of the ulnar nerve, the fractional anisotropy (FA), quantitative anisotropy (QA), mean diffusivity (MD), axial diffusivity (AD) and radial diffusivity (RD) were extracted, then compared using mixed-effects linear regression. Thirteen healthy controls (8 males, 5 females) and 8 patients with CuTS (6 males, 2 females) completed the study. Throughout the length of the ulnar nerve, diffusion was more isotropic in patients with CuTS. Overall, patients with CuTS had a 6% lower FA than controls, with the largest difference observed proximal to the cubital tunnel (mean difference 0.087 [95% CI 0.035, 0.141]). Patients with CuTS also had a higher RD than controls, with the largest disparity observed within the forearm (mean difference 0.252 × 10–4 mm2/s [95% CI 0.085 × 10–4, 0.419 × 10–4]). There were no significant differences between patients and controls in QA, MD or AD. Throughout the length of the ulnar nerve, the fractional anisotropy and radial diffusivity in patients with CuTS are different to healthy controls. These findings suggest that DTI may provide an objective assessment of the ulnar nerve and potentially, improve the management of CuTS.","container-title":"Scientific reports","DOI":"10.1038/s41598-021-94211-7","issue":"1","note":"publisher: Nature Publishing Group","page":"14982-NA","title":"Diffusion tensor imaging in cubital tunnel syndrome.","volume":"11","author":[{"family":"Griffiths","given":"Timothy T; Flather","suffix":"Robert; Teh, Irvin; Haroon, Hamied A.; Shelley, David; Plein, Sven; Bourke, Grainne; Wade, Ryckie G."}],"issued":{"date-parts":[["2021"]]}}}],"schema":"https://github.com/citation-style-language/schema/raw/master/csl-citation.json"} </w:instrText>
            </w:r>
            <w:r w:rsidRPr="00A94BC3">
              <w:rPr>
                <w:rFonts w:eastAsia="Times New Roman" w:cs="Arial"/>
                <w:color w:val="000000"/>
                <w:sz w:val="12"/>
                <w:szCs w:val="12"/>
                <w:lang w:eastAsia="en-GB"/>
              </w:rPr>
              <w:fldChar w:fldCharType="separate"/>
            </w:r>
            <w:r w:rsidRPr="00A94BC3">
              <w:rPr>
                <w:rFonts w:cs="Arial"/>
                <w:sz w:val="12"/>
                <w:szCs w:val="24"/>
                <w:vertAlign w:val="superscript"/>
              </w:rPr>
              <w:t>40</w:t>
            </w:r>
            <w:r w:rsidRPr="00A94BC3">
              <w:rPr>
                <w:rFonts w:eastAsia="Times New Roman" w:cs="Arial"/>
                <w:color w:val="000000"/>
                <w:sz w:val="12"/>
                <w:szCs w:val="12"/>
                <w:lang w:eastAsia="en-GB"/>
              </w:rPr>
              <w:fldChar w:fldCharType="end"/>
            </w:r>
          </w:p>
        </w:tc>
        <w:tc>
          <w:tcPr>
            <w:tcW w:w="864" w:type="dxa"/>
            <w:shd w:val="clear" w:color="auto" w:fill="FFFFFF" w:themeFill="background1"/>
            <w:noWrap/>
            <w:vAlign w:val="center"/>
          </w:tcPr>
          <w:p w14:paraId="056FCD5A"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UK</w:t>
            </w:r>
          </w:p>
        </w:tc>
        <w:tc>
          <w:tcPr>
            <w:tcW w:w="1150" w:type="dxa"/>
            <w:shd w:val="clear" w:color="auto" w:fill="FFFFFF" w:themeFill="background1"/>
            <w:noWrap/>
            <w:vAlign w:val="center"/>
          </w:tcPr>
          <w:p w14:paraId="2D25ADAB"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Siemens</w:t>
            </w:r>
          </w:p>
          <w:p w14:paraId="198446E6"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Prisma (3T)</w:t>
            </w:r>
          </w:p>
        </w:tc>
        <w:tc>
          <w:tcPr>
            <w:tcW w:w="663" w:type="dxa"/>
            <w:shd w:val="clear" w:color="auto" w:fill="FFFFFF" w:themeFill="background1"/>
            <w:noWrap/>
            <w:vAlign w:val="center"/>
          </w:tcPr>
          <w:p w14:paraId="02A0ADDD"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74 (7800)</w:t>
            </w:r>
          </w:p>
        </w:tc>
        <w:tc>
          <w:tcPr>
            <w:tcW w:w="463" w:type="dxa"/>
            <w:shd w:val="clear" w:color="auto" w:fill="FFFFFF" w:themeFill="background1"/>
            <w:noWrap/>
            <w:vAlign w:val="center"/>
          </w:tcPr>
          <w:p w14:paraId="693AB5A0" w14:textId="77777777" w:rsidR="009A77FE" w:rsidRPr="00A94BC3" w:rsidRDefault="009A77FE" w:rsidP="00DB1827">
            <w:pPr>
              <w:spacing w:line="240" w:lineRule="auto"/>
              <w:jc w:val="right"/>
              <w:rPr>
                <w:rFonts w:cs="Arial"/>
                <w:sz w:val="12"/>
                <w:szCs w:val="12"/>
              </w:rPr>
            </w:pPr>
            <w:r w:rsidRPr="00A94BC3">
              <w:rPr>
                <w:rFonts w:eastAsia="Times New Roman" w:cs="Arial"/>
                <w:color w:val="000000"/>
                <w:sz w:val="12"/>
                <w:szCs w:val="12"/>
                <w:lang w:eastAsia="en-GB"/>
              </w:rPr>
              <w:t>SS</w:t>
            </w:r>
          </w:p>
        </w:tc>
        <w:tc>
          <w:tcPr>
            <w:tcW w:w="1864" w:type="dxa"/>
            <w:shd w:val="clear" w:color="auto" w:fill="FFFFFF" w:themeFill="background1"/>
            <w:noWrap/>
            <w:vAlign w:val="center"/>
          </w:tcPr>
          <w:p w14:paraId="0C5699C4"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Superman (Flexible [R], 4)</w:t>
            </w:r>
          </w:p>
        </w:tc>
        <w:tc>
          <w:tcPr>
            <w:tcW w:w="1134" w:type="dxa"/>
            <w:shd w:val="clear" w:color="auto" w:fill="FFFFFF" w:themeFill="background1"/>
            <w:noWrap/>
            <w:vAlign w:val="center"/>
          </w:tcPr>
          <w:p w14:paraId="7155A820"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GRAPPA (6/8)</w:t>
            </w:r>
          </w:p>
        </w:tc>
        <w:tc>
          <w:tcPr>
            <w:tcW w:w="1276" w:type="dxa"/>
            <w:shd w:val="clear" w:color="auto" w:fill="FFFFFF" w:themeFill="background1"/>
            <w:noWrap/>
            <w:vAlign w:val="center"/>
          </w:tcPr>
          <w:p w14:paraId="7E1FCF1A"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1.5x1.5x3</w:t>
            </w:r>
          </w:p>
        </w:tc>
        <w:tc>
          <w:tcPr>
            <w:tcW w:w="850" w:type="dxa"/>
            <w:shd w:val="clear" w:color="auto" w:fill="FFFFFF" w:themeFill="background1"/>
            <w:noWrap/>
            <w:vAlign w:val="center"/>
          </w:tcPr>
          <w:p w14:paraId="255925D6"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4</w:t>
            </w:r>
          </w:p>
        </w:tc>
        <w:tc>
          <w:tcPr>
            <w:tcW w:w="1134" w:type="dxa"/>
            <w:shd w:val="clear" w:color="auto" w:fill="FFFFFF" w:themeFill="background1"/>
            <w:noWrap/>
            <w:vAlign w:val="center"/>
          </w:tcPr>
          <w:p w14:paraId="680D534A"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800 (30)</w:t>
            </w:r>
          </w:p>
        </w:tc>
        <w:tc>
          <w:tcPr>
            <w:tcW w:w="709" w:type="dxa"/>
            <w:shd w:val="clear" w:color="auto" w:fill="FFFFFF" w:themeFill="background1"/>
            <w:noWrap/>
            <w:vAlign w:val="center"/>
          </w:tcPr>
          <w:p w14:paraId="624121D6"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2</w:t>
            </w:r>
          </w:p>
        </w:tc>
        <w:tc>
          <w:tcPr>
            <w:tcW w:w="992" w:type="dxa"/>
            <w:shd w:val="clear" w:color="auto" w:fill="FFFFFF" w:themeFill="background1"/>
            <w:noWrap/>
            <w:vAlign w:val="center"/>
          </w:tcPr>
          <w:p w14:paraId="77BBF46B"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13 (13) 8:5</w:t>
            </w:r>
          </w:p>
        </w:tc>
        <w:tc>
          <w:tcPr>
            <w:tcW w:w="1418" w:type="dxa"/>
            <w:shd w:val="clear" w:color="auto" w:fill="FFFFFF" w:themeFill="background1"/>
            <w:noWrap/>
            <w:vAlign w:val="center"/>
          </w:tcPr>
          <w:p w14:paraId="009C995F"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28 (6) [21-40]</w:t>
            </w:r>
          </w:p>
        </w:tc>
      </w:tr>
      <w:tr w:rsidR="009A77FE" w:rsidRPr="00A94BC3" w14:paraId="24E030C0" w14:textId="77777777" w:rsidTr="00DB1827">
        <w:trPr>
          <w:trHeight w:val="340"/>
        </w:trPr>
        <w:tc>
          <w:tcPr>
            <w:tcW w:w="950" w:type="dxa"/>
            <w:shd w:val="clear" w:color="auto" w:fill="FFFFFF" w:themeFill="background1"/>
            <w:noWrap/>
            <w:vAlign w:val="center"/>
          </w:tcPr>
          <w:p w14:paraId="3275AE8D"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D'Souza 2021</w:t>
            </w:r>
            <w:r w:rsidRPr="00A94BC3">
              <w:rPr>
                <w:rFonts w:eastAsia="Times New Roman" w:cs="Arial"/>
                <w:color w:val="000000"/>
                <w:sz w:val="12"/>
                <w:szCs w:val="12"/>
                <w:lang w:eastAsia="en-GB"/>
              </w:rPr>
              <w:fldChar w:fldCharType="begin"/>
            </w:r>
            <w:r w:rsidRPr="00A94BC3">
              <w:rPr>
                <w:rFonts w:eastAsia="Times New Roman" w:cs="Arial"/>
                <w:color w:val="000000"/>
                <w:sz w:val="12"/>
                <w:szCs w:val="12"/>
                <w:lang w:eastAsia="en-GB"/>
              </w:rPr>
              <w:instrText xml:space="preserve"> ADDIN ZOTERO_ITEM CSL_CITATION {"citationID":"jdMb2l6L","properties":{"formattedCitation":"\\super 51\\nosupersub{}","plainCitation":"51","noteIndex":0},"citationItems":[{"id":24617,"uris":["http://zotero.org/users/7501526/items/XPN95G5K"],"itemData":{"id":24617,"type":"article-journal","abstract":"Diffusion-weighted imaging has been used to quantify peripheral nerve properties; however, traditional post-processing techniques have several limitations. Advanced neuroimaging techniques, which overcome many of these limitations, have not been applied to peripheral nerves. Here, we use state-of-the-art diffusion analysis tools to reconstruct the median and ulnar nerves and quantify their diffusion properties. Diffusion-weighted MRI scans were obtained from eight healthy adult subjects. Constrained spherical deconvolution was combined with probabilistic fibre tracking to compute track-weighted fibre orientation distribution (TW-FOD). The tensor was computed and used along with the tracks to estimate TW apparent diffusion coefficient (TW-ADC), TW fractional anisotropy (TW-FA), TW axial diffusivity (TW-AD), and TW radial diffusivity (TW-RD). Variability of TW measurements was used to estimate power size information. The population intersession mean (± SD) measurements for the median nerve were TW-FOD 1.30 (±0.17), TW-ADC 1.16 (±0.13) × 10&lt;sup&gt;-3&lt;/sup&gt;  mm&lt;sup&gt;2&lt;/sup&gt; /s, TW-FA 0.60 (±0.05), TW-AD 2.05 (±0.16) × 10&lt;sup&gt;-3&lt;/sup&gt;  mm&lt;sup&gt;2&lt;/sup&gt; /s, and TW-RD 0.72 (±0.12) × 10&lt;sup&gt;-3&lt;/sup&gt;  mm&lt;sup&gt;2&lt;/sup&gt; /s. The corresponding measurements for the ulnar nerve were TW-FOD 1.25 (±0.14), TW-ADC 1.13 (±0.10) × 10&lt;sup&gt;-3&lt;/sup&gt;  mm&lt;sup&gt;2&lt;/sup&gt; /s, TW-FA 0.56 (±0.06), TW-AD 1.93 (±0.01) × 10&lt;sup&gt;-3&lt;/sup&gt;  mm&lt;sup&gt;2&lt;/sup&gt; /s, and TW-RD 0.74 (±0.12) × 10&lt;sup&gt;-3&lt;/sup&gt;  mm&lt;sup&gt;2&lt;/sup&gt; /s. Based on these measurements, a sample size of 37 would be sufficient to detect a 10% difference in any of the measured TW metrics. A sample size of 20 would be large enough to detect within-subject differences as small as 2.9% (TW-AD, ulnar nerve) and between-subject differences as small as 3.8% (TW-AD, ulnar nerve).","container-title":"Journal of the peripheral nervous system : JPNS","DOI":"10.1111/jns.12478","issue":"NA","note":"publisher: Wiley-Blackwell","page":"NA-NA","title":"A robust framework for characterising diffusion metrics of the median and ulnar nerves: Exploiting state-of-the-art tracking methods.","volume":"NA","author":[{"family":"D'Souza","given":"Arkiev; Wang","suffix":"Chenyu; Tu, Sicong; Soligo, Domenic J; Kiernan, Matthew C; Barnett, Michael; Calamante, Fernando"}],"issued":{"date-parts":[["2021"]]}}}],"schema":"https://github.com/citation-style-language/schema/raw/master/csl-citation.json"} </w:instrText>
            </w:r>
            <w:r w:rsidRPr="00A94BC3">
              <w:rPr>
                <w:rFonts w:eastAsia="Times New Roman" w:cs="Arial"/>
                <w:color w:val="000000"/>
                <w:sz w:val="12"/>
                <w:szCs w:val="12"/>
                <w:lang w:eastAsia="en-GB"/>
              </w:rPr>
              <w:fldChar w:fldCharType="separate"/>
            </w:r>
            <w:r w:rsidRPr="00A94BC3">
              <w:rPr>
                <w:rFonts w:cs="Arial"/>
                <w:sz w:val="12"/>
                <w:szCs w:val="24"/>
                <w:vertAlign w:val="superscript"/>
              </w:rPr>
              <w:t>51</w:t>
            </w:r>
            <w:r w:rsidRPr="00A94BC3">
              <w:rPr>
                <w:rFonts w:eastAsia="Times New Roman" w:cs="Arial"/>
                <w:color w:val="000000"/>
                <w:sz w:val="12"/>
                <w:szCs w:val="12"/>
                <w:lang w:eastAsia="en-GB"/>
              </w:rPr>
              <w:fldChar w:fldCharType="end"/>
            </w:r>
          </w:p>
        </w:tc>
        <w:tc>
          <w:tcPr>
            <w:tcW w:w="864" w:type="dxa"/>
            <w:shd w:val="clear" w:color="auto" w:fill="FFFFFF" w:themeFill="background1"/>
            <w:noWrap/>
            <w:vAlign w:val="center"/>
          </w:tcPr>
          <w:p w14:paraId="67B61B25"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 xml:space="preserve">Australia </w:t>
            </w:r>
          </w:p>
        </w:tc>
        <w:tc>
          <w:tcPr>
            <w:tcW w:w="1150" w:type="dxa"/>
            <w:shd w:val="clear" w:color="auto" w:fill="FFFFFF" w:themeFill="background1"/>
            <w:noWrap/>
            <w:vAlign w:val="center"/>
          </w:tcPr>
          <w:p w14:paraId="503C3A50"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GE</w:t>
            </w:r>
          </w:p>
          <w:p w14:paraId="3195E562"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MR750 (3T)</w:t>
            </w:r>
          </w:p>
        </w:tc>
        <w:tc>
          <w:tcPr>
            <w:tcW w:w="663" w:type="dxa"/>
            <w:shd w:val="clear" w:color="auto" w:fill="FFFFFF" w:themeFill="background1"/>
            <w:noWrap/>
            <w:vAlign w:val="center"/>
          </w:tcPr>
          <w:p w14:paraId="5E8D9DAB"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72 (3900)</w:t>
            </w:r>
          </w:p>
        </w:tc>
        <w:tc>
          <w:tcPr>
            <w:tcW w:w="463" w:type="dxa"/>
            <w:shd w:val="clear" w:color="auto" w:fill="FFFFFF" w:themeFill="background1"/>
            <w:noWrap/>
            <w:vAlign w:val="center"/>
          </w:tcPr>
          <w:p w14:paraId="79E68461" w14:textId="77777777" w:rsidR="009A77FE" w:rsidRPr="00A94BC3" w:rsidRDefault="009A77FE" w:rsidP="00DB1827">
            <w:pPr>
              <w:spacing w:line="240" w:lineRule="auto"/>
              <w:jc w:val="right"/>
              <w:rPr>
                <w:rFonts w:cs="Arial"/>
                <w:sz w:val="12"/>
                <w:szCs w:val="12"/>
              </w:rPr>
            </w:pPr>
            <w:r w:rsidRPr="00A94BC3">
              <w:rPr>
                <w:rFonts w:eastAsia="Times New Roman" w:cs="Arial"/>
                <w:color w:val="000000"/>
                <w:sz w:val="12"/>
                <w:szCs w:val="12"/>
                <w:lang w:eastAsia="en-GB"/>
              </w:rPr>
              <w:t>SS</w:t>
            </w:r>
          </w:p>
        </w:tc>
        <w:tc>
          <w:tcPr>
            <w:tcW w:w="1864" w:type="dxa"/>
            <w:shd w:val="clear" w:color="auto" w:fill="FFFFFF" w:themeFill="background1"/>
            <w:noWrap/>
            <w:vAlign w:val="center"/>
          </w:tcPr>
          <w:p w14:paraId="1B718696"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Superman (Knee [T/R], 8)</w:t>
            </w:r>
          </w:p>
        </w:tc>
        <w:tc>
          <w:tcPr>
            <w:tcW w:w="1134" w:type="dxa"/>
            <w:shd w:val="clear" w:color="auto" w:fill="FFFFFF" w:themeFill="background1"/>
            <w:noWrap/>
            <w:vAlign w:val="center"/>
          </w:tcPr>
          <w:p w14:paraId="6D44DA04"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ASSET (Not used)</w:t>
            </w:r>
          </w:p>
        </w:tc>
        <w:tc>
          <w:tcPr>
            <w:tcW w:w="1276" w:type="dxa"/>
            <w:shd w:val="clear" w:color="auto" w:fill="FFFFFF" w:themeFill="background1"/>
            <w:noWrap/>
            <w:vAlign w:val="center"/>
          </w:tcPr>
          <w:p w14:paraId="056CCE22"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0.625x0.625x3</w:t>
            </w:r>
          </w:p>
        </w:tc>
        <w:tc>
          <w:tcPr>
            <w:tcW w:w="850" w:type="dxa"/>
            <w:shd w:val="clear" w:color="auto" w:fill="FFFFFF" w:themeFill="background1"/>
            <w:noWrap/>
            <w:vAlign w:val="center"/>
          </w:tcPr>
          <w:p w14:paraId="3A2C9970"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2</w:t>
            </w:r>
          </w:p>
        </w:tc>
        <w:tc>
          <w:tcPr>
            <w:tcW w:w="1134" w:type="dxa"/>
            <w:shd w:val="clear" w:color="auto" w:fill="FFFFFF" w:themeFill="background1"/>
            <w:noWrap/>
            <w:vAlign w:val="center"/>
          </w:tcPr>
          <w:p w14:paraId="5C07222C"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 xml:space="preserve">300, 450, 600, 750 and 900 (24) </w:t>
            </w:r>
          </w:p>
        </w:tc>
        <w:tc>
          <w:tcPr>
            <w:tcW w:w="709" w:type="dxa"/>
            <w:shd w:val="clear" w:color="auto" w:fill="FFFFFF" w:themeFill="background1"/>
            <w:noWrap/>
            <w:vAlign w:val="center"/>
          </w:tcPr>
          <w:p w14:paraId="18B6CC93"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 ¥</w:t>
            </w:r>
          </w:p>
        </w:tc>
        <w:tc>
          <w:tcPr>
            <w:tcW w:w="992" w:type="dxa"/>
            <w:shd w:val="clear" w:color="auto" w:fill="FFFFFF" w:themeFill="background1"/>
            <w:noWrap/>
            <w:vAlign w:val="center"/>
          </w:tcPr>
          <w:p w14:paraId="37D2EE08"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8 (8) 5:3</w:t>
            </w:r>
          </w:p>
        </w:tc>
        <w:tc>
          <w:tcPr>
            <w:tcW w:w="1418" w:type="dxa"/>
            <w:shd w:val="clear" w:color="auto" w:fill="FFFFFF" w:themeFill="background1"/>
            <w:noWrap/>
            <w:vAlign w:val="center"/>
          </w:tcPr>
          <w:p w14:paraId="32027F73"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30 (8) [¥-¥]</w:t>
            </w:r>
          </w:p>
        </w:tc>
      </w:tr>
      <w:tr w:rsidR="009A77FE" w:rsidRPr="00A94BC3" w14:paraId="6B7E0DC6" w14:textId="77777777" w:rsidTr="00DB1827">
        <w:trPr>
          <w:trHeight w:val="340"/>
        </w:trPr>
        <w:tc>
          <w:tcPr>
            <w:tcW w:w="950" w:type="dxa"/>
            <w:shd w:val="clear" w:color="auto" w:fill="FFFFFF" w:themeFill="background1"/>
            <w:noWrap/>
            <w:vAlign w:val="center"/>
          </w:tcPr>
          <w:p w14:paraId="47BB04A6"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Edward 2020</w:t>
            </w:r>
            <w:r w:rsidRPr="00A94BC3">
              <w:rPr>
                <w:rFonts w:eastAsia="Times New Roman" w:cs="Arial"/>
                <w:color w:val="000000"/>
                <w:sz w:val="12"/>
                <w:szCs w:val="12"/>
                <w:lang w:eastAsia="en-GB"/>
              </w:rPr>
              <w:fldChar w:fldCharType="begin"/>
            </w:r>
            <w:r w:rsidRPr="00A94BC3">
              <w:rPr>
                <w:rFonts w:eastAsia="Times New Roman" w:cs="Arial"/>
                <w:color w:val="000000"/>
                <w:sz w:val="12"/>
                <w:szCs w:val="12"/>
                <w:lang w:eastAsia="en-GB"/>
              </w:rPr>
              <w:instrText xml:space="preserve"> ADDIN ZOTERO_ITEM CSL_CITATION {"citationID":"1lHyI4Hi","properties":{"formattedCitation":"\\super 44\\nosupersub{}","plainCitation":"44","noteIndex":0},"citationItems":[{"id":24621,"uris":["http://zotero.org/users/7501526/items/3EVA4WX4"],"itemData":{"id":24621,"type":"article-journal","abstract":"Abstract\n            \n              Objective\n              To evaluate the role of diffusion tensor imaging (DTI) in the evaluation of diabetic peripheral neuropathy (DPN) compared to clinical scores and nerve conduction studies (NCS).\n            \n            \n              Patients and methods\n              We included 30 patients with diabetes mellitus complaining of neuropathy symptoms and 15 healthy volunteers. All subjects underwent evaluation using 1.5-T DTI of median nerves and NCS. Patients underwent clinical evaluation using the Neuropathy Deficit Score (NDS), Neuropathy Impairment Score in the Lower Limbs (NIS-LL), and Diabetic Neuropathy Examination (DNE) score.\n            \n            \n              Results\n              \n                We found statistically significant differences between healthy volunteers and patients in fractional anisotropy (FA) of the distal segment (\n                P\n                = 0.016) and whole median nerve (\n                P\n                = 0.024), apparent diffusion coefficient (ADC) of proximal (\n                P\n                = 0.027) and distal (\n                P\n                &lt; 0.001) segments, and whole median nerve (\n                P\n                = 0.019). Distal segment FA was significantly correlated with NDS (\n                P\n                = 0.003), DNEs (\n                P\n                = 0.003), sensory amplitude (\n                P\n                = 0.048), and motor CV (\n                P\n                = 0.020). Distal segment ADC was significantly correlated with NDS (\n                P\n                = 0.007), NIS-LL (\n                P\n                = 0.003), DNEs (\n                P\n                = 0.01), and sensory amplitude (\n                P\n                = 0.032). The best cut-off value of distal segment for FA was 0.45 (87% sensitivity, 80% specificity) and of distal segment ADC was 1.217 (80% sensitivity and specificity).\n              \n            \n            \n              Conclusions\n              Our results suggest that 1.5-T DTI examination of the median nerve can provide useful non-invasive information in patients with DPN.\n            \n            \n              Trial registration\n              \n                ClinicalTrials.gov\n                ,\n                NCT03934970\n                . Registered on May 1, 2019","container-title":"The Egyptian Journal of Neurology, Psychiatry and Neurosurgery","DOI":"10.1186/s41983-020-00172-5","ISSN":"1687-8329","issue":"1","journalAbbreviation":"Egypt J Neurol Psychiatry Neurosurg","language":"en","page":"42","source":"DOI.org (Crossref)","title":"A study of diffusion tensor imaging of median nerve in diabetic peripheral neuropathy","volume":"56","author":[{"family":"Edward","given":"Ramy"},{"family":"Abdelalim","given":"Ahmed M."},{"family":"Ashour","given":"Amal S."},{"family":"Afifi","given":"Lamia"},{"family":"Al-Athwari","given":"Aussan"}],"issued":{"date-parts":[["2020",12]]}}}],"schema":"https://github.com/citation-style-language/schema/raw/master/csl-citation.json"} </w:instrText>
            </w:r>
            <w:r w:rsidRPr="00A94BC3">
              <w:rPr>
                <w:rFonts w:eastAsia="Times New Roman" w:cs="Arial"/>
                <w:color w:val="000000"/>
                <w:sz w:val="12"/>
                <w:szCs w:val="12"/>
                <w:lang w:eastAsia="en-GB"/>
              </w:rPr>
              <w:fldChar w:fldCharType="separate"/>
            </w:r>
            <w:r w:rsidRPr="00A94BC3">
              <w:rPr>
                <w:rFonts w:cs="Arial"/>
                <w:sz w:val="12"/>
                <w:szCs w:val="24"/>
                <w:vertAlign w:val="superscript"/>
              </w:rPr>
              <w:t>44</w:t>
            </w:r>
            <w:r w:rsidRPr="00A94BC3">
              <w:rPr>
                <w:rFonts w:eastAsia="Times New Roman" w:cs="Arial"/>
                <w:color w:val="000000"/>
                <w:sz w:val="12"/>
                <w:szCs w:val="12"/>
                <w:lang w:eastAsia="en-GB"/>
              </w:rPr>
              <w:fldChar w:fldCharType="end"/>
            </w:r>
          </w:p>
        </w:tc>
        <w:tc>
          <w:tcPr>
            <w:tcW w:w="864" w:type="dxa"/>
            <w:shd w:val="clear" w:color="auto" w:fill="FFFFFF" w:themeFill="background1"/>
            <w:noWrap/>
            <w:vAlign w:val="center"/>
          </w:tcPr>
          <w:p w14:paraId="6CAE3868"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 xml:space="preserve">Egypt </w:t>
            </w:r>
          </w:p>
        </w:tc>
        <w:tc>
          <w:tcPr>
            <w:tcW w:w="1150" w:type="dxa"/>
            <w:shd w:val="clear" w:color="auto" w:fill="FFFFFF" w:themeFill="background1"/>
            <w:noWrap/>
            <w:vAlign w:val="center"/>
          </w:tcPr>
          <w:p w14:paraId="72B6E165"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Philips</w:t>
            </w:r>
          </w:p>
          <w:p w14:paraId="6CF1C405"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111111"/>
                <w:sz w:val="12"/>
                <w:szCs w:val="12"/>
                <w:lang w:eastAsia="en-GB"/>
              </w:rPr>
              <w:t>Sense (1.5T)</w:t>
            </w:r>
          </w:p>
        </w:tc>
        <w:tc>
          <w:tcPr>
            <w:tcW w:w="663" w:type="dxa"/>
            <w:shd w:val="clear" w:color="auto" w:fill="FFFFFF" w:themeFill="background1"/>
            <w:noWrap/>
            <w:vAlign w:val="center"/>
          </w:tcPr>
          <w:p w14:paraId="11F9D60D"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 </w:t>
            </w:r>
            <w:r w:rsidRPr="00A94BC3">
              <w:rPr>
                <w:rFonts w:cs="Arial"/>
                <w:sz w:val="12"/>
                <w:szCs w:val="12"/>
              </w:rPr>
              <w:t>¥ (</w:t>
            </w:r>
            <w:r w:rsidRPr="00A94BC3">
              <w:rPr>
                <w:rFonts w:eastAsia="Times New Roman" w:cs="Arial"/>
                <w:color w:val="000000"/>
                <w:sz w:val="12"/>
                <w:szCs w:val="12"/>
                <w:lang w:eastAsia="en-GB"/>
              </w:rPr>
              <w:t>¥)</w:t>
            </w:r>
          </w:p>
          <w:p w14:paraId="3895694B"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 </w:t>
            </w:r>
          </w:p>
        </w:tc>
        <w:tc>
          <w:tcPr>
            <w:tcW w:w="463" w:type="dxa"/>
            <w:shd w:val="clear" w:color="auto" w:fill="FFFFFF" w:themeFill="background1"/>
            <w:noWrap/>
            <w:vAlign w:val="center"/>
          </w:tcPr>
          <w:p w14:paraId="56F54167" w14:textId="77777777" w:rsidR="009A77FE" w:rsidRPr="00A94BC3" w:rsidRDefault="009A77FE" w:rsidP="00DB1827">
            <w:pPr>
              <w:spacing w:line="240" w:lineRule="auto"/>
              <w:jc w:val="right"/>
              <w:rPr>
                <w:rFonts w:cs="Arial"/>
                <w:sz w:val="12"/>
                <w:szCs w:val="12"/>
              </w:rPr>
            </w:pPr>
            <w:r w:rsidRPr="00A94BC3">
              <w:rPr>
                <w:rFonts w:eastAsia="Times New Roman" w:cs="Arial"/>
                <w:color w:val="000000"/>
                <w:sz w:val="12"/>
                <w:szCs w:val="12"/>
                <w:lang w:eastAsia="en-GB"/>
              </w:rPr>
              <w:t>SS</w:t>
            </w:r>
          </w:p>
        </w:tc>
        <w:tc>
          <w:tcPr>
            <w:tcW w:w="1864" w:type="dxa"/>
            <w:shd w:val="clear" w:color="auto" w:fill="FFFFFF" w:themeFill="background1"/>
            <w:noWrap/>
            <w:vAlign w:val="center"/>
          </w:tcPr>
          <w:p w14:paraId="19DB007C"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Superman (Wrist, ¥)</w:t>
            </w:r>
          </w:p>
        </w:tc>
        <w:tc>
          <w:tcPr>
            <w:tcW w:w="1134" w:type="dxa"/>
            <w:shd w:val="clear" w:color="auto" w:fill="FFFFFF" w:themeFill="background1"/>
            <w:noWrap/>
            <w:vAlign w:val="center"/>
          </w:tcPr>
          <w:p w14:paraId="01AE5663"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 (¥)</w:t>
            </w:r>
          </w:p>
        </w:tc>
        <w:tc>
          <w:tcPr>
            <w:tcW w:w="1276" w:type="dxa"/>
            <w:shd w:val="clear" w:color="auto" w:fill="FFFFFF" w:themeFill="background1"/>
            <w:noWrap/>
            <w:vAlign w:val="center"/>
          </w:tcPr>
          <w:p w14:paraId="1834D66E"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cs="Arial"/>
                <w:sz w:val="12"/>
                <w:szCs w:val="12"/>
              </w:rPr>
              <w:t>¥</w:t>
            </w:r>
            <w:r w:rsidRPr="00A94BC3">
              <w:rPr>
                <w:rFonts w:eastAsia="Times New Roman" w:cs="Arial"/>
                <w:color w:val="000000"/>
                <w:sz w:val="12"/>
                <w:szCs w:val="12"/>
                <w:lang w:eastAsia="en-GB"/>
              </w:rPr>
              <w:t> </w:t>
            </w:r>
          </w:p>
          <w:p w14:paraId="3E12F1DC"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 </w:t>
            </w:r>
          </w:p>
        </w:tc>
        <w:tc>
          <w:tcPr>
            <w:tcW w:w="850" w:type="dxa"/>
            <w:shd w:val="clear" w:color="auto" w:fill="FFFFFF" w:themeFill="background1"/>
            <w:noWrap/>
            <w:vAlign w:val="center"/>
          </w:tcPr>
          <w:p w14:paraId="77D562BB"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 ¥</w:t>
            </w:r>
          </w:p>
        </w:tc>
        <w:tc>
          <w:tcPr>
            <w:tcW w:w="1134" w:type="dxa"/>
            <w:shd w:val="clear" w:color="auto" w:fill="FFFFFF" w:themeFill="background1"/>
            <w:noWrap/>
            <w:vAlign w:val="center"/>
          </w:tcPr>
          <w:p w14:paraId="503989A8"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2000 (32)</w:t>
            </w:r>
          </w:p>
        </w:tc>
        <w:tc>
          <w:tcPr>
            <w:tcW w:w="709" w:type="dxa"/>
            <w:shd w:val="clear" w:color="auto" w:fill="FFFFFF" w:themeFill="background1"/>
            <w:noWrap/>
            <w:vAlign w:val="center"/>
          </w:tcPr>
          <w:p w14:paraId="4A62D742"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 ¥</w:t>
            </w:r>
          </w:p>
        </w:tc>
        <w:tc>
          <w:tcPr>
            <w:tcW w:w="992" w:type="dxa"/>
            <w:shd w:val="clear" w:color="auto" w:fill="FFFFFF" w:themeFill="background1"/>
            <w:noWrap/>
            <w:vAlign w:val="center"/>
          </w:tcPr>
          <w:p w14:paraId="4CE8E807"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15 (30) 10:5</w:t>
            </w:r>
          </w:p>
        </w:tc>
        <w:tc>
          <w:tcPr>
            <w:tcW w:w="1418" w:type="dxa"/>
            <w:shd w:val="clear" w:color="auto" w:fill="FFFFFF" w:themeFill="background1"/>
            <w:noWrap/>
            <w:vAlign w:val="center"/>
          </w:tcPr>
          <w:p w14:paraId="1E1A2159" w14:textId="77777777" w:rsidR="009A77FE" w:rsidRPr="00A94BC3" w:rsidRDefault="009A77FE" w:rsidP="00DB1827">
            <w:pPr>
              <w:spacing w:line="240" w:lineRule="auto"/>
              <w:jc w:val="right"/>
              <w:rPr>
                <w:rFonts w:eastAsia="Times New Roman" w:cs="Arial"/>
                <w:color w:val="000000"/>
                <w:sz w:val="12"/>
                <w:szCs w:val="12"/>
                <w:lang w:eastAsia="en-GB"/>
              </w:rPr>
            </w:pPr>
            <w:r w:rsidRPr="00A94BC3">
              <w:rPr>
                <w:rFonts w:eastAsia="Times New Roman" w:cs="Arial"/>
                <w:color w:val="000000"/>
                <w:sz w:val="12"/>
                <w:szCs w:val="12"/>
                <w:lang w:eastAsia="en-GB"/>
              </w:rPr>
              <w:t>45.67 (7.77) [¥-¥]</w:t>
            </w:r>
          </w:p>
        </w:tc>
      </w:tr>
    </w:tbl>
    <w:p w14:paraId="5DE358D8" w14:textId="77777777" w:rsidR="009A77FE" w:rsidRPr="00A94BC3" w:rsidRDefault="009A77FE" w:rsidP="009A77FE">
      <w:pPr>
        <w:sectPr w:rsidR="009A77FE" w:rsidRPr="00A94BC3" w:rsidSect="00BC3E13">
          <w:pgSz w:w="16838" w:h="11906" w:orient="landscape"/>
          <w:pgMar w:top="1134" w:right="1418" w:bottom="1134" w:left="1134" w:header="709" w:footer="0" w:gutter="0"/>
          <w:cols w:space="708"/>
          <w:docGrid w:linePitch="360"/>
        </w:sectPr>
      </w:pPr>
      <w:r w:rsidRPr="00A94BC3">
        <w:t xml:space="preserve"> </w:t>
      </w:r>
      <w:r w:rsidRPr="00A94BC3">
        <w:br w:type="page"/>
      </w:r>
      <w:bookmarkStart w:id="0" w:name="_Ref100219002"/>
      <w:bookmarkStart w:id="1" w:name="_Ref100230487"/>
    </w:p>
    <w:p w14:paraId="75D4304E" w14:textId="77777777" w:rsidR="009A77FE" w:rsidRPr="00A94BC3" w:rsidRDefault="009A77FE" w:rsidP="009A77FE">
      <w:bookmarkStart w:id="2" w:name="_Ref100306988"/>
      <w:proofErr w:type="spellStart"/>
      <w:r w:rsidRPr="00A94BC3">
        <w:rPr>
          <w:b/>
          <w:bCs/>
        </w:rPr>
        <w:lastRenderedPageBreak/>
        <w:t>eFigure</w:t>
      </w:r>
      <w:proofErr w:type="spellEnd"/>
      <w:r w:rsidRPr="00A94BC3">
        <w:rPr>
          <w:b/>
          <w:bCs/>
        </w:rPr>
        <w:t xml:space="preserve"> </w:t>
      </w:r>
      <w:r w:rsidRPr="00A94BC3">
        <w:rPr>
          <w:b/>
          <w:bCs/>
        </w:rPr>
        <w:fldChar w:fldCharType="begin"/>
      </w:r>
      <w:r w:rsidRPr="00A94BC3">
        <w:rPr>
          <w:b/>
          <w:bCs/>
        </w:rPr>
        <w:instrText xml:space="preserve"> SEQ eFigure \* ARABIC </w:instrText>
      </w:r>
      <w:r w:rsidRPr="00A94BC3">
        <w:rPr>
          <w:b/>
          <w:bCs/>
        </w:rPr>
        <w:fldChar w:fldCharType="separate"/>
      </w:r>
      <w:r w:rsidRPr="00A94BC3">
        <w:rPr>
          <w:b/>
          <w:bCs/>
          <w:noProof/>
        </w:rPr>
        <w:t>1</w:t>
      </w:r>
      <w:r w:rsidRPr="00A94BC3">
        <w:rPr>
          <w:b/>
          <w:bCs/>
          <w:noProof/>
        </w:rPr>
        <w:fldChar w:fldCharType="end"/>
      </w:r>
      <w:r w:rsidRPr="00A94BC3">
        <w:rPr>
          <w:b/>
          <w:bCs/>
        </w:rPr>
        <w:t>.</w:t>
      </w:r>
      <w:r w:rsidRPr="00A94BC3">
        <w:t xml:space="preserve"> The directed acyclic graph designed to define confounders (red coloured nodes, with red arrows) which must be adjusted for when exploring the relationship between b-value (the exposure) and fractional anisotropy (the outcome). Open causal pathways have green arrows.</w:t>
      </w:r>
    </w:p>
    <w:p w14:paraId="684E185E" w14:textId="77777777" w:rsidR="009A77FE" w:rsidRPr="00A94BC3" w:rsidRDefault="009A77FE" w:rsidP="009A77FE">
      <w:r w:rsidRPr="00A94BC3">
        <w:rPr>
          <w:noProof/>
        </w:rPr>
        <w:drawing>
          <wp:inline distT="0" distB="0" distL="0" distR="0" wp14:anchorId="6515AECF" wp14:editId="0BE01964">
            <wp:extent cx="7676866" cy="5400000"/>
            <wp:effectExtent l="0" t="0" r="0" b="0"/>
            <wp:docPr id="2" name="Picture 2" descr="A picture containing accesso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accessory&#10;&#10;Description automatically generated"/>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a:stretch/>
                  </pic:blipFill>
                  <pic:spPr bwMode="auto">
                    <a:xfrm>
                      <a:off x="0" y="0"/>
                      <a:ext cx="7676866" cy="5400000"/>
                    </a:xfrm>
                    <a:prstGeom prst="rect">
                      <a:avLst/>
                    </a:prstGeom>
                    <a:noFill/>
                    <a:ln>
                      <a:noFill/>
                    </a:ln>
                    <a:extLst>
                      <a:ext uri="{53640926-AAD7-44D8-BBD7-CCE9431645EC}">
                        <a14:shadowObscured xmlns:a14="http://schemas.microsoft.com/office/drawing/2010/main"/>
                      </a:ext>
                    </a:extLst>
                  </pic:spPr>
                </pic:pic>
              </a:graphicData>
            </a:graphic>
          </wp:inline>
        </w:drawing>
      </w:r>
      <w:r w:rsidRPr="00A94BC3">
        <w:br w:type="page"/>
      </w:r>
    </w:p>
    <w:p w14:paraId="1709CE0E" w14:textId="77777777" w:rsidR="009A77FE" w:rsidRPr="00A94BC3" w:rsidRDefault="009A77FE" w:rsidP="009A77FE">
      <w:bookmarkStart w:id="3" w:name="_Ref106101549"/>
      <w:proofErr w:type="spellStart"/>
      <w:r w:rsidRPr="00A94BC3">
        <w:lastRenderedPageBreak/>
        <w:t>eFigure</w:t>
      </w:r>
      <w:proofErr w:type="spellEnd"/>
      <w:r w:rsidRPr="00A94BC3">
        <w:t xml:space="preserve"> </w:t>
      </w:r>
      <w:r>
        <w:fldChar w:fldCharType="begin"/>
      </w:r>
      <w:r>
        <w:instrText xml:space="preserve"> SEQ eFigure \* ARABIC </w:instrText>
      </w:r>
      <w:r>
        <w:fldChar w:fldCharType="separate"/>
      </w:r>
      <w:r w:rsidRPr="00A94BC3">
        <w:rPr>
          <w:noProof/>
        </w:rPr>
        <w:t>2</w:t>
      </w:r>
      <w:r>
        <w:rPr>
          <w:noProof/>
        </w:rPr>
        <w:fldChar w:fldCharType="end"/>
      </w:r>
      <w:bookmarkEnd w:id="3"/>
      <w:r w:rsidRPr="00A94BC3">
        <w:t>. The directed acyclic graph designed to define confounders (red coloured nodes, with red arrows) which must be adjusted for when exploring the relationship between TE (the exposure) and fractional anisotropy (the outcome). Open causal pathways have green arrows.</w:t>
      </w:r>
    </w:p>
    <w:p w14:paraId="6E32A4E2" w14:textId="77777777" w:rsidR="009A77FE" w:rsidRPr="00A94BC3" w:rsidRDefault="009A77FE" w:rsidP="009A77FE">
      <w:r w:rsidRPr="00A94BC3">
        <w:rPr>
          <w:noProof/>
        </w:rPr>
        <w:drawing>
          <wp:inline distT="0" distB="0" distL="0" distR="0" wp14:anchorId="2F3AB645" wp14:editId="7A6F3D98">
            <wp:extent cx="7878686" cy="5400000"/>
            <wp:effectExtent l="0" t="0" r="0" b="0"/>
            <wp:docPr id="23" name="Picture 23" descr="A picture containing accesso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accessory&#10;&#10;Description automatically generated"/>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a:stretch/>
                  </pic:blipFill>
                  <pic:spPr bwMode="auto">
                    <a:xfrm>
                      <a:off x="0" y="0"/>
                      <a:ext cx="7878686" cy="5400000"/>
                    </a:xfrm>
                    <a:prstGeom prst="rect">
                      <a:avLst/>
                    </a:prstGeom>
                    <a:noFill/>
                    <a:ln>
                      <a:noFill/>
                    </a:ln>
                    <a:extLst>
                      <a:ext uri="{53640926-AAD7-44D8-BBD7-CCE9431645EC}">
                        <a14:shadowObscured xmlns:a14="http://schemas.microsoft.com/office/drawing/2010/main"/>
                      </a:ext>
                    </a:extLst>
                  </pic:spPr>
                </pic:pic>
              </a:graphicData>
            </a:graphic>
          </wp:inline>
        </w:drawing>
      </w:r>
      <w:r w:rsidRPr="00A94BC3">
        <w:br w:type="page"/>
      </w:r>
    </w:p>
    <w:p w14:paraId="27EC5BFA" w14:textId="77777777" w:rsidR="009A77FE" w:rsidRPr="00A94BC3" w:rsidRDefault="009A77FE" w:rsidP="009A77FE">
      <w:proofErr w:type="spellStart"/>
      <w:r w:rsidRPr="00A94BC3">
        <w:lastRenderedPageBreak/>
        <w:t>eFigure</w:t>
      </w:r>
      <w:proofErr w:type="spellEnd"/>
      <w:r w:rsidRPr="00A94BC3">
        <w:t xml:space="preserve"> </w:t>
      </w:r>
      <w:r>
        <w:fldChar w:fldCharType="begin"/>
      </w:r>
      <w:r>
        <w:instrText xml:space="preserve"> SEQ eFigure \* ARABIC </w:instrText>
      </w:r>
      <w:r>
        <w:fldChar w:fldCharType="separate"/>
      </w:r>
      <w:r w:rsidRPr="00A94BC3">
        <w:rPr>
          <w:noProof/>
        </w:rPr>
        <w:t>3</w:t>
      </w:r>
      <w:r>
        <w:rPr>
          <w:noProof/>
        </w:rPr>
        <w:fldChar w:fldCharType="end"/>
      </w:r>
      <w:r w:rsidRPr="00A94BC3">
        <w:t>. The directed acyclic graph designed to define confounders (of which there are none in this network) which must be adjusted for when exploring the relationship between age (the exposure) and fractional anisotropy (the outcome). Open causal pathways have green arrows.</w:t>
      </w:r>
    </w:p>
    <w:p w14:paraId="3191529F" w14:textId="77777777" w:rsidR="009A77FE" w:rsidRPr="00A94BC3" w:rsidRDefault="009A77FE" w:rsidP="009A77FE">
      <w:r w:rsidRPr="00A94BC3">
        <w:rPr>
          <w:noProof/>
        </w:rPr>
        <w:drawing>
          <wp:inline distT="0" distB="0" distL="0" distR="0" wp14:anchorId="189AE9D5" wp14:editId="0A093C5E">
            <wp:extent cx="7964547" cy="5400000"/>
            <wp:effectExtent l="0" t="0" r="0" b="0"/>
            <wp:docPr id="7" name="Picture 7" descr="A picture containing text, accesso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accessory&#10;&#10;Description automatically generated"/>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a:stretch/>
                  </pic:blipFill>
                  <pic:spPr bwMode="auto">
                    <a:xfrm>
                      <a:off x="0" y="0"/>
                      <a:ext cx="7964547" cy="5400000"/>
                    </a:xfrm>
                    <a:prstGeom prst="rect">
                      <a:avLst/>
                    </a:prstGeom>
                    <a:noFill/>
                    <a:ln>
                      <a:noFill/>
                    </a:ln>
                    <a:extLst>
                      <a:ext uri="{53640926-AAD7-44D8-BBD7-CCE9431645EC}">
                        <a14:shadowObscured xmlns:a14="http://schemas.microsoft.com/office/drawing/2010/main"/>
                      </a:ext>
                    </a:extLst>
                  </pic:spPr>
                </pic:pic>
              </a:graphicData>
            </a:graphic>
          </wp:inline>
        </w:drawing>
      </w:r>
      <w:r w:rsidRPr="00A94BC3">
        <w:br w:type="page"/>
      </w:r>
    </w:p>
    <w:p w14:paraId="2F1B7E92" w14:textId="77777777" w:rsidR="009A77FE" w:rsidRPr="00A94BC3" w:rsidRDefault="009A77FE" w:rsidP="009A77FE">
      <w:proofErr w:type="spellStart"/>
      <w:r w:rsidRPr="00A94BC3">
        <w:lastRenderedPageBreak/>
        <w:t>eFigure</w:t>
      </w:r>
      <w:proofErr w:type="spellEnd"/>
      <w:r w:rsidRPr="00A94BC3">
        <w:t xml:space="preserve"> </w:t>
      </w:r>
      <w:r>
        <w:fldChar w:fldCharType="begin"/>
      </w:r>
      <w:r>
        <w:instrText xml:space="preserve"> SEQ eFigure \* ARABIC </w:instrText>
      </w:r>
      <w:r>
        <w:fldChar w:fldCharType="separate"/>
      </w:r>
      <w:r w:rsidRPr="00A94BC3">
        <w:rPr>
          <w:noProof/>
        </w:rPr>
        <w:t>4</w:t>
      </w:r>
      <w:r>
        <w:rPr>
          <w:noProof/>
        </w:rPr>
        <w:fldChar w:fldCharType="end"/>
      </w:r>
      <w:r w:rsidRPr="00A94BC3">
        <w:t>. The directed acyclic graph designed to define confounders (of which there are none) which must be adjusted for when exploring the relationship between anatomical location (the exposure) and fractional anisotropy (the outcome). Open causal pathways have green arrows.</w:t>
      </w:r>
    </w:p>
    <w:p w14:paraId="4CD37497" w14:textId="77777777" w:rsidR="009A77FE" w:rsidRPr="00A94BC3" w:rsidRDefault="009A77FE" w:rsidP="009A77FE">
      <w:r w:rsidRPr="00A94BC3">
        <w:rPr>
          <w:noProof/>
        </w:rPr>
        <w:drawing>
          <wp:inline distT="0" distB="0" distL="0" distR="0" wp14:anchorId="1F5D872A" wp14:editId="621725C1">
            <wp:extent cx="7965449" cy="5400000"/>
            <wp:effectExtent l="0" t="0" r="0" b="0"/>
            <wp:docPr id="8" name="Picture 8" descr="A picture containing accesso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accessory&#10;&#10;Description automatically generated"/>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7965449" cy="5400000"/>
                    </a:xfrm>
                    <a:prstGeom prst="rect">
                      <a:avLst/>
                    </a:prstGeom>
                    <a:noFill/>
                    <a:ln>
                      <a:noFill/>
                    </a:ln>
                    <a:extLst>
                      <a:ext uri="{53640926-AAD7-44D8-BBD7-CCE9431645EC}">
                        <a14:shadowObscured xmlns:a14="http://schemas.microsoft.com/office/drawing/2010/main"/>
                      </a:ext>
                    </a:extLst>
                  </pic:spPr>
                </pic:pic>
              </a:graphicData>
            </a:graphic>
          </wp:inline>
        </w:drawing>
      </w:r>
      <w:r w:rsidRPr="00A94BC3">
        <w:br w:type="page"/>
      </w:r>
    </w:p>
    <w:p w14:paraId="672C9E9E" w14:textId="77777777" w:rsidR="009A77FE" w:rsidRPr="00A94BC3" w:rsidRDefault="009A77FE" w:rsidP="009A77FE">
      <w:proofErr w:type="spellStart"/>
      <w:r w:rsidRPr="00A94BC3">
        <w:lastRenderedPageBreak/>
        <w:t>eFigure</w:t>
      </w:r>
      <w:proofErr w:type="spellEnd"/>
      <w:r w:rsidRPr="00A94BC3">
        <w:t xml:space="preserve"> </w:t>
      </w:r>
      <w:r>
        <w:fldChar w:fldCharType="begin"/>
      </w:r>
      <w:r>
        <w:instrText xml:space="preserve"> SEQ eFigure \* ARABIC </w:instrText>
      </w:r>
      <w:r>
        <w:fldChar w:fldCharType="separate"/>
      </w:r>
      <w:r w:rsidRPr="00A94BC3">
        <w:rPr>
          <w:noProof/>
        </w:rPr>
        <w:t>5</w:t>
      </w:r>
      <w:r>
        <w:rPr>
          <w:noProof/>
        </w:rPr>
        <w:fldChar w:fldCharType="end"/>
      </w:r>
      <w:r w:rsidRPr="00A94BC3">
        <w:t>. The directed acyclic graph designed to define confounders (red coloured nodes, with red arrows) which must be adjusted for when exploring the relationship between TR (the exposure) and fractional anisotropy (the outcome). Open causal pathways have green arrows.</w:t>
      </w:r>
    </w:p>
    <w:p w14:paraId="35CE0477" w14:textId="77777777" w:rsidR="009A77FE" w:rsidRPr="00A94BC3" w:rsidRDefault="009A77FE" w:rsidP="009A77FE">
      <w:r w:rsidRPr="00A94BC3">
        <w:rPr>
          <w:noProof/>
        </w:rPr>
        <w:drawing>
          <wp:inline distT="0" distB="0" distL="0" distR="0" wp14:anchorId="2D10529A" wp14:editId="663DB097">
            <wp:extent cx="7954051" cy="5400000"/>
            <wp:effectExtent l="0" t="0" r="0" b="0"/>
            <wp:docPr id="9" name="Picture 9" descr="A picture containing accessory, umbrell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accessory, umbrella&#10;&#10;Description automatically generated"/>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7954051" cy="5400000"/>
                    </a:xfrm>
                    <a:prstGeom prst="rect">
                      <a:avLst/>
                    </a:prstGeom>
                    <a:noFill/>
                    <a:ln>
                      <a:noFill/>
                    </a:ln>
                    <a:extLst>
                      <a:ext uri="{53640926-AAD7-44D8-BBD7-CCE9431645EC}">
                        <a14:shadowObscured xmlns:a14="http://schemas.microsoft.com/office/drawing/2010/main"/>
                      </a:ext>
                    </a:extLst>
                  </pic:spPr>
                </pic:pic>
              </a:graphicData>
            </a:graphic>
          </wp:inline>
        </w:drawing>
      </w:r>
      <w:r w:rsidRPr="00A94BC3">
        <w:br w:type="page"/>
      </w:r>
    </w:p>
    <w:p w14:paraId="3B8E26BE" w14:textId="77777777" w:rsidR="009A77FE" w:rsidRPr="00A94BC3" w:rsidRDefault="009A77FE" w:rsidP="009A77FE">
      <w:proofErr w:type="spellStart"/>
      <w:r w:rsidRPr="00A94BC3">
        <w:lastRenderedPageBreak/>
        <w:t>eFigure</w:t>
      </w:r>
      <w:proofErr w:type="spellEnd"/>
      <w:r w:rsidRPr="00A94BC3">
        <w:t xml:space="preserve"> </w:t>
      </w:r>
      <w:r>
        <w:fldChar w:fldCharType="begin"/>
      </w:r>
      <w:r>
        <w:instrText xml:space="preserve"> SEQ eFigure \* ARABIC </w:instrText>
      </w:r>
      <w:r>
        <w:fldChar w:fldCharType="separate"/>
      </w:r>
      <w:r w:rsidRPr="00A94BC3">
        <w:rPr>
          <w:noProof/>
        </w:rPr>
        <w:t>6</w:t>
      </w:r>
      <w:r>
        <w:rPr>
          <w:noProof/>
        </w:rPr>
        <w:fldChar w:fldCharType="end"/>
      </w:r>
      <w:r w:rsidRPr="00A94BC3">
        <w:t>. The directed acyclic graph designed to define confounders (red coloured nodes, with red arrows) which must be adjusted for when exploring the relationship between spatial resolution (the exposure) and fractional anisotropy (the outcome). Open causal pathways have green arrows.</w:t>
      </w:r>
    </w:p>
    <w:p w14:paraId="577114DF" w14:textId="77777777" w:rsidR="009A77FE" w:rsidRPr="00A94BC3" w:rsidRDefault="009A77FE" w:rsidP="009A77FE">
      <w:r w:rsidRPr="00A94BC3">
        <w:rPr>
          <w:noProof/>
        </w:rPr>
        <w:drawing>
          <wp:inline distT="0" distB="0" distL="0" distR="0" wp14:anchorId="67AC781B" wp14:editId="5E88892F">
            <wp:extent cx="7679266" cy="4959255"/>
            <wp:effectExtent l="0" t="0" r="4445" b="0"/>
            <wp:docPr id="13" name="Picture 13" descr="A picture containing accesso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accessory&#10;&#10;Description automatically generated"/>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3652" b="2549"/>
                    <a:stretch/>
                  </pic:blipFill>
                  <pic:spPr bwMode="auto">
                    <a:xfrm>
                      <a:off x="0" y="0"/>
                      <a:ext cx="7709059" cy="4978495"/>
                    </a:xfrm>
                    <a:prstGeom prst="rect">
                      <a:avLst/>
                    </a:prstGeom>
                    <a:noFill/>
                    <a:ln>
                      <a:noFill/>
                    </a:ln>
                    <a:extLst>
                      <a:ext uri="{53640926-AAD7-44D8-BBD7-CCE9431645EC}">
                        <a14:shadowObscured xmlns:a14="http://schemas.microsoft.com/office/drawing/2010/main"/>
                      </a:ext>
                    </a:extLst>
                  </pic:spPr>
                </pic:pic>
              </a:graphicData>
            </a:graphic>
          </wp:inline>
        </w:drawing>
      </w:r>
      <w:r w:rsidRPr="00A94BC3">
        <w:br w:type="page"/>
      </w:r>
    </w:p>
    <w:p w14:paraId="283AA4A7" w14:textId="77777777" w:rsidR="009A77FE" w:rsidRPr="00A94BC3" w:rsidRDefault="009A77FE" w:rsidP="009A77FE">
      <w:proofErr w:type="spellStart"/>
      <w:r w:rsidRPr="00A94BC3">
        <w:lastRenderedPageBreak/>
        <w:t>eFigure</w:t>
      </w:r>
      <w:proofErr w:type="spellEnd"/>
      <w:r w:rsidRPr="00A94BC3">
        <w:t xml:space="preserve"> </w:t>
      </w:r>
      <w:r>
        <w:fldChar w:fldCharType="begin"/>
      </w:r>
      <w:r>
        <w:instrText xml:space="preserve"> SEQ eFigure \* ARABIC </w:instrText>
      </w:r>
      <w:r>
        <w:fldChar w:fldCharType="separate"/>
      </w:r>
      <w:r w:rsidRPr="00A94BC3">
        <w:rPr>
          <w:noProof/>
        </w:rPr>
        <w:t>7</w:t>
      </w:r>
      <w:r>
        <w:rPr>
          <w:noProof/>
        </w:rPr>
        <w:fldChar w:fldCharType="end"/>
      </w:r>
      <w:r w:rsidRPr="00A94BC3">
        <w:t>. The directed acyclic graph designed to define confounders (red coloured nodes, with red arrows) which must be adjusted for when exploring the relationship between N</w:t>
      </w:r>
      <w:r w:rsidRPr="00A94BC3">
        <w:rPr>
          <w:vertAlign w:val="subscript"/>
        </w:rPr>
        <w:t>D</w:t>
      </w:r>
      <w:r w:rsidRPr="00A94BC3">
        <w:t xml:space="preserve"> (the exposure) and fractional anisotropy (the outcome). Open causal pathways have green arrows.</w:t>
      </w:r>
    </w:p>
    <w:p w14:paraId="6CCB54E3" w14:textId="77777777" w:rsidR="009A77FE" w:rsidRPr="00A94BC3" w:rsidRDefault="009A77FE" w:rsidP="009A77FE">
      <w:r w:rsidRPr="00A94BC3">
        <w:rPr>
          <w:noProof/>
        </w:rPr>
        <w:drawing>
          <wp:inline distT="0" distB="0" distL="0" distR="0" wp14:anchorId="3703C710" wp14:editId="26F87560">
            <wp:extent cx="8018186" cy="5400000"/>
            <wp:effectExtent l="0" t="0" r="0" b="0"/>
            <wp:docPr id="18" name="Picture 18" descr="A picture containing accesso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accessory&#10;&#10;Description automatically generated"/>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8018186" cy="5400000"/>
                    </a:xfrm>
                    <a:prstGeom prst="rect">
                      <a:avLst/>
                    </a:prstGeom>
                    <a:noFill/>
                    <a:ln>
                      <a:noFill/>
                    </a:ln>
                    <a:extLst>
                      <a:ext uri="{53640926-AAD7-44D8-BBD7-CCE9431645EC}">
                        <a14:shadowObscured xmlns:a14="http://schemas.microsoft.com/office/drawing/2010/main"/>
                      </a:ext>
                    </a:extLst>
                  </pic:spPr>
                </pic:pic>
              </a:graphicData>
            </a:graphic>
          </wp:inline>
        </w:drawing>
      </w:r>
      <w:r w:rsidRPr="00A94BC3">
        <w:br w:type="page"/>
      </w:r>
    </w:p>
    <w:p w14:paraId="4F846779" w14:textId="77777777" w:rsidR="009A77FE" w:rsidRPr="00A94BC3" w:rsidRDefault="009A77FE" w:rsidP="009A77FE">
      <w:bookmarkStart w:id="4" w:name="_Ref105080620"/>
      <w:proofErr w:type="spellStart"/>
      <w:r w:rsidRPr="00A94BC3">
        <w:lastRenderedPageBreak/>
        <w:t>eFigure</w:t>
      </w:r>
      <w:proofErr w:type="spellEnd"/>
      <w:r w:rsidRPr="00A94BC3">
        <w:t xml:space="preserve"> </w:t>
      </w:r>
      <w:r>
        <w:fldChar w:fldCharType="begin"/>
      </w:r>
      <w:r>
        <w:instrText xml:space="preserve"> SEQ eFigure \* ARABIC </w:instrText>
      </w:r>
      <w:r>
        <w:fldChar w:fldCharType="separate"/>
      </w:r>
      <w:r w:rsidRPr="00A94BC3">
        <w:rPr>
          <w:noProof/>
        </w:rPr>
        <w:t>8</w:t>
      </w:r>
      <w:r>
        <w:rPr>
          <w:noProof/>
        </w:rPr>
        <w:fldChar w:fldCharType="end"/>
      </w:r>
      <w:bookmarkEnd w:id="2"/>
      <w:bookmarkEnd w:id="4"/>
      <w:r w:rsidRPr="00A94BC3">
        <w:t>. PRISMA flow diagram</w:t>
      </w:r>
    </w:p>
    <w:p w14:paraId="25827316" w14:textId="77777777" w:rsidR="009A77FE" w:rsidRPr="00A94BC3" w:rsidRDefault="009A77FE" w:rsidP="009A77FE">
      <w:pPr>
        <w:spacing w:line="240" w:lineRule="auto"/>
        <w:jc w:val="left"/>
        <w:rPr>
          <w:i/>
          <w:iCs/>
          <w:color w:val="44546A" w:themeColor="text2"/>
          <w:sz w:val="18"/>
          <w:szCs w:val="18"/>
        </w:rPr>
      </w:pPr>
    </w:p>
    <w:p w14:paraId="1885DC93" w14:textId="77777777" w:rsidR="009A77FE" w:rsidRPr="00A94BC3" w:rsidRDefault="009A77FE" w:rsidP="009A77FE">
      <w:pPr>
        <w:pStyle w:val="Caption"/>
      </w:pPr>
      <w:r w:rsidRPr="00A94BC3">
        <w:rPr>
          <w:noProof/>
          <w:lang w:eastAsia="en-GB"/>
        </w:rPr>
        <w:drawing>
          <wp:inline distT="0" distB="0" distL="0" distR="0" wp14:anchorId="24BB9F12" wp14:editId="4CD23C0C">
            <wp:extent cx="9488871" cy="4286250"/>
            <wp:effectExtent l="0" t="0" r="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499964" cy="4291261"/>
                    </a:xfrm>
                    <a:prstGeom prst="rect">
                      <a:avLst/>
                    </a:prstGeom>
                    <a:noFill/>
                    <a:ln>
                      <a:noFill/>
                    </a:ln>
                  </pic:spPr>
                </pic:pic>
              </a:graphicData>
            </a:graphic>
          </wp:inline>
        </w:drawing>
      </w:r>
    </w:p>
    <w:p w14:paraId="626BB51D" w14:textId="77777777" w:rsidR="009A77FE" w:rsidRPr="00A94BC3" w:rsidRDefault="009A77FE" w:rsidP="009A77FE">
      <w:pPr>
        <w:pStyle w:val="Caption"/>
      </w:pPr>
    </w:p>
    <w:p w14:paraId="590FFED6" w14:textId="77777777" w:rsidR="009A77FE" w:rsidRPr="00A94BC3" w:rsidRDefault="009A77FE" w:rsidP="009A77FE">
      <w:pPr>
        <w:pStyle w:val="Caption"/>
        <w:sectPr w:rsidR="009A77FE" w:rsidRPr="00A94BC3" w:rsidSect="00517C9E">
          <w:pgSz w:w="16838" w:h="11906" w:orient="landscape"/>
          <w:pgMar w:top="1134" w:right="1134" w:bottom="1134" w:left="1418" w:header="709" w:footer="0" w:gutter="0"/>
          <w:cols w:space="708"/>
          <w:docGrid w:linePitch="360"/>
        </w:sectPr>
      </w:pPr>
    </w:p>
    <w:bookmarkEnd w:id="0"/>
    <w:bookmarkEnd w:id="1"/>
    <w:p w14:paraId="55B047C2" w14:textId="77777777" w:rsidR="009A77FE" w:rsidRPr="00A94BC3" w:rsidRDefault="009A77FE" w:rsidP="009A77FE">
      <w:proofErr w:type="spellStart"/>
      <w:r w:rsidRPr="00A94BC3">
        <w:rPr>
          <w:b/>
          <w:bCs/>
        </w:rPr>
        <w:lastRenderedPageBreak/>
        <w:t>eFigure</w:t>
      </w:r>
      <w:proofErr w:type="spellEnd"/>
      <w:r w:rsidRPr="00A94BC3">
        <w:rPr>
          <w:b/>
          <w:bCs/>
        </w:rPr>
        <w:t xml:space="preserve"> </w:t>
      </w:r>
      <w:r w:rsidRPr="00A94BC3">
        <w:rPr>
          <w:b/>
          <w:bCs/>
        </w:rPr>
        <w:fldChar w:fldCharType="begin"/>
      </w:r>
      <w:r w:rsidRPr="00A94BC3">
        <w:rPr>
          <w:b/>
          <w:bCs/>
        </w:rPr>
        <w:instrText xml:space="preserve"> SEQ eFigure \* ARABIC </w:instrText>
      </w:r>
      <w:r w:rsidRPr="00A94BC3">
        <w:rPr>
          <w:b/>
          <w:bCs/>
        </w:rPr>
        <w:fldChar w:fldCharType="separate"/>
      </w:r>
      <w:r w:rsidRPr="00A94BC3">
        <w:rPr>
          <w:b/>
          <w:bCs/>
          <w:noProof/>
        </w:rPr>
        <w:t>9</w:t>
      </w:r>
      <w:r w:rsidRPr="00A94BC3">
        <w:rPr>
          <w:b/>
          <w:bCs/>
          <w:noProof/>
        </w:rPr>
        <w:fldChar w:fldCharType="end"/>
      </w:r>
      <w:r w:rsidRPr="00A94BC3">
        <w:rPr>
          <w:b/>
          <w:bCs/>
        </w:rPr>
        <w:t>.</w:t>
      </w:r>
      <w:r w:rsidRPr="00A94BC3">
        <w:t xml:space="preserve"> Forest plot of the normal MD of the median, ulnar and radial nerves in the arm, sorted by the echo time and b-value.</w:t>
      </w:r>
    </w:p>
    <w:p w14:paraId="66BDCC85" w14:textId="77777777" w:rsidR="009A77FE" w:rsidRPr="00A94BC3" w:rsidRDefault="009A77FE" w:rsidP="009A77FE">
      <w:r w:rsidRPr="00A94BC3">
        <w:rPr>
          <w:noProof/>
          <w:lang w:eastAsia="en-GB"/>
        </w:rPr>
        <w:drawing>
          <wp:inline distT="0" distB="0" distL="0" distR="0" wp14:anchorId="38566F47" wp14:editId="66F7C53E">
            <wp:extent cx="6120130" cy="71983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20130" cy="7198360"/>
                    </a:xfrm>
                    <a:prstGeom prst="rect">
                      <a:avLst/>
                    </a:prstGeom>
                    <a:noFill/>
                    <a:ln>
                      <a:noFill/>
                    </a:ln>
                  </pic:spPr>
                </pic:pic>
              </a:graphicData>
            </a:graphic>
          </wp:inline>
        </w:drawing>
      </w:r>
    </w:p>
    <w:p w14:paraId="1A5BEB80" w14:textId="77777777" w:rsidR="009A77FE" w:rsidRPr="00A94BC3" w:rsidRDefault="009A77FE" w:rsidP="009A77FE">
      <w:pPr>
        <w:spacing w:line="240" w:lineRule="auto"/>
        <w:jc w:val="left"/>
      </w:pPr>
      <w:r w:rsidRPr="00A94BC3">
        <w:br w:type="page"/>
      </w:r>
    </w:p>
    <w:p w14:paraId="53665787" w14:textId="77777777" w:rsidR="009A77FE" w:rsidRPr="00A94BC3" w:rsidRDefault="009A77FE" w:rsidP="009A77FE">
      <w:bookmarkStart w:id="5" w:name="_Ref105080344"/>
      <w:bookmarkStart w:id="6" w:name="_Ref105080334"/>
      <w:proofErr w:type="spellStart"/>
      <w:r w:rsidRPr="00A94BC3">
        <w:rPr>
          <w:b/>
          <w:bCs/>
        </w:rPr>
        <w:lastRenderedPageBreak/>
        <w:t>eFigure</w:t>
      </w:r>
      <w:proofErr w:type="spellEnd"/>
      <w:r w:rsidRPr="00A94BC3">
        <w:rPr>
          <w:b/>
          <w:bCs/>
        </w:rPr>
        <w:t xml:space="preserve"> </w:t>
      </w:r>
      <w:r w:rsidRPr="00A94BC3">
        <w:rPr>
          <w:b/>
          <w:bCs/>
        </w:rPr>
        <w:fldChar w:fldCharType="begin"/>
      </w:r>
      <w:r w:rsidRPr="00A94BC3">
        <w:rPr>
          <w:b/>
          <w:bCs/>
        </w:rPr>
        <w:instrText xml:space="preserve"> SEQ eFigure \* ARABIC </w:instrText>
      </w:r>
      <w:r w:rsidRPr="00A94BC3">
        <w:rPr>
          <w:b/>
          <w:bCs/>
        </w:rPr>
        <w:fldChar w:fldCharType="separate"/>
      </w:r>
      <w:r w:rsidRPr="00A94BC3">
        <w:rPr>
          <w:b/>
          <w:bCs/>
          <w:noProof/>
        </w:rPr>
        <w:t>10</w:t>
      </w:r>
      <w:r w:rsidRPr="00A94BC3">
        <w:rPr>
          <w:b/>
          <w:bCs/>
          <w:noProof/>
        </w:rPr>
        <w:fldChar w:fldCharType="end"/>
      </w:r>
      <w:bookmarkEnd w:id="5"/>
      <w:r w:rsidRPr="00A94BC3">
        <w:rPr>
          <w:b/>
          <w:bCs/>
        </w:rPr>
        <w:t>.</w:t>
      </w:r>
      <w:r w:rsidRPr="00A94BC3">
        <w:t xml:space="preserve"> Forest plot of the normal RD of the median, ulnar and radial nerves in the arm, sorted by the echo time and b-value.</w:t>
      </w:r>
      <w:bookmarkEnd w:id="6"/>
    </w:p>
    <w:p w14:paraId="1838C191" w14:textId="77777777" w:rsidR="009A77FE" w:rsidRPr="00A94BC3" w:rsidRDefault="009A77FE" w:rsidP="009A77FE">
      <w:r w:rsidRPr="00A94BC3">
        <w:rPr>
          <w:noProof/>
          <w:lang w:eastAsia="en-GB"/>
        </w:rPr>
        <w:drawing>
          <wp:inline distT="0" distB="0" distL="0" distR="0" wp14:anchorId="4A56BC2E" wp14:editId="7C7E16AF">
            <wp:extent cx="6120130" cy="60642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20130" cy="6064250"/>
                    </a:xfrm>
                    <a:prstGeom prst="rect">
                      <a:avLst/>
                    </a:prstGeom>
                    <a:noFill/>
                    <a:ln>
                      <a:noFill/>
                    </a:ln>
                  </pic:spPr>
                </pic:pic>
              </a:graphicData>
            </a:graphic>
          </wp:inline>
        </w:drawing>
      </w:r>
    </w:p>
    <w:p w14:paraId="5466A440" w14:textId="77777777" w:rsidR="009A77FE" w:rsidRPr="00A94BC3" w:rsidRDefault="009A77FE" w:rsidP="009A77FE">
      <w:pPr>
        <w:spacing w:line="240" w:lineRule="auto"/>
        <w:jc w:val="left"/>
      </w:pPr>
      <w:r w:rsidRPr="00A94BC3">
        <w:br w:type="page"/>
      </w:r>
    </w:p>
    <w:p w14:paraId="00B81D85" w14:textId="77777777" w:rsidR="009A77FE" w:rsidRPr="00A94BC3" w:rsidRDefault="009A77FE" w:rsidP="009A77FE">
      <w:bookmarkStart w:id="7" w:name="_Ref105080365"/>
      <w:proofErr w:type="spellStart"/>
      <w:r w:rsidRPr="00A94BC3">
        <w:rPr>
          <w:b/>
          <w:bCs/>
        </w:rPr>
        <w:lastRenderedPageBreak/>
        <w:t>eFigure</w:t>
      </w:r>
      <w:proofErr w:type="spellEnd"/>
      <w:r w:rsidRPr="00A94BC3">
        <w:rPr>
          <w:b/>
          <w:bCs/>
        </w:rPr>
        <w:t xml:space="preserve"> </w:t>
      </w:r>
      <w:r w:rsidRPr="00A94BC3">
        <w:rPr>
          <w:b/>
          <w:bCs/>
        </w:rPr>
        <w:fldChar w:fldCharType="begin"/>
      </w:r>
      <w:r w:rsidRPr="00A94BC3">
        <w:rPr>
          <w:b/>
          <w:bCs/>
        </w:rPr>
        <w:instrText xml:space="preserve"> SEQ eFigure \* ARABIC </w:instrText>
      </w:r>
      <w:r w:rsidRPr="00A94BC3">
        <w:rPr>
          <w:b/>
          <w:bCs/>
        </w:rPr>
        <w:fldChar w:fldCharType="separate"/>
      </w:r>
      <w:r w:rsidRPr="00A94BC3">
        <w:rPr>
          <w:b/>
          <w:bCs/>
          <w:noProof/>
        </w:rPr>
        <w:t>11</w:t>
      </w:r>
      <w:r w:rsidRPr="00A94BC3">
        <w:rPr>
          <w:b/>
          <w:bCs/>
          <w:noProof/>
        </w:rPr>
        <w:fldChar w:fldCharType="end"/>
      </w:r>
      <w:bookmarkEnd w:id="7"/>
      <w:r w:rsidRPr="00A94BC3">
        <w:rPr>
          <w:b/>
          <w:bCs/>
        </w:rPr>
        <w:t>.</w:t>
      </w:r>
      <w:r w:rsidRPr="00A94BC3">
        <w:t xml:space="preserve"> Forest plot of the normal AD of the median, ulnar and radial nerves in the arm, sorted by the echo time and b-value.</w:t>
      </w:r>
    </w:p>
    <w:p w14:paraId="32512ADE" w14:textId="77777777" w:rsidR="009A77FE" w:rsidRPr="00A94BC3" w:rsidRDefault="009A77FE" w:rsidP="009A77FE">
      <w:r w:rsidRPr="00A94BC3">
        <w:rPr>
          <w:noProof/>
          <w:lang w:eastAsia="en-GB"/>
        </w:rPr>
        <w:drawing>
          <wp:inline distT="0" distB="0" distL="0" distR="0" wp14:anchorId="0C393FF2" wp14:editId="0B56F0DF">
            <wp:extent cx="6120130" cy="599313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20130" cy="5993130"/>
                    </a:xfrm>
                    <a:prstGeom prst="rect">
                      <a:avLst/>
                    </a:prstGeom>
                    <a:noFill/>
                    <a:ln>
                      <a:noFill/>
                    </a:ln>
                  </pic:spPr>
                </pic:pic>
              </a:graphicData>
            </a:graphic>
          </wp:inline>
        </w:drawing>
      </w:r>
    </w:p>
    <w:p w14:paraId="6EE65F4A" w14:textId="77777777" w:rsidR="009A77FE" w:rsidRPr="00A94BC3" w:rsidRDefault="009A77FE" w:rsidP="009A77FE">
      <w:pPr>
        <w:spacing w:line="240" w:lineRule="auto"/>
        <w:jc w:val="left"/>
      </w:pPr>
      <w:r w:rsidRPr="00A94BC3">
        <w:br w:type="page"/>
      </w:r>
    </w:p>
    <w:p w14:paraId="16E27AA8" w14:textId="77777777" w:rsidR="009A77FE" w:rsidRPr="00A94BC3" w:rsidRDefault="009A77FE" w:rsidP="009A77FE">
      <w:bookmarkStart w:id="8" w:name="_Ref105080380"/>
      <w:proofErr w:type="spellStart"/>
      <w:r w:rsidRPr="00A94BC3">
        <w:rPr>
          <w:b/>
          <w:bCs/>
        </w:rPr>
        <w:lastRenderedPageBreak/>
        <w:t>eFigure</w:t>
      </w:r>
      <w:proofErr w:type="spellEnd"/>
      <w:r w:rsidRPr="00A94BC3">
        <w:rPr>
          <w:b/>
          <w:bCs/>
        </w:rPr>
        <w:t xml:space="preserve"> </w:t>
      </w:r>
      <w:r w:rsidRPr="00A94BC3">
        <w:rPr>
          <w:b/>
          <w:bCs/>
        </w:rPr>
        <w:fldChar w:fldCharType="begin"/>
      </w:r>
      <w:r w:rsidRPr="00A94BC3">
        <w:rPr>
          <w:b/>
          <w:bCs/>
        </w:rPr>
        <w:instrText xml:space="preserve"> SEQ eFigure \* ARABIC </w:instrText>
      </w:r>
      <w:r w:rsidRPr="00A94BC3">
        <w:rPr>
          <w:b/>
          <w:bCs/>
        </w:rPr>
        <w:fldChar w:fldCharType="separate"/>
      </w:r>
      <w:r w:rsidRPr="00A94BC3">
        <w:rPr>
          <w:b/>
          <w:bCs/>
          <w:noProof/>
        </w:rPr>
        <w:t>12</w:t>
      </w:r>
      <w:r w:rsidRPr="00A94BC3">
        <w:rPr>
          <w:b/>
          <w:bCs/>
          <w:noProof/>
        </w:rPr>
        <w:fldChar w:fldCharType="end"/>
      </w:r>
      <w:bookmarkEnd w:id="8"/>
      <w:r w:rsidRPr="00A94BC3">
        <w:rPr>
          <w:b/>
          <w:bCs/>
        </w:rPr>
        <w:t>.</w:t>
      </w:r>
      <w:r w:rsidRPr="00A94BC3">
        <w:t xml:space="preserve"> Forest plot of the normal MD of the median, ulnar and radial nerves around the elbow, sorted by the echo time and b-value.</w:t>
      </w:r>
    </w:p>
    <w:p w14:paraId="098835F5" w14:textId="77777777" w:rsidR="009A77FE" w:rsidRPr="00A94BC3" w:rsidRDefault="009A77FE" w:rsidP="009A77FE">
      <w:r w:rsidRPr="00A94BC3">
        <w:rPr>
          <w:noProof/>
          <w:lang w:eastAsia="en-GB"/>
        </w:rPr>
        <w:drawing>
          <wp:inline distT="0" distB="0" distL="0" distR="0" wp14:anchorId="21635934" wp14:editId="7B61F096">
            <wp:extent cx="6120130" cy="76422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20130" cy="7642225"/>
                    </a:xfrm>
                    <a:prstGeom prst="rect">
                      <a:avLst/>
                    </a:prstGeom>
                    <a:noFill/>
                    <a:ln>
                      <a:noFill/>
                    </a:ln>
                  </pic:spPr>
                </pic:pic>
              </a:graphicData>
            </a:graphic>
          </wp:inline>
        </w:drawing>
      </w:r>
    </w:p>
    <w:p w14:paraId="498AB0F3" w14:textId="77777777" w:rsidR="009A77FE" w:rsidRPr="00A94BC3" w:rsidRDefault="009A77FE" w:rsidP="009A77FE">
      <w:pPr>
        <w:spacing w:line="240" w:lineRule="auto"/>
        <w:jc w:val="left"/>
      </w:pPr>
      <w:r w:rsidRPr="00A94BC3">
        <w:br w:type="page"/>
      </w:r>
    </w:p>
    <w:p w14:paraId="68B335EA" w14:textId="77777777" w:rsidR="009A77FE" w:rsidRPr="00A94BC3" w:rsidRDefault="009A77FE" w:rsidP="009A77FE">
      <w:bookmarkStart w:id="9" w:name="_Ref105080393"/>
      <w:proofErr w:type="spellStart"/>
      <w:r w:rsidRPr="00A94BC3">
        <w:rPr>
          <w:b/>
          <w:bCs/>
        </w:rPr>
        <w:lastRenderedPageBreak/>
        <w:t>eFigure</w:t>
      </w:r>
      <w:proofErr w:type="spellEnd"/>
      <w:r w:rsidRPr="00A94BC3">
        <w:rPr>
          <w:b/>
          <w:bCs/>
        </w:rPr>
        <w:t xml:space="preserve"> </w:t>
      </w:r>
      <w:r w:rsidRPr="00A94BC3">
        <w:rPr>
          <w:b/>
          <w:bCs/>
        </w:rPr>
        <w:fldChar w:fldCharType="begin"/>
      </w:r>
      <w:r w:rsidRPr="00A94BC3">
        <w:rPr>
          <w:b/>
          <w:bCs/>
        </w:rPr>
        <w:instrText xml:space="preserve"> SEQ eFigure \* ARABIC </w:instrText>
      </w:r>
      <w:r w:rsidRPr="00A94BC3">
        <w:rPr>
          <w:b/>
          <w:bCs/>
        </w:rPr>
        <w:fldChar w:fldCharType="separate"/>
      </w:r>
      <w:r w:rsidRPr="00A94BC3">
        <w:rPr>
          <w:b/>
          <w:bCs/>
          <w:noProof/>
        </w:rPr>
        <w:t>13</w:t>
      </w:r>
      <w:r w:rsidRPr="00A94BC3">
        <w:rPr>
          <w:b/>
          <w:bCs/>
          <w:noProof/>
        </w:rPr>
        <w:fldChar w:fldCharType="end"/>
      </w:r>
      <w:bookmarkEnd w:id="9"/>
      <w:r w:rsidRPr="00A94BC3">
        <w:rPr>
          <w:b/>
          <w:bCs/>
        </w:rPr>
        <w:t>.</w:t>
      </w:r>
      <w:r w:rsidRPr="00A94BC3">
        <w:t xml:space="preserve"> Forest plot of the normal RD of the median, ulnar and radial nerves around the elbow, sorted by the echo time and b-value.</w:t>
      </w:r>
    </w:p>
    <w:p w14:paraId="3E283178" w14:textId="77777777" w:rsidR="009A77FE" w:rsidRPr="00A94BC3" w:rsidRDefault="009A77FE" w:rsidP="009A77FE">
      <w:r w:rsidRPr="00A94BC3">
        <w:rPr>
          <w:noProof/>
          <w:lang w:eastAsia="en-GB"/>
        </w:rPr>
        <w:drawing>
          <wp:inline distT="0" distB="0" distL="0" distR="0" wp14:anchorId="77579C61" wp14:editId="77173909">
            <wp:extent cx="6120130" cy="54546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20130" cy="5454650"/>
                    </a:xfrm>
                    <a:prstGeom prst="rect">
                      <a:avLst/>
                    </a:prstGeom>
                    <a:noFill/>
                    <a:ln>
                      <a:noFill/>
                    </a:ln>
                  </pic:spPr>
                </pic:pic>
              </a:graphicData>
            </a:graphic>
          </wp:inline>
        </w:drawing>
      </w:r>
    </w:p>
    <w:p w14:paraId="26FE8BCE" w14:textId="77777777" w:rsidR="009A77FE" w:rsidRPr="00A94BC3" w:rsidRDefault="009A77FE" w:rsidP="009A77FE">
      <w:pPr>
        <w:spacing w:line="240" w:lineRule="auto"/>
        <w:jc w:val="left"/>
      </w:pPr>
      <w:r w:rsidRPr="00A94BC3">
        <w:br w:type="page"/>
      </w:r>
    </w:p>
    <w:p w14:paraId="0E46350E" w14:textId="77777777" w:rsidR="009A77FE" w:rsidRPr="00A94BC3" w:rsidRDefault="009A77FE" w:rsidP="009A77FE">
      <w:bookmarkStart w:id="10" w:name="_Ref105080402"/>
      <w:proofErr w:type="spellStart"/>
      <w:r w:rsidRPr="00A94BC3">
        <w:rPr>
          <w:b/>
          <w:bCs/>
        </w:rPr>
        <w:lastRenderedPageBreak/>
        <w:t>eFigure</w:t>
      </w:r>
      <w:proofErr w:type="spellEnd"/>
      <w:r w:rsidRPr="00A94BC3">
        <w:rPr>
          <w:b/>
          <w:bCs/>
        </w:rPr>
        <w:t xml:space="preserve"> </w:t>
      </w:r>
      <w:r w:rsidRPr="00A94BC3">
        <w:rPr>
          <w:b/>
          <w:bCs/>
        </w:rPr>
        <w:fldChar w:fldCharType="begin"/>
      </w:r>
      <w:r w:rsidRPr="00A94BC3">
        <w:rPr>
          <w:b/>
          <w:bCs/>
        </w:rPr>
        <w:instrText xml:space="preserve"> SEQ eFigure \* ARABIC </w:instrText>
      </w:r>
      <w:r w:rsidRPr="00A94BC3">
        <w:rPr>
          <w:b/>
          <w:bCs/>
        </w:rPr>
        <w:fldChar w:fldCharType="separate"/>
      </w:r>
      <w:r w:rsidRPr="00A94BC3">
        <w:rPr>
          <w:b/>
          <w:bCs/>
          <w:noProof/>
        </w:rPr>
        <w:t>14</w:t>
      </w:r>
      <w:r w:rsidRPr="00A94BC3">
        <w:rPr>
          <w:b/>
          <w:bCs/>
          <w:noProof/>
        </w:rPr>
        <w:fldChar w:fldCharType="end"/>
      </w:r>
      <w:bookmarkEnd w:id="10"/>
      <w:r w:rsidRPr="00A94BC3">
        <w:rPr>
          <w:b/>
          <w:bCs/>
        </w:rPr>
        <w:t>.</w:t>
      </w:r>
      <w:r w:rsidRPr="00A94BC3">
        <w:t xml:space="preserve"> Forest plot of the normal AD of the median, ulnar and radial nerves around the elbow, sorted by the echo time and b-value.</w:t>
      </w:r>
    </w:p>
    <w:p w14:paraId="366E1E0C" w14:textId="77777777" w:rsidR="009A77FE" w:rsidRPr="00A94BC3" w:rsidRDefault="009A77FE" w:rsidP="009A77FE">
      <w:r w:rsidRPr="00A94BC3">
        <w:rPr>
          <w:noProof/>
          <w:lang w:eastAsia="en-GB"/>
        </w:rPr>
        <w:drawing>
          <wp:inline distT="0" distB="0" distL="0" distR="0" wp14:anchorId="50F3FB97" wp14:editId="3B07AA4B">
            <wp:extent cx="6120130" cy="541909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20130" cy="5419090"/>
                    </a:xfrm>
                    <a:prstGeom prst="rect">
                      <a:avLst/>
                    </a:prstGeom>
                    <a:noFill/>
                    <a:ln>
                      <a:noFill/>
                    </a:ln>
                  </pic:spPr>
                </pic:pic>
              </a:graphicData>
            </a:graphic>
          </wp:inline>
        </w:drawing>
      </w:r>
    </w:p>
    <w:p w14:paraId="39838289" w14:textId="77777777" w:rsidR="009A77FE" w:rsidRPr="00A94BC3" w:rsidRDefault="009A77FE" w:rsidP="009A77FE">
      <w:pPr>
        <w:spacing w:line="240" w:lineRule="auto"/>
        <w:jc w:val="left"/>
      </w:pPr>
      <w:r w:rsidRPr="00A94BC3">
        <w:br w:type="page"/>
      </w:r>
    </w:p>
    <w:p w14:paraId="053382E3" w14:textId="77777777" w:rsidR="009A77FE" w:rsidRPr="00A94BC3" w:rsidRDefault="009A77FE" w:rsidP="009A77FE">
      <w:bookmarkStart w:id="11" w:name="_Ref105080410"/>
      <w:proofErr w:type="spellStart"/>
      <w:r w:rsidRPr="00A94BC3">
        <w:rPr>
          <w:b/>
          <w:bCs/>
        </w:rPr>
        <w:lastRenderedPageBreak/>
        <w:t>eFigure</w:t>
      </w:r>
      <w:proofErr w:type="spellEnd"/>
      <w:r w:rsidRPr="00A94BC3">
        <w:rPr>
          <w:b/>
          <w:bCs/>
        </w:rPr>
        <w:t xml:space="preserve"> </w:t>
      </w:r>
      <w:r w:rsidRPr="00A94BC3">
        <w:rPr>
          <w:b/>
          <w:bCs/>
        </w:rPr>
        <w:fldChar w:fldCharType="begin"/>
      </w:r>
      <w:r w:rsidRPr="00A94BC3">
        <w:rPr>
          <w:b/>
          <w:bCs/>
        </w:rPr>
        <w:instrText xml:space="preserve"> SEQ eFigure \* ARABIC </w:instrText>
      </w:r>
      <w:r w:rsidRPr="00A94BC3">
        <w:rPr>
          <w:b/>
          <w:bCs/>
        </w:rPr>
        <w:fldChar w:fldCharType="separate"/>
      </w:r>
      <w:r w:rsidRPr="00A94BC3">
        <w:rPr>
          <w:b/>
          <w:bCs/>
          <w:noProof/>
        </w:rPr>
        <w:t>15</w:t>
      </w:r>
      <w:r w:rsidRPr="00A94BC3">
        <w:rPr>
          <w:b/>
          <w:bCs/>
          <w:noProof/>
        </w:rPr>
        <w:fldChar w:fldCharType="end"/>
      </w:r>
      <w:bookmarkEnd w:id="11"/>
      <w:r w:rsidRPr="00A94BC3">
        <w:rPr>
          <w:b/>
          <w:bCs/>
        </w:rPr>
        <w:t>.</w:t>
      </w:r>
      <w:r w:rsidRPr="00A94BC3">
        <w:t xml:space="preserve"> Forest plot of the normal MD of the median, ulnar and radial nerves in the forearm, sorted by the echo time and b-value.</w:t>
      </w:r>
    </w:p>
    <w:p w14:paraId="2430EC06" w14:textId="77777777" w:rsidR="009A77FE" w:rsidRPr="00A94BC3" w:rsidRDefault="009A77FE" w:rsidP="009A77FE">
      <w:r w:rsidRPr="00A94BC3">
        <w:rPr>
          <w:noProof/>
          <w:lang w:eastAsia="en-GB"/>
        </w:rPr>
        <w:drawing>
          <wp:inline distT="0" distB="0" distL="0" distR="0" wp14:anchorId="301CE24D" wp14:editId="5F2282C1">
            <wp:extent cx="6120130" cy="700024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20130" cy="7000240"/>
                    </a:xfrm>
                    <a:prstGeom prst="rect">
                      <a:avLst/>
                    </a:prstGeom>
                    <a:noFill/>
                    <a:ln>
                      <a:noFill/>
                    </a:ln>
                  </pic:spPr>
                </pic:pic>
              </a:graphicData>
            </a:graphic>
          </wp:inline>
        </w:drawing>
      </w:r>
    </w:p>
    <w:p w14:paraId="03DB6672" w14:textId="77777777" w:rsidR="009A77FE" w:rsidRPr="00A94BC3" w:rsidRDefault="009A77FE" w:rsidP="009A77FE">
      <w:pPr>
        <w:spacing w:line="240" w:lineRule="auto"/>
        <w:jc w:val="left"/>
      </w:pPr>
      <w:r w:rsidRPr="00A94BC3">
        <w:br w:type="page"/>
      </w:r>
    </w:p>
    <w:p w14:paraId="12F5C2BD" w14:textId="77777777" w:rsidR="009A77FE" w:rsidRPr="00A94BC3" w:rsidRDefault="009A77FE" w:rsidP="009A77FE">
      <w:bookmarkStart w:id="12" w:name="_Ref105080418"/>
      <w:proofErr w:type="spellStart"/>
      <w:r w:rsidRPr="00A94BC3">
        <w:rPr>
          <w:b/>
          <w:bCs/>
        </w:rPr>
        <w:lastRenderedPageBreak/>
        <w:t>eFigure</w:t>
      </w:r>
      <w:proofErr w:type="spellEnd"/>
      <w:r w:rsidRPr="00A94BC3">
        <w:rPr>
          <w:b/>
          <w:bCs/>
        </w:rPr>
        <w:t xml:space="preserve"> </w:t>
      </w:r>
      <w:r w:rsidRPr="00A94BC3">
        <w:rPr>
          <w:b/>
          <w:bCs/>
        </w:rPr>
        <w:fldChar w:fldCharType="begin"/>
      </w:r>
      <w:r w:rsidRPr="00A94BC3">
        <w:rPr>
          <w:b/>
          <w:bCs/>
        </w:rPr>
        <w:instrText xml:space="preserve"> SEQ eFigure \* ARABIC </w:instrText>
      </w:r>
      <w:r w:rsidRPr="00A94BC3">
        <w:rPr>
          <w:b/>
          <w:bCs/>
        </w:rPr>
        <w:fldChar w:fldCharType="separate"/>
      </w:r>
      <w:r w:rsidRPr="00A94BC3">
        <w:rPr>
          <w:b/>
          <w:bCs/>
          <w:noProof/>
        </w:rPr>
        <w:t>16</w:t>
      </w:r>
      <w:r w:rsidRPr="00A94BC3">
        <w:rPr>
          <w:b/>
          <w:bCs/>
          <w:noProof/>
        </w:rPr>
        <w:fldChar w:fldCharType="end"/>
      </w:r>
      <w:bookmarkEnd w:id="12"/>
      <w:r w:rsidRPr="00A94BC3">
        <w:rPr>
          <w:b/>
          <w:bCs/>
        </w:rPr>
        <w:t>.</w:t>
      </w:r>
      <w:r w:rsidRPr="00A94BC3">
        <w:t xml:space="preserve"> Forest plot of the normal RD of the median, ulnar and radial nerves in the forearm, sorted by the echo time and b-value.</w:t>
      </w:r>
    </w:p>
    <w:p w14:paraId="793C7D49" w14:textId="77777777" w:rsidR="009A77FE" w:rsidRPr="00A94BC3" w:rsidRDefault="009A77FE" w:rsidP="009A77FE">
      <w:r w:rsidRPr="00A94BC3">
        <w:rPr>
          <w:noProof/>
          <w:lang w:eastAsia="en-GB"/>
        </w:rPr>
        <w:drawing>
          <wp:inline distT="0" distB="0" distL="0" distR="0" wp14:anchorId="49FF1DB3" wp14:editId="5B2331F8">
            <wp:extent cx="6120130" cy="66738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20130" cy="6673850"/>
                    </a:xfrm>
                    <a:prstGeom prst="rect">
                      <a:avLst/>
                    </a:prstGeom>
                    <a:noFill/>
                    <a:ln>
                      <a:noFill/>
                    </a:ln>
                  </pic:spPr>
                </pic:pic>
              </a:graphicData>
            </a:graphic>
          </wp:inline>
        </w:drawing>
      </w:r>
    </w:p>
    <w:p w14:paraId="209F554E" w14:textId="77777777" w:rsidR="009A77FE" w:rsidRPr="00A94BC3" w:rsidRDefault="009A77FE" w:rsidP="009A77FE">
      <w:pPr>
        <w:spacing w:line="240" w:lineRule="auto"/>
        <w:jc w:val="left"/>
      </w:pPr>
      <w:r w:rsidRPr="00A94BC3">
        <w:br w:type="page"/>
      </w:r>
    </w:p>
    <w:p w14:paraId="1B984783" w14:textId="77777777" w:rsidR="009A77FE" w:rsidRPr="00A94BC3" w:rsidRDefault="009A77FE" w:rsidP="009A77FE">
      <w:bookmarkStart w:id="13" w:name="_Ref105080426"/>
      <w:proofErr w:type="spellStart"/>
      <w:r w:rsidRPr="00A94BC3">
        <w:rPr>
          <w:b/>
          <w:bCs/>
        </w:rPr>
        <w:lastRenderedPageBreak/>
        <w:t>eFigure</w:t>
      </w:r>
      <w:proofErr w:type="spellEnd"/>
      <w:r w:rsidRPr="00A94BC3">
        <w:rPr>
          <w:b/>
          <w:bCs/>
        </w:rPr>
        <w:t xml:space="preserve"> </w:t>
      </w:r>
      <w:r w:rsidRPr="00A94BC3">
        <w:rPr>
          <w:b/>
          <w:bCs/>
        </w:rPr>
        <w:fldChar w:fldCharType="begin"/>
      </w:r>
      <w:r w:rsidRPr="00A94BC3">
        <w:rPr>
          <w:b/>
          <w:bCs/>
        </w:rPr>
        <w:instrText xml:space="preserve"> SEQ eFigure \* ARABIC </w:instrText>
      </w:r>
      <w:r w:rsidRPr="00A94BC3">
        <w:rPr>
          <w:b/>
          <w:bCs/>
        </w:rPr>
        <w:fldChar w:fldCharType="separate"/>
      </w:r>
      <w:r w:rsidRPr="00A94BC3">
        <w:rPr>
          <w:b/>
          <w:bCs/>
          <w:noProof/>
        </w:rPr>
        <w:t>17</w:t>
      </w:r>
      <w:r w:rsidRPr="00A94BC3">
        <w:rPr>
          <w:b/>
          <w:bCs/>
          <w:noProof/>
        </w:rPr>
        <w:fldChar w:fldCharType="end"/>
      </w:r>
      <w:bookmarkEnd w:id="13"/>
      <w:r w:rsidRPr="00A94BC3">
        <w:rPr>
          <w:b/>
          <w:bCs/>
        </w:rPr>
        <w:t>.</w:t>
      </w:r>
      <w:r w:rsidRPr="00A94BC3">
        <w:t xml:space="preserve"> Forest plot of the normal AD of the median, ulnar and radial nerves in the forearm, sorted by the echo time and b-value.</w:t>
      </w:r>
    </w:p>
    <w:p w14:paraId="3BFC2C94" w14:textId="77777777" w:rsidR="009A77FE" w:rsidRPr="00A94BC3" w:rsidRDefault="009A77FE" w:rsidP="009A77FE">
      <w:r w:rsidRPr="00A94BC3">
        <w:rPr>
          <w:noProof/>
          <w:lang w:eastAsia="en-GB"/>
        </w:rPr>
        <w:drawing>
          <wp:inline distT="0" distB="0" distL="0" distR="0" wp14:anchorId="7040DE0B" wp14:editId="03933BDE">
            <wp:extent cx="6120130" cy="659574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20130" cy="6595745"/>
                    </a:xfrm>
                    <a:prstGeom prst="rect">
                      <a:avLst/>
                    </a:prstGeom>
                    <a:noFill/>
                    <a:ln>
                      <a:noFill/>
                    </a:ln>
                  </pic:spPr>
                </pic:pic>
              </a:graphicData>
            </a:graphic>
          </wp:inline>
        </w:drawing>
      </w:r>
    </w:p>
    <w:p w14:paraId="54470840" w14:textId="77777777" w:rsidR="009A77FE" w:rsidRPr="00A94BC3" w:rsidRDefault="009A77FE" w:rsidP="009A77FE">
      <w:pPr>
        <w:spacing w:line="240" w:lineRule="auto"/>
        <w:jc w:val="left"/>
      </w:pPr>
      <w:r w:rsidRPr="00A94BC3">
        <w:br w:type="page"/>
      </w:r>
    </w:p>
    <w:p w14:paraId="44145AF6" w14:textId="77777777" w:rsidR="009A77FE" w:rsidRPr="00A94BC3" w:rsidRDefault="009A77FE" w:rsidP="009A77FE">
      <w:pPr>
        <w:spacing w:line="240" w:lineRule="auto"/>
        <w:jc w:val="left"/>
      </w:pPr>
      <w:r w:rsidRPr="00A94BC3">
        <w:lastRenderedPageBreak/>
        <w:t xml:space="preserve"> </w:t>
      </w:r>
      <w:bookmarkStart w:id="14" w:name="_Ref100312596"/>
      <w:r w:rsidRPr="00A94BC3">
        <w:rPr>
          <w:b/>
          <w:bCs/>
        </w:rPr>
        <w:t xml:space="preserve">Appendix </w:t>
      </w:r>
      <w:r w:rsidRPr="00A94BC3">
        <w:rPr>
          <w:b/>
          <w:bCs/>
        </w:rPr>
        <w:fldChar w:fldCharType="begin"/>
      </w:r>
      <w:r w:rsidRPr="00A94BC3">
        <w:rPr>
          <w:b/>
          <w:bCs/>
        </w:rPr>
        <w:instrText xml:space="preserve"> SEQ Appendix \* ARABIC </w:instrText>
      </w:r>
      <w:r w:rsidRPr="00A94BC3">
        <w:rPr>
          <w:b/>
          <w:bCs/>
        </w:rPr>
        <w:fldChar w:fldCharType="separate"/>
      </w:r>
      <w:r w:rsidRPr="00A94BC3">
        <w:rPr>
          <w:b/>
          <w:bCs/>
          <w:noProof/>
        </w:rPr>
        <w:t>1</w:t>
      </w:r>
      <w:r w:rsidRPr="00A94BC3">
        <w:rPr>
          <w:b/>
          <w:bCs/>
          <w:noProof/>
        </w:rPr>
        <w:fldChar w:fldCharType="end"/>
      </w:r>
      <w:bookmarkEnd w:id="14"/>
      <w:r w:rsidRPr="00A94BC3">
        <w:rPr>
          <w:b/>
          <w:bCs/>
        </w:rPr>
        <w:t>.</w:t>
      </w:r>
      <w:r w:rsidRPr="00A94BC3">
        <w:t xml:space="preserve"> Search strategy</w:t>
      </w:r>
    </w:p>
    <w:p w14:paraId="5BF275CB" w14:textId="77777777" w:rsidR="009A77FE" w:rsidRPr="00A94BC3" w:rsidRDefault="009A77FE" w:rsidP="009A77FE">
      <w:pPr>
        <w:rPr>
          <w:color w:val="000000" w:themeColor="text1"/>
        </w:rPr>
      </w:pPr>
    </w:p>
    <w:p w14:paraId="7F9DD232" w14:textId="77777777" w:rsidR="009A77FE" w:rsidRPr="00A94BC3" w:rsidRDefault="009A77FE" w:rsidP="009A77FE">
      <w:pPr>
        <w:pStyle w:val="ListParagraph"/>
        <w:numPr>
          <w:ilvl w:val="0"/>
          <w:numId w:val="1"/>
        </w:numPr>
        <w:rPr>
          <w:color w:val="000000" w:themeColor="text1"/>
        </w:rPr>
      </w:pPr>
      <w:r w:rsidRPr="00A94BC3">
        <w:rPr>
          <w:color w:val="000000" w:themeColor="text1"/>
        </w:rPr>
        <w:t>Median</w:t>
      </w:r>
    </w:p>
    <w:p w14:paraId="6495C61E" w14:textId="77777777" w:rsidR="009A77FE" w:rsidRPr="00A94BC3" w:rsidRDefault="009A77FE" w:rsidP="009A77FE">
      <w:pPr>
        <w:pStyle w:val="ListParagraph"/>
        <w:numPr>
          <w:ilvl w:val="0"/>
          <w:numId w:val="1"/>
        </w:numPr>
        <w:rPr>
          <w:color w:val="000000" w:themeColor="text1"/>
        </w:rPr>
      </w:pPr>
      <w:r w:rsidRPr="00A94BC3">
        <w:rPr>
          <w:color w:val="000000" w:themeColor="text1"/>
        </w:rPr>
        <w:t>Pronator</w:t>
      </w:r>
    </w:p>
    <w:p w14:paraId="60DE53C6" w14:textId="77777777" w:rsidR="009A77FE" w:rsidRPr="00A94BC3" w:rsidRDefault="009A77FE" w:rsidP="009A77FE">
      <w:pPr>
        <w:pStyle w:val="ListParagraph"/>
        <w:numPr>
          <w:ilvl w:val="0"/>
          <w:numId w:val="1"/>
        </w:numPr>
        <w:rPr>
          <w:color w:val="000000" w:themeColor="text1"/>
        </w:rPr>
      </w:pPr>
      <w:r w:rsidRPr="00A94BC3">
        <w:rPr>
          <w:color w:val="000000" w:themeColor="text1"/>
        </w:rPr>
        <w:t>Ulnar</w:t>
      </w:r>
    </w:p>
    <w:p w14:paraId="4C40BBD4" w14:textId="77777777" w:rsidR="009A77FE" w:rsidRPr="00A94BC3" w:rsidRDefault="009A77FE" w:rsidP="009A77FE">
      <w:pPr>
        <w:pStyle w:val="ListParagraph"/>
        <w:numPr>
          <w:ilvl w:val="0"/>
          <w:numId w:val="1"/>
        </w:numPr>
        <w:rPr>
          <w:color w:val="000000" w:themeColor="text1"/>
        </w:rPr>
      </w:pPr>
      <w:r w:rsidRPr="00A94BC3">
        <w:rPr>
          <w:color w:val="000000" w:themeColor="text1"/>
        </w:rPr>
        <w:t>Cubital</w:t>
      </w:r>
    </w:p>
    <w:p w14:paraId="6A72993E" w14:textId="77777777" w:rsidR="009A77FE" w:rsidRPr="00A94BC3" w:rsidRDefault="009A77FE" w:rsidP="009A77FE">
      <w:pPr>
        <w:pStyle w:val="ListParagraph"/>
        <w:numPr>
          <w:ilvl w:val="0"/>
          <w:numId w:val="1"/>
        </w:numPr>
        <w:rPr>
          <w:color w:val="000000" w:themeColor="text1"/>
        </w:rPr>
      </w:pPr>
      <w:r w:rsidRPr="00A94BC3">
        <w:rPr>
          <w:color w:val="000000" w:themeColor="text1"/>
        </w:rPr>
        <w:t>Radial</w:t>
      </w:r>
    </w:p>
    <w:p w14:paraId="496DC893" w14:textId="77777777" w:rsidR="009A77FE" w:rsidRPr="00A94BC3" w:rsidRDefault="009A77FE" w:rsidP="009A77FE">
      <w:pPr>
        <w:pStyle w:val="ListParagraph"/>
        <w:numPr>
          <w:ilvl w:val="0"/>
          <w:numId w:val="1"/>
        </w:numPr>
        <w:rPr>
          <w:color w:val="000000" w:themeColor="text1"/>
        </w:rPr>
      </w:pPr>
      <w:r w:rsidRPr="00A94BC3">
        <w:rPr>
          <w:color w:val="000000" w:themeColor="text1"/>
        </w:rPr>
        <w:t>Forearm</w:t>
      </w:r>
    </w:p>
    <w:p w14:paraId="13B47C35" w14:textId="77777777" w:rsidR="009A77FE" w:rsidRPr="00A94BC3" w:rsidRDefault="009A77FE" w:rsidP="009A77FE">
      <w:pPr>
        <w:pStyle w:val="ListParagraph"/>
        <w:numPr>
          <w:ilvl w:val="0"/>
          <w:numId w:val="1"/>
        </w:numPr>
        <w:rPr>
          <w:color w:val="000000" w:themeColor="text1"/>
        </w:rPr>
      </w:pPr>
      <w:r w:rsidRPr="00A94BC3">
        <w:rPr>
          <w:color w:val="000000" w:themeColor="text1"/>
        </w:rPr>
        <w:t>Arm</w:t>
      </w:r>
    </w:p>
    <w:p w14:paraId="0E0DB7B4" w14:textId="77777777" w:rsidR="009A77FE" w:rsidRPr="00A94BC3" w:rsidRDefault="009A77FE" w:rsidP="009A77FE">
      <w:pPr>
        <w:pStyle w:val="ListParagraph"/>
        <w:numPr>
          <w:ilvl w:val="0"/>
          <w:numId w:val="1"/>
        </w:numPr>
        <w:rPr>
          <w:color w:val="000000" w:themeColor="text1"/>
        </w:rPr>
      </w:pPr>
      <w:r w:rsidRPr="00A94BC3">
        <w:rPr>
          <w:color w:val="000000" w:themeColor="text1"/>
        </w:rPr>
        <w:t>Upper limb</w:t>
      </w:r>
    </w:p>
    <w:p w14:paraId="3F4D1B94" w14:textId="77777777" w:rsidR="009A77FE" w:rsidRPr="00A94BC3" w:rsidRDefault="009A77FE" w:rsidP="009A77FE">
      <w:pPr>
        <w:pStyle w:val="ListParagraph"/>
        <w:numPr>
          <w:ilvl w:val="0"/>
          <w:numId w:val="1"/>
        </w:numPr>
        <w:rPr>
          <w:color w:val="000000" w:themeColor="text1"/>
        </w:rPr>
      </w:pPr>
      <w:r w:rsidRPr="00A94BC3">
        <w:rPr>
          <w:color w:val="000000" w:themeColor="text1"/>
        </w:rPr>
        <w:t>Elbow</w:t>
      </w:r>
    </w:p>
    <w:p w14:paraId="0C27D689" w14:textId="77777777" w:rsidR="009A77FE" w:rsidRPr="00A94BC3" w:rsidRDefault="009A77FE" w:rsidP="009A77FE">
      <w:pPr>
        <w:pStyle w:val="ListParagraph"/>
        <w:numPr>
          <w:ilvl w:val="0"/>
          <w:numId w:val="1"/>
        </w:numPr>
        <w:rPr>
          <w:color w:val="000000" w:themeColor="text1"/>
        </w:rPr>
      </w:pPr>
      <w:proofErr w:type="spellStart"/>
      <w:proofErr w:type="gramStart"/>
      <w:r w:rsidRPr="00A94BC3">
        <w:rPr>
          <w:color w:val="000000" w:themeColor="text1"/>
        </w:rPr>
        <w:t>Diffusion?tensor</w:t>
      </w:r>
      <w:proofErr w:type="spellEnd"/>
      <w:proofErr w:type="gramEnd"/>
    </w:p>
    <w:p w14:paraId="6F5DEA1B" w14:textId="77777777" w:rsidR="009A77FE" w:rsidRPr="00A94BC3" w:rsidRDefault="009A77FE" w:rsidP="009A77FE">
      <w:pPr>
        <w:pStyle w:val="ListParagraph"/>
        <w:numPr>
          <w:ilvl w:val="0"/>
          <w:numId w:val="1"/>
        </w:numPr>
        <w:rPr>
          <w:color w:val="000000" w:themeColor="text1"/>
        </w:rPr>
      </w:pPr>
      <w:r w:rsidRPr="00A94BC3">
        <w:rPr>
          <w:color w:val="000000" w:themeColor="text1"/>
        </w:rPr>
        <w:t>DTI</w:t>
      </w:r>
    </w:p>
    <w:p w14:paraId="00EB11B0" w14:textId="77777777" w:rsidR="009A77FE" w:rsidRPr="00A94BC3" w:rsidRDefault="009A77FE" w:rsidP="009A77FE">
      <w:pPr>
        <w:pStyle w:val="ListParagraph"/>
        <w:numPr>
          <w:ilvl w:val="0"/>
          <w:numId w:val="1"/>
        </w:numPr>
        <w:rPr>
          <w:color w:val="000000" w:themeColor="text1"/>
        </w:rPr>
      </w:pPr>
      <w:r w:rsidRPr="00A94BC3">
        <w:rPr>
          <w:color w:val="000000" w:themeColor="text1"/>
        </w:rPr>
        <w:t>Diffusion MRI</w:t>
      </w:r>
    </w:p>
    <w:p w14:paraId="5512346C" w14:textId="77777777" w:rsidR="009A77FE" w:rsidRPr="00A94BC3" w:rsidRDefault="009A77FE" w:rsidP="009A77FE">
      <w:pPr>
        <w:pStyle w:val="ListParagraph"/>
        <w:numPr>
          <w:ilvl w:val="0"/>
          <w:numId w:val="1"/>
        </w:numPr>
        <w:rPr>
          <w:color w:val="000000" w:themeColor="text1"/>
        </w:rPr>
      </w:pPr>
      <w:r w:rsidRPr="00A94BC3">
        <w:rPr>
          <w:color w:val="000000" w:themeColor="text1"/>
        </w:rPr>
        <w:t>Diffusion magnetic resonance imaging</w:t>
      </w:r>
    </w:p>
    <w:p w14:paraId="367208E0" w14:textId="77777777" w:rsidR="009A77FE" w:rsidRPr="00A94BC3" w:rsidRDefault="009A77FE" w:rsidP="009A77FE">
      <w:pPr>
        <w:pStyle w:val="ListParagraph"/>
        <w:numPr>
          <w:ilvl w:val="0"/>
          <w:numId w:val="1"/>
        </w:numPr>
        <w:rPr>
          <w:color w:val="000000" w:themeColor="text1"/>
        </w:rPr>
      </w:pPr>
      <w:proofErr w:type="spellStart"/>
      <w:proofErr w:type="gramStart"/>
      <w:r w:rsidRPr="00A94BC3">
        <w:rPr>
          <w:color w:val="000000" w:themeColor="text1"/>
        </w:rPr>
        <w:t>Q?space</w:t>
      </w:r>
      <w:proofErr w:type="spellEnd"/>
      <w:proofErr w:type="gramEnd"/>
    </w:p>
    <w:p w14:paraId="4FCB3F0F" w14:textId="77777777" w:rsidR="009A77FE" w:rsidRPr="00A94BC3" w:rsidRDefault="009A77FE" w:rsidP="009A77FE">
      <w:pPr>
        <w:pStyle w:val="ListParagraph"/>
        <w:numPr>
          <w:ilvl w:val="0"/>
          <w:numId w:val="1"/>
        </w:numPr>
        <w:rPr>
          <w:color w:val="000000" w:themeColor="text1"/>
        </w:rPr>
      </w:pPr>
      <w:proofErr w:type="spellStart"/>
      <w:proofErr w:type="gramStart"/>
      <w:r w:rsidRPr="00A94BC3">
        <w:rPr>
          <w:color w:val="000000" w:themeColor="text1"/>
        </w:rPr>
        <w:t>Diffusion?weighted</w:t>
      </w:r>
      <w:proofErr w:type="spellEnd"/>
      <w:proofErr w:type="gramEnd"/>
    </w:p>
    <w:p w14:paraId="433EF971" w14:textId="77777777" w:rsidR="009A77FE" w:rsidRPr="00A94BC3" w:rsidRDefault="009A77FE" w:rsidP="009A77FE">
      <w:pPr>
        <w:pStyle w:val="ListParagraph"/>
        <w:numPr>
          <w:ilvl w:val="0"/>
          <w:numId w:val="1"/>
        </w:numPr>
        <w:rPr>
          <w:color w:val="000000" w:themeColor="text1"/>
        </w:rPr>
      </w:pPr>
      <w:r w:rsidRPr="00A94BC3">
        <w:rPr>
          <w:color w:val="000000" w:themeColor="text1"/>
        </w:rPr>
        <w:t>DWI</w:t>
      </w:r>
    </w:p>
    <w:p w14:paraId="61F43978" w14:textId="77777777" w:rsidR="009A77FE" w:rsidRPr="00A94BC3" w:rsidRDefault="009A77FE" w:rsidP="009A77FE">
      <w:pPr>
        <w:pStyle w:val="ListParagraph"/>
        <w:numPr>
          <w:ilvl w:val="0"/>
          <w:numId w:val="1"/>
        </w:numPr>
        <w:rPr>
          <w:color w:val="000000" w:themeColor="text1"/>
        </w:rPr>
      </w:pPr>
      <w:r w:rsidRPr="00A94BC3">
        <w:rPr>
          <w:color w:val="000000" w:themeColor="text1"/>
        </w:rPr>
        <w:t>Anisotropic diffusion</w:t>
      </w:r>
    </w:p>
    <w:p w14:paraId="714D8D21" w14:textId="77777777" w:rsidR="009A77FE" w:rsidRPr="00A94BC3" w:rsidRDefault="009A77FE" w:rsidP="009A77FE">
      <w:pPr>
        <w:pStyle w:val="ListParagraph"/>
        <w:numPr>
          <w:ilvl w:val="0"/>
          <w:numId w:val="1"/>
        </w:numPr>
        <w:rPr>
          <w:color w:val="000000" w:themeColor="text1"/>
        </w:rPr>
      </w:pPr>
      <w:r w:rsidRPr="00A94BC3">
        <w:rPr>
          <w:color w:val="000000" w:themeColor="text1"/>
        </w:rPr>
        <w:t>1 OR 2 OR 3 OR 4 OR 5 OR 6 OR 7 OR 8 OR 9</w:t>
      </w:r>
    </w:p>
    <w:p w14:paraId="472C1157" w14:textId="77777777" w:rsidR="009A77FE" w:rsidRPr="00A94BC3" w:rsidRDefault="009A77FE" w:rsidP="009A77FE">
      <w:pPr>
        <w:pStyle w:val="ListParagraph"/>
        <w:numPr>
          <w:ilvl w:val="0"/>
          <w:numId w:val="1"/>
        </w:numPr>
        <w:rPr>
          <w:color w:val="000000" w:themeColor="text1"/>
        </w:rPr>
      </w:pPr>
      <w:r w:rsidRPr="00A94BC3">
        <w:rPr>
          <w:color w:val="000000" w:themeColor="text1"/>
        </w:rPr>
        <w:t>10 OR 11 OR 12 OR 13 OR 14 OR 15 OR 16 OR 17</w:t>
      </w:r>
    </w:p>
    <w:p w14:paraId="00A2153E" w14:textId="77777777" w:rsidR="009A77FE" w:rsidRPr="00A94BC3" w:rsidRDefault="009A77FE" w:rsidP="009A77FE">
      <w:pPr>
        <w:pStyle w:val="ListParagraph"/>
        <w:numPr>
          <w:ilvl w:val="0"/>
          <w:numId w:val="1"/>
        </w:numPr>
        <w:rPr>
          <w:color w:val="000000" w:themeColor="text1"/>
        </w:rPr>
      </w:pPr>
      <w:r w:rsidRPr="00A94BC3">
        <w:rPr>
          <w:color w:val="000000" w:themeColor="text1"/>
        </w:rPr>
        <w:t>18 AND 19</w:t>
      </w:r>
    </w:p>
    <w:p w14:paraId="19939AE0" w14:textId="77777777" w:rsidR="00A114B9" w:rsidRDefault="00A114B9"/>
    <w:sectPr w:rsidR="00A114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DC5CF4"/>
    <w:multiLevelType w:val="hybridMultilevel"/>
    <w:tmpl w:val="67CEDC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143303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7FE"/>
    <w:rsid w:val="00107FFB"/>
    <w:rsid w:val="00550731"/>
    <w:rsid w:val="008D2DD1"/>
    <w:rsid w:val="009A77FE"/>
    <w:rsid w:val="00A114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2FACB"/>
  <w15:chartTrackingRefBased/>
  <w15:docId w15:val="{8D622568-9828-4005-B55B-6B92F185B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77FE"/>
    <w:pPr>
      <w:spacing w:after="0" w:line="480" w:lineRule="auto"/>
      <w:jc w:val="both"/>
    </w:pPr>
    <w:rPr>
      <w:rFonts w:ascii="Arial" w:eastAsia="Calibri" w:hAnsi="Arial"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72"/>
    <w:qFormat/>
    <w:rsid w:val="009A77FE"/>
    <w:pPr>
      <w:ind w:left="720"/>
      <w:contextualSpacing/>
    </w:pPr>
  </w:style>
  <w:style w:type="paragraph" w:styleId="Caption">
    <w:name w:val="caption"/>
    <w:basedOn w:val="Normal"/>
    <w:next w:val="Normal"/>
    <w:uiPriority w:val="35"/>
    <w:unhideWhenUsed/>
    <w:qFormat/>
    <w:rsid w:val="009A77FE"/>
    <w:pPr>
      <w:spacing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emf"/><Relationship Id="rId18" Type="http://schemas.openxmlformats.org/officeDocument/2006/relationships/image" Target="media/image14.emf"/><Relationship Id="rId3" Type="http://schemas.openxmlformats.org/officeDocument/2006/relationships/settings" Target="settings.xml"/><Relationship Id="rId21" Type="http://schemas.openxmlformats.org/officeDocument/2006/relationships/image" Target="media/image17.emf"/><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emf"/><Relationship Id="rId2" Type="http://schemas.openxmlformats.org/officeDocument/2006/relationships/styles" Target="styles.xml"/><Relationship Id="rId16" Type="http://schemas.openxmlformats.org/officeDocument/2006/relationships/image" Target="media/image12.emf"/><Relationship Id="rId20" Type="http://schemas.openxmlformats.org/officeDocument/2006/relationships/image" Target="media/image16.emf"/><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emf"/><Relationship Id="rId23"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5.emf"/><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7508</Words>
  <Characters>42799</Characters>
  <Application>Microsoft Office Word</Application>
  <DocSecurity>0</DocSecurity>
  <Lines>356</Lines>
  <Paragraphs>100</Paragraphs>
  <ScaleCrop>false</ScaleCrop>
  <Company/>
  <LinksUpToDate>false</LinksUpToDate>
  <CharactersWithSpaces>50207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Ryckie Wade</dc:creator>
  <cp:keywords/>
  <dc:description/>
  <cp:lastModifiedBy>Ryckie Wade</cp:lastModifiedBy>
  <cp:revision>1</cp:revision>
  <dcterms:created xsi:type="dcterms:W3CDTF">2022-07-19T15:05:00Z</dcterms:created>
  <dcterms:modified xsi:type="dcterms:W3CDTF">2022-07-19T15:06:00Z</dcterms:modified>
</cp:coreProperties>
</file>