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183FE" w14:textId="77777777" w:rsidR="00455ABA" w:rsidRPr="00455ABA" w:rsidRDefault="00455ABA" w:rsidP="00455ABA">
      <w:pPr>
        <w:rPr>
          <w:rFonts w:ascii="Times New Roman" w:eastAsia="Times New Roman" w:hAnsi="Times New Roman" w:cs="Times New Roman"/>
          <w:b/>
          <w:bCs/>
          <w:sz w:val="24"/>
          <w:szCs w:val="24"/>
        </w:rPr>
      </w:pPr>
      <w:r w:rsidRPr="00455ABA">
        <w:rPr>
          <w:rFonts w:ascii="Times New Roman" w:eastAsia="Times New Roman" w:hAnsi="Times New Roman" w:cs="Times New Roman"/>
          <w:b/>
          <w:bCs/>
          <w:sz w:val="24"/>
          <w:szCs w:val="24"/>
        </w:rPr>
        <w:t>Sample size calculation</w:t>
      </w:r>
    </w:p>
    <w:p w14:paraId="411167C9" w14:textId="77777777" w:rsidR="00455ABA" w:rsidRPr="00455ABA" w:rsidRDefault="00455ABA" w:rsidP="00455ABA">
      <w:pPr>
        <w:rPr>
          <w:rFonts w:ascii="Times New Roman" w:eastAsia="Times New Roman" w:hAnsi="Times New Roman" w:cs="Times New Roman"/>
          <w:b/>
          <w:bCs/>
          <w:sz w:val="24"/>
          <w:szCs w:val="24"/>
        </w:rPr>
      </w:pPr>
      <w:r w:rsidRPr="00455ABA">
        <w:rPr>
          <w:rFonts w:ascii="Times New Roman" w:eastAsia="Times New Roman" w:hAnsi="Times New Roman" w:cs="Times New Roman"/>
          <w:b/>
          <w:bCs/>
          <w:sz w:val="24"/>
          <w:szCs w:val="24"/>
        </w:rPr>
        <w:t>Stratified Cluster sampling</w:t>
      </w:r>
    </w:p>
    <w:p w14:paraId="53C772EB"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In simple random sampling technique where each unit is drawn randomly from the study universe, the sample size n is given as,</w:t>
      </w:r>
    </w:p>
    <w:p w14:paraId="2590869A"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p>
    <w:p w14:paraId="348884A2"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n</w:t>
      </w:r>
      <w:proofErr w:type="gramStart"/>
      <w:r w:rsidRPr="00455ABA">
        <w:rPr>
          <w:rFonts w:ascii="Times New Roman" w:eastAsia="Times New Roman" w:hAnsi="Times New Roman" w:cs="Times New Roman"/>
          <w:sz w:val="24"/>
          <w:szCs w:val="24"/>
        </w:rPr>
        <w:t>=  (</w:t>
      </w:r>
      <w:proofErr w:type="gramEnd"/>
      <w:r w:rsidRPr="00455ABA">
        <w:rPr>
          <w:rFonts w:ascii="Times New Roman" w:eastAsia="Cambria Math" w:hAnsi="Times New Roman" w:cs="Times New Roman"/>
          <w:sz w:val="24"/>
          <w:szCs w:val="24"/>
        </w:rPr>
        <w:t>〖</w:t>
      </w:r>
      <w:r w:rsidRPr="00455ABA">
        <w:rPr>
          <w:rFonts w:ascii="Times New Roman" w:eastAsia="Times New Roman" w:hAnsi="Times New Roman" w:cs="Times New Roman"/>
          <w:sz w:val="24"/>
          <w:szCs w:val="24"/>
        </w:rPr>
        <w:t>z_(α/2)</w:t>
      </w:r>
      <w:r w:rsidRPr="00455ABA">
        <w:rPr>
          <w:rFonts w:ascii="Times New Roman" w:eastAsia="Cambria Math" w:hAnsi="Times New Roman" w:cs="Times New Roman"/>
          <w:sz w:val="24"/>
          <w:szCs w:val="24"/>
        </w:rPr>
        <w:t>〗</w:t>
      </w:r>
      <w:r w:rsidRPr="00455ABA">
        <w:rPr>
          <w:rFonts w:ascii="Times New Roman" w:eastAsia="Times New Roman" w:hAnsi="Times New Roman" w:cs="Times New Roman"/>
          <w:sz w:val="24"/>
          <w:szCs w:val="24"/>
        </w:rPr>
        <w:t>^2×P(P-1))/</w:t>
      </w:r>
      <w:r w:rsidRPr="00455ABA">
        <w:rPr>
          <w:rFonts w:ascii="Times New Roman" w:eastAsia="Cambria Math" w:hAnsi="Times New Roman" w:cs="Times New Roman"/>
          <w:sz w:val="24"/>
          <w:szCs w:val="24"/>
        </w:rPr>
        <w:t>〖</w:t>
      </w:r>
      <w:r w:rsidRPr="00455ABA">
        <w:rPr>
          <w:rFonts w:ascii="Times New Roman" w:eastAsia="Times New Roman" w:hAnsi="Times New Roman" w:cs="Times New Roman"/>
          <w:sz w:val="24"/>
          <w:szCs w:val="24"/>
        </w:rPr>
        <w:t>(MOE)</w:t>
      </w:r>
      <w:r w:rsidRPr="00455ABA">
        <w:rPr>
          <w:rFonts w:ascii="Times New Roman" w:eastAsia="Cambria Math" w:hAnsi="Times New Roman" w:cs="Times New Roman"/>
          <w:sz w:val="24"/>
          <w:szCs w:val="24"/>
        </w:rPr>
        <w:t>〗</w:t>
      </w:r>
      <w:r w:rsidRPr="00455ABA">
        <w:rPr>
          <w:rFonts w:ascii="Times New Roman" w:eastAsia="Times New Roman" w:hAnsi="Times New Roman" w:cs="Times New Roman"/>
          <w:sz w:val="24"/>
          <w:szCs w:val="24"/>
        </w:rPr>
        <w:t xml:space="preserve">^2  (Lwanga &amp; </w:t>
      </w:r>
      <w:proofErr w:type="spellStart"/>
      <w:r w:rsidRPr="00455ABA">
        <w:rPr>
          <w:rFonts w:ascii="Times New Roman" w:eastAsia="Times New Roman" w:hAnsi="Times New Roman" w:cs="Times New Roman"/>
          <w:sz w:val="24"/>
          <w:szCs w:val="24"/>
        </w:rPr>
        <w:t>Lemeshow</w:t>
      </w:r>
      <w:proofErr w:type="spellEnd"/>
      <w:r w:rsidRPr="00455ABA">
        <w:rPr>
          <w:rFonts w:ascii="Times New Roman" w:eastAsia="Times New Roman" w:hAnsi="Times New Roman" w:cs="Times New Roman"/>
          <w:sz w:val="24"/>
          <w:szCs w:val="24"/>
        </w:rPr>
        <w:t>, 1991)</w:t>
      </w:r>
    </w:p>
    <w:p w14:paraId="745507A6"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Where</w:t>
      </w:r>
      <w:r w:rsidRPr="00455ABA">
        <w:rPr>
          <w:rFonts w:ascii="Times New Roman" w:eastAsia="Times New Roman" w:hAnsi="Times New Roman" w:cs="Times New Roman"/>
          <w:sz w:val="24"/>
          <w:szCs w:val="24"/>
        </w:rPr>
        <w:tab/>
        <w:t>Z = 1.96 (95% confidence level)</w:t>
      </w:r>
    </w:p>
    <w:p w14:paraId="7D137279"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ab/>
        <w:t>P = 0.2 (Proportion of unmarried youth sexually active)</w:t>
      </w:r>
    </w:p>
    <w:p w14:paraId="6E1B7FDE"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ab/>
        <w:t>MOE = 0.05 (Margin of error – 5%)</w:t>
      </w:r>
    </w:p>
    <w:p w14:paraId="300567DA"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ab/>
        <w:t>n = Calculated Sample Size</w:t>
      </w:r>
    </w:p>
    <w:p w14:paraId="5A6DE7F1"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Calculated Sample Size = 245</w:t>
      </w:r>
    </w:p>
    <w:p w14:paraId="4567E8E9"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 xml:space="preserve">As cluster sampling method was used in this study, correction to the homogeneity within the cluster was added </w:t>
      </w:r>
      <w:r w:rsidRPr="00455ABA">
        <w:rPr>
          <w:rFonts w:ascii="Times New Roman" w:eastAsia="Times New Roman" w:hAnsi="Times New Roman" w:cs="Times New Roman"/>
          <w:sz w:val="24"/>
          <w:szCs w:val="24"/>
        </w:rPr>
        <w:fldChar w:fldCharType="begin" w:fldLock="1"/>
      </w:r>
      <w:r w:rsidRPr="00455ABA">
        <w:rPr>
          <w:rFonts w:ascii="Times New Roman" w:eastAsia="Times New Roman" w:hAnsi="Times New Roman" w:cs="Times New Roman"/>
          <w:sz w:val="24"/>
          <w:szCs w:val="24"/>
        </w:rPr>
        <w:instrText>ADDIN CSL_CITATION {"citationItems":[{"id":"ITEM-1","itemData":{"ISBN":"978-0470986615","author":[{"dropping-particle":"","family":"Abramson","given":"J.","non-dropping-particle":"","parse-names":false,"suffix":""},{"dropping-particle":"","family":"Abramson","given":"Z. H.","non-dropping-particle":"","parse-names":false,"suffix":""}],"container-title":"undefined","edition":"6","id":"ITEM-1","issued":{"date-parts":[["2008"]]},"publisher":"Wiley","title":"Research methods in community medicine : surveys, epidemiological research, programme evaluation, clinical trials","type":"book"},"uris":["http://www.mendeley.com/documents/?uuid=2d7e8ef8-a7cd-3763-9380-4d96218e56d6"]}],"mendeley":{"formattedCitation":"(Abramson &amp; Abramson, 2008)","plainTextFormattedCitation":"(Abramson &amp; Abramson, 2008)","previouslyFormattedCitation":"(Abramson &amp; Abramson, 2008)"},"properties":{"noteIndex":0},"schema":"https://github.com/citation-style-language/schema/raw/master/csl-citation.json"}</w:instrText>
      </w:r>
      <w:r w:rsidRPr="00455ABA">
        <w:rPr>
          <w:rFonts w:ascii="Times New Roman" w:eastAsia="Times New Roman" w:hAnsi="Times New Roman" w:cs="Times New Roman"/>
          <w:sz w:val="24"/>
          <w:szCs w:val="24"/>
        </w:rPr>
        <w:fldChar w:fldCharType="separate"/>
      </w:r>
      <w:r w:rsidRPr="00455ABA">
        <w:rPr>
          <w:rFonts w:ascii="Times New Roman" w:eastAsia="Times New Roman" w:hAnsi="Times New Roman" w:cs="Times New Roman"/>
          <w:noProof/>
          <w:sz w:val="24"/>
          <w:szCs w:val="24"/>
        </w:rPr>
        <w:t>(Abramson &amp; Abramson, 2008)</w:t>
      </w:r>
      <w:r w:rsidRPr="00455ABA">
        <w:rPr>
          <w:rFonts w:ascii="Times New Roman" w:eastAsia="Times New Roman" w:hAnsi="Times New Roman" w:cs="Times New Roman"/>
          <w:sz w:val="24"/>
          <w:szCs w:val="24"/>
        </w:rPr>
        <w:fldChar w:fldCharType="end"/>
      </w:r>
    </w:p>
    <w:p w14:paraId="3E5EFCC0" w14:textId="77777777" w:rsidR="00455ABA" w:rsidRPr="00455ABA" w:rsidRDefault="00455ABA" w:rsidP="00455ABA">
      <w:pPr>
        <w:tabs>
          <w:tab w:val="left" w:pos="0"/>
        </w:tabs>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N= Design effect x n</w:t>
      </w:r>
    </w:p>
    <w:p w14:paraId="5D131DE0" w14:textId="77777777" w:rsidR="00455ABA" w:rsidRPr="00455ABA" w:rsidRDefault="00455ABA" w:rsidP="00455ABA">
      <w:pPr>
        <w:tabs>
          <w:tab w:val="left" w:pos="0"/>
          <w:tab w:val="left" w:pos="360"/>
        </w:tabs>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Design effect = 1+ δ (β-1)</w:t>
      </w:r>
    </w:p>
    <w:p w14:paraId="416E0932" w14:textId="77777777" w:rsidR="00455ABA" w:rsidRPr="00455ABA" w:rsidRDefault="00455ABA" w:rsidP="00455ABA">
      <w:pPr>
        <w:tabs>
          <w:tab w:val="left" w:pos="0"/>
          <w:tab w:val="left" w:pos="360"/>
          <w:tab w:val="left" w:pos="630"/>
        </w:tabs>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β= cluster size; taken as 20</w:t>
      </w:r>
    </w:p>
    <w:p w14:paraId="35638F71" w14:textId="77777777" w:rsidR="00455ABA" w:rsidRPr="00455ABA" w:rsidRDefault="00455ABA" w:rsidP="00455ABA">
      <w:pPr>
        <w:tabs>
          <w:tab w:val="left" w:pos="0"/>
          <w:tab w:val="left" w:pos="360"/>
          <w:tab w:val="left" w:pos="630"/>
        </w:tabs>
        <w:spacing w:after="0" w:line="360" w:lineRule="auto"/>
        <w:jc w:val="both"/>
        <w:rPr>
          <w:rFonts w:ascii="Times New Roman" w:eastAsia="Times New Roman" w:hAnsi="Times New Roman" w:cs="Times New Roman"/>
          <w:sz w:val="24"/>
          <w:szCs w:val="24"/>
        </w:rPr>
      </w:pPr>
    </w:p>
    <w:p w14:paraId="4782B871" w14:textId="3F500125" w:rsidR="00455ABA" w:rsidRPr="00455ABA" w:rsidRDefault="00455ABA" w:rsidP="00EF5C22">
      <w:pPr>
        <w:tabs>
          <w:tab w:val="left" w:pos="0"/>
          <w:tab w:val="left" w:pos="360"/>
          <w:tab w:val="left" w:pos="630"/>
        </w:tabs>
        <w:spacing w:after="0" w:line="360" w:lineRule="auto"/>
        <w:ind w:left="360" w:hanging="360"/>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δ</w:t>
      </w:r>
      <w:r w:rsidR="00EF5C22">
        <w:rPr>
          <w:rFonts w:ascii="Times New Roman" w:eastAsia="Times New Roman" w:hAnsi="Times New Roman" w:cs="Times New Roman"/>
          <w:sz w:val="24"/>
          <w:szCs w:val="24"/>
        </w:rPr>
        <w:t>=</w:t>
      </w:r>
      <w:r w:rsidRPr="00455ABA">
        <w:rPr>
          <w:rFonts w:ascii="Times New Roman" w:eastAsia="Times New Roman" w:hAnsi="Times New Roman" w:cs="Times New Roman"/>
          <w:sz w:val="24"/>
          <w:szCs w:val="24"/>
        </w:rPr>
        <w:t xml:space="preserve"> </w:t>
      </w:r>
      <w:r w:rsidR="00EF5C22">
        <w:rPr>
          <w:rFonts w:ascii="Times New Roman" w:eastAsia="Times New Roman" w:hAnsi="Times New Roman" w:cs="Times New Roman"/>
          <w:sz w:val="24"/>
          <w:szCs w:val="24"/>
        </w:rPr>
        <w:tab/>
      </w:r>
      <w:r w:rsidRPr="00455ABA">
        <w:rPr>
          <w:rFonts w:ascii="Times New Roman" w:eastAsia="Times New Roman" w:hAnsi="Times New Roman" w:cs="Times New Roman"/>
          <w:sz w:val="24"/>
          <w:szCs w:val="24"/>
        </w:rPr>
        <w:t>rho; in the absence of previous studies, as mentioned by the Bennett and others estimated value of rho was taken as 0.1</w:t>
      </w:r>
      <w:r w:rsidRPr="00455ABA">
        <w:rPr>
          <w:rFonts w:ascii="Times New Roman" w:eastAsia="Times New Roman" w:hAnsi="Times New Roman" w:cs="Times New Roman"/>
          <w:sz w:val="24"/>
          <w:szCs w:val="24"/>
        </w:rPr>
        <w:fldChar w:fldCharType="begin" w:fldLock="1"/>
      </w:r>
      <w:r w:rsidRPr="00455ABA">
        <w:rPr>
          <w:rFonts w:ascii="Times New Roman" w:eastAsia="Times New Roman" w:hAnsi="Times New Roman" w:cs="Times New Roman"/>
          <w:sz w:val="24"/>
          <w:szCs w:val="24"/>
        </w:rPr>
        <w:instrText>ADDIN CSL_CITATION {"citationItems":[{"id":"ITEM-1","itemData":{"author":[{"dropping-particle":"","family":"Bennett","given":"Steve","non-dropping-particle":"","parse-names":false,"suffix":""},{"dropping-particle":"","family":"Woods","given":"Tony","non-dropping-particle":"","parse-names":false,"suffix":""},{"dropping-particle":"","family":"Liyanage","given":"Winitha M.","non-dropping-particle":"","parse-names":false,"suffix":""},{"dropping-particle":"","family":"Smith","given":"Duane L.","non-dropping-particle":"","parse-names":false,"suffix":""}],"container-title":"World health statistics quarterly","id":"ITEM-1","issue":"3","issued":{"date-parts":[["1991"]]},"page":"98-106","title":" A Simplified general method for cluster-sample surveys of health in developing countries","type":"article-journal","volume":"44"},"uris":["http://www.mendeley.com/documents/?uuid=5533f67c-45e3-3041-880e-b03d6a80f39f"]}],"mendeley":{"formattedCitation":"(Bennett et al., 1991)","plainTextFormattedCitation":"(Bennett et al., 1991)","previouslyFormattedCitation":"(Bennett et al., 1991)"},"properties":{"noteIndex":0},"schema":"https://github.com/citation-style-language/schema/raw/master/csl-citation.json"}</w:instrText>
      </w:r>
      <w:r w:rsidRPr="00455ABA">
        <w:rPr>
          <w:rFonts w:ascii="Times New Roman" w:eastAsia="Times New Roman" w:hAnsi="Times New Roman" w:cs="Times New Roman"/>
          <w:sz w:val="24"/>
          <w:szCs w:val="24"/>
        </w:rPr>
        <w:fldChar w:fldCharType="separate"/>
      </w:r>
      <w:r w:rsidRPr="00455ABA">
        <w:rPr>
          <w:rFonts w:ascii="Times New Roman" w:eastAsia="Times New Roman" w:hAnsi="Times New Roman" w:cs="Times New Roman"/>
          <w:noProof/>
          <w:sz w:val="24"/>
          <w:szCs w:val="24"/>
        </w:rPr>
        <w:t>(Bennett et al., 1991)</w:t>
      </w:r>
      <w:r w:rsidRPr="00455ABA">
        <w:rPr>
          <w:rFonts w:ascii="Times New Roman" w:eastAsia="Times New Roman" w:hAnsi="Times New Roman" w:cs="Times New Roman"/>
          <w:sz w:val="24"/>
          <w:szCs w:val="24"/>
        </w:rPr>
        <w:fldChar w:fldCharType="end"/>
      </w:r>
      <w:r w:rsidRPr="00455ABA">
        <w:rPr>
          <w:rFonts w:ascii="Times New Roman" w:eastAsia="Times New Roman" w:hAnsi="Times New Roman" w:cs="Times New Roman"/>
          <w:sz w:val="24"/>
          <w:szCs w:val="24"/>
        </w:rPr>
        <w:t xml:space="preserve">. </w:t>
      </w:r>
      <w:proofErr w:type="gramStart"/>
      <w:r w:rsidRPr="00455ABA">
        <w:rPr>
          <w:rFonts w:ascii="Times New Roman" w:eastAsia="Times New Roman" w:hAnsi="Times New Roman" w:cs="Times New Roman"/>
          <w:sz w:val="24"/>
          <w:szCs w:val="24"/>
        </w:rPr>
        <w:t>In a given</w:t>
      </w:r>
      <w:proofErr w:type="gramEnd"/>
      <w:r w:rsidRPr="00455ABA">
        <w:rPr>
          <w:rFonts w:ascii="Times New Roman" w:eastAsia="Times New Roman" w:hAnsi="Times New Roman" w:cs="Times New Roman"/>
          <w:sz w:val="24"/>
          <w:szCs w:val="24"/>
        </w:rPr>
        <w:t xml:space="preserve"> cluster of a vocational training center, course cohort of a university, private tuition class, private higher educational institutes, youth from families of different socio-economic and cultural backgrounds attend. Hence, there was adequate heterogeneity within clusters that justifies the use of 0.1 as the rho.</w:t>
      </w:r>
    </w:p>
    <w:p w14:paraId="7CEAB172" w14:textId="77777777" w:rsidR="00455ABA" w:rsidRPr="00455ABA" w:rsidRDefault="00455ABA" w:rsidP="00455ABA">
      <w:pPr>
        <w:tabs>
          <w:tab w:val="left" w:pos="360"/>
          <w:tab w:val="left" w:pos="630"/>
        </w:tabs>
        <w:spacing w:after="0" w:line="360" w:lineRule="auto"/>
        <w:jc w:val="both"/>
        <w:rPr>
          <w:rFonts w:ascii="Times New Roman" w:eastAsia="Times New Roman" w:hAnsi="Times New Roman" w:cs="Times New Roman"/>
          <w:sz w:val="24"/>
          <w:szCs w:val="24"/>
        </w:rPr>
      </w:pPr>
    </w:p>
    <w:p w14:paraId="52A65FEB" w14:textId="77777777" w:rsidR="00455ABA" w:rsidRPr="00455ABA" w:rsidRDefault="00455ABA" w:rsidP="00455ABA">
      <w:pPr>
        <w:tabs>
          <w:tab w:val="left" w:pos="450"/>
        </w:tabs>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Design effect = 1+ 0.1 (20-1) =1.9</w:t>
      </w:r>
    </w:p>
    <w:p w14:paraId="53BA9DCD"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Therefore, the required sample size= 384.16 x 1.9 = 710.5</w:t>
      </w:r>
    </w:p>
    <w:p w14:paraId="39449CBC" w14:textId="77777777" w:rsidR="00455ABA" w:rsidRPr="00455ABA" w:rsidRDefault="00455ABA" w:rsidP="00455ABA">
      <w:pPr>
        <w:spacing w:after="0" w:line="360" w:lineRule="auto"/>
        <w:jc w:val="both"/>
        <w:rPr>
          <w:rFonts w:ascii="Times New Roman" w:eastAsia="Times New Roman" w:hAnsi="Times New Roman" w:cs="Times New Roman"/>
          <w:sz w:val="24"/>
          <w:szCs w:val="24"/>
        </w:rPr>
      </w:pPr>
      <w:r w:rsidRPr="00455ABA">
        <w:rPr>
          <w:rFonts w:ascii="Times New Roman" w:eastAsia="Times New Roman" w:hAnsi="Times New Roman" w:cs="Times New Roman"/>
          <w:sz w:val="24"/>
          <w:szCs w:val="24"/>
        </w:rPr>
        <w:t>≈ 711 Never married Youth</w:t>
      </w:r>
    </w:p>
    <w:p w14:paraId="183DBB48"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13466A9D"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 xml:space="preserve">After adding 5% for non-response, </w:t>
      </w:r>
    </w:p>
    <w:p w14:paraId="0F74B805"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730 /0.95 = 749</w:t>
      </w:r>
    </w:p>
    <w:p w14:paraId="0BC44706"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lastRenderedPageBreak/>
        <w:t>It was decided to include 260 never married youth from each district through probability sampling using stratified cluster sampling as cluster size was 20. Thus, total of 780 never-married youth was selected.</w:t>
      </w:r>
    </w:p>
    <w:p w14:paraId="03E5754B"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14D175FF"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Total No of clusters- 39</w:t>
      </w:r>
    </w:p>
    <w:p w14:paraId="42A87082"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Clusters per district- 13</w:t>
      </w:r>
    </w:p>
    <w:p w14:paraId="52F0FFE5"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0295D7C6"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 xml:space="preserve">As only 43.2 per cent of 15-24 aged youth were in </w:t>
      </w:r>
      <w:proofErr w:type="spellStart"/>
      <w:r w:rsidRPr="00455ABA">
        <w:rPr>
          <w:rFonts w:ascii="Times New Roman" w:eastAsia="Calibri" w:hAnsi="Times New Roman" w:cs="Times New Roman"/>
          <w:sz w:val="24"/>
          <w:szCs w:val="24"/>
        </w:rPr>
        <w:t>labour</w:t>
      </w:r>
      <w:proofErr w:type="spellEnd"/>
      <w:r w:rsidRPr="00455ABA">
        <w:rPr>
          <w:rFonts w:ascii="Times New Roman" w:eastAsia="Calibri" w:hAnsi="Times New Roman" w:cs="Times New Roman"/>
          <w:sz w:val="24"/>
          <w:szCs w:val="24"/>
        </w:rPr>
        <w:t xml:space="preserve"> force with majority of economically inactive youth are educating, it was decided to allocate 7 clusters to education institutes and 6 clusters to working places in each district (</w:t>
      </w:r>
      <w:r w:rsidRPr="00455ABA">
        <w:rPr>
          <w:rFonts w:ascii="Times New Roman" w:eastAsia="Calibri" w:hAnsi="Times New Roman" w:cs="Times New Roman"/>
          <w:i/>
          <w:iCs/>
          <w:sz w:val="24"/>
          <w:szCs w:val="24"/>
        </w:rPr>
        <w:t>Sri Lanka</w:t>
      </w:r>
      <w:r w:rsidRPr="00455ABA">
        <w:rPr>
          <w:rFonts w:ascii="Times New Roman" w:eastAsia="Calibri" w:hAnsi="Times New Roman" w:cs="Times New Roman"/>
          <w:sz w:val="24"/>
          <w:szCs w:val="24"/>
        </w:rPr>
        <w:t xml:space="preserve"> </w:t>
      </w:r>
      <w:proofErr w:type="spellStart"/>
      <w:r w:rsidRPr="00455ABA">
        <w:rPr>
          <w:rFonts w:ascii="Times New Roman" w:eastAsia="Calibri" w:hAnsi="Times New Roman" w:cs="Times New Roman"/>
          <w:i/>
          <w:iCs/>
          <w:sz w:val="24"/>
          <w:szCs w:val="24"/>
        </w:rPr>
        <w:t>Labour</w:t>
      </w:r>
      <w:proofErr w:type="spellEnd"/>
      <w:r w:rsidRPr="00455ABA">
        <w:rPr>
          <w:rFonts w:ascii="Times New Roman" w:eastAsia="Calibri" w:hAnsi="Times New Roman" w:cs="Times New Roman"/>
          <w:i/>
          <w:iCs/>
          <w:sz w:val="24"/>
          <w:szCs w:val="24"/>
        </w:rPr>
        <w:t xml:space="preserve"> Force Survey</w:t>
      </w:r>
      <w:r w:rsidRPr="00455ABA">
        <w:rPr>
          <w:rFonts w:ascii="Times New Roman" w:eastAsia="Calibri" w:hAnsi="Times New Roman" w:cs="Times New Roman"/>
          <w:sz w:val="24"/>
          <w:szCs w:val="24"/>
        </w:rPr>
        <w:t>, 2019; De Silva, 2020).</w:t>
      </w:r>
    </w:p>
    <w:p w14:paraId="498389C4"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5648FEF1"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 xml:space="preserve">Total No of educating youth clusters- 21 </w:t>
      </w:r>
    </w:p>
    <w:p w14:paraId="4969531E"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Total No of formal sector employed youth clusters- 18</w:t>
      </w:r>
    </w:p>
    <w:p w14:paraId="68A6917E"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592888AE" w14:textId="77777777" w:rsidR="00455ABA" w:rsidRPr="00455ABA" w:rsidRDefault="00455ABA" w:rsidP="00455ABA">
      <w:pPr>
        <w:spacing w:after="0" w:line="360" w:lineRule="auto"/>
        <w:jc w:val="both"/>
        <w:rPr>
          <w:rFonts w:ascii="Times New Roman" w:eastAsia="Calibri" w:hAnsi="Times New Roman" w:cs="Times New Roman"/>
          <w:b/>
          <w:bCs/>
          <w:sz w:val="24"/>
          <w:szCs w:val="24"/>
        </w:rPr>
      </w:pPr>
      <w:r w:rsidRPr="00455ABA">
        <w:rPr>
          <w:rFonts w:ascii="Times New Roman" w:eastAsia="Calibri" w:hAnsi="Times New Roman" w:cs="Times New Roman"/>
          <w:b/>
          <w:bCs/>
          <w:sz w:val="24"/>
          <w:szCs w:val="24"/>
        </w:rPr>
        <w:t>Definition of a cluster</w:t>
      </w:r>
    </w:p>
    <w:p w14:paraId="0310695C"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Educational Stratum*</w:t>
      </w:r>
    </w:p>
    <w:p w14:paraId="27A6A259" w14:textId="77777777"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Any registered private educational institution (registered at Higher Education Ministry or at Divisional Secretariat) or government institution (excluding schools) with at least 50 registered students physically located within the selected district.</w:t>
      </w:r>
    </w:p>
    <w:p w14:paraId="3EAF0574"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5B710ACE" w14:textId="70351DF3" w:rsidR="00455ABA" w:rsidRP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Workplace Stratum</w:t>
      </w:r>
      <w:r w:rsidR="005E4F53">
        <w:rPr>
          <w:rFonts w:ascii="Times New Roman" w:eastAsia="Calibri" w:hAnsi="Times New Roman" w:cs="Times New Roman"/>
          <w:sz w:val="24"/>
          <w:szCs w:val="24"/>
        </w:rPr>
        <w:t>*</w:t>
      </w:r>
    </w:p>
    <w:p w14:paraId="1AB86E9C" w14:textId="77777777" w:rsidR="00455ABA" w:rsidRPr="00455ABA" w:rsidRDefault="00455ABA" w:rsidP="00455ABA">
      <w:pPr>
        <w:spacing w:after="0" w:line="360" w:lineRule="auto"/>
        <w:jc w:val="both"/>
        <w:rPr>
          <w:rFonts w:ascii="Times New Roman" w:eastAsia="Calibri" w:hAnsi="Times New Roman" w:cs="Times New Roman"/>
          <w:sz w:val="24"/>
          <w:szCs w:val="24"/>
        </w:rPr>
      </w:pPr>
    </w:p>
    <w:p w14:paraId="30780E1F" w14:textId="40CAD5CF" w:rsidR="00455ABA" w:rsidRDefault="00455ABA" w:rsidP="00455ABA">
      <w:pPr>
        <w:spacing w:after="0" w:line="360" w:lineRule="auto"/>
        <w:jc w:val="both"/>
        <w:rPr>
          <w:rFonts w:ascii="Times New Roman" w:eastAsia="Calibri" w:hAnsi="Times New Roman" w:cs="Times New Roman"/>
          <w:sz w:val="24"/>
          <w:szCs w:val="24"/>
        </w:rPr>
      </w:pPr>
      <w:r w:rsidRPr="00455ABA">
        <w:rPr>
          <w:rFonts w:ascii="Times New Roman" w:eastAsia="Calibri" w:hAnsi="Times New Roman" w:cs="Times New Roman"/>
          <w:sz w:val="24"/>
          <w:szCs w:val="24"/>
        </w:rPr>
        <w:t xml:space="preserve">Any registered private workplace (registered at either Department of </w:t>
      </w:r>
      <w:proofErr w:type="spellStart"/>
      <w:r w:rsidRPr="00455ABA">
        <w:rPr>
          <w:rFonts w:ascii="Times New Roman" w:eastAsia="Calibri" w:hAnsi="Times New Roman" w:cs="Times New Roman"/>
          <w:sz w:val="24"/>
          <w:szCs w:val="24"/>
        </w:rPr>
        <w:t>Labour</w:t>
      </w:r>
      <w:proofErr w:type="spellEnd"/>
      <w:r w:rsidRPr="00455ABA">
        <w:rPr>
          <w:rFonts w:ascii="Times New Roman" w:eastAsia="Calibri" w:hAnsi="Times New Roman" w:cs="Times New Roman"/>
          <w:sz w:val="24"/>
          <w:szCs w:val="24"/>
        </w:rPr>
        <w:t xml:space="preserve"> or at Divisional Secretariat) or government institution with at least 200 employees physically located within the selected district. (Number of employees as 200 was selected to enable the recruitment of 20 youth in the workplace).</w:t>
      </w:r>
    </w:p>
    <w:p w14:paraId="40793AA5" w14:textId="05CB9A9F" w:rsidR="005E4F53" w:rsidRDefault="005E4F53" w:rsidP="00455ABA">
      <w:pPr>
        <w:spacing w:after="0" w:line="360" w:lineRule="auto"/>
        <w:jc w:val="both"/>
        <w:rPr>
          <w:rFonts w:ascii="Times New Roman" w:eastAsia="Calibri" w:hAnsi="Times New Roman" w:cs="Times New Roman"/>
          <w:sz w:val="24"/>
          <w:szCs w:val="24"/>
        </w:rPr>
      </w:pPr>
    </w:p>
    <w:p w14:paraId="6EF76E98" w14:textId="050EAFA4" w:rsidR="005E4F53" w:rsidRPr="00455ABA" w:rsidRDefault="005E4F53" w:rsidP="00455ABA">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5E4F53">
        <w:rPr>
          <w:rFonts w:ascii="Times New Roman" w:eastAsia="Calibri" w:hAnsi="Times New Roman" w:cs="Times New Roman"/>
          <w:sz w:val="24"/>
          <w:szCs w:val="24"/>
        </w:rPr>
        <w:t xml:space="preserve">*Due to the sensitive nature of the questions including the questions of sexual activity, resistance from school authorities (which was evident during the implementation of comprehensive SRH education at schools) could have resulted in inability to achieve the required sample size and under representation of such communities in the sample. To overcome this issue, we selected registered </w:t>
      </w:r>
      <w:r w:rsidRPr="005E4F53">
        <w:rPr>
          <w:rFonts w:ascii="Times New Roman" w:eastAsia="Calibri" w:hAnsi="Times New Roman" w:cs="Times New Roman"/>
          <w:sz w:val="24"/>
          <w:szCs w:val="24"/>
        </w:rPr>
        <w:lastRenderedPageBreak/>
        <w:t>private tuition classes and educational intuitions as all most all youth who attend government schools attend theses intuitions for additional knowledge gain.</w:t>
      </w:r>
    </w:p>
    <w:p w14:paraId="27922FC8" w14:textId="77777777" w:rsidR="00B43863" w:rsidRDefault="00B43863"/>
    <w:sectPr w:rsidR="00B438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ABA"/>
    <w:rsid w:val="00393639"/>
    <w:rsid w:val="00455ABA"/>
    <w:rsid w:val="005E4F53"/>
    <w:rsid w:val="00B43863"/>
    <w:rsid w:val="00EF5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18C5C"/>
  <w15:chartTrackingRefBased/>
  <w15:docId w15:val="{B431E2D6-090C-4AAA-A591-B5604D570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790</Words>
  <Characters>4508</Characters>
  <Application>Microsoft Office Word</Application>
  <DocSecurity>0</DocSecurity>
  <Lines>37</Lines>
  <Paragraphs>10</Paragraphs>
  <ScaleCrop>false</ScaleCrop>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Malith Kumarasinghe</dc:creator>
  <cp:keywords/>
  <dc:description/>
  <cp:lastModifiedBy>Malith Kumarasinghe</cp:lastModifiedBy>
  <cp:revision>4</cp:revision>
  <dcterms:created xsi:type="dcterms:W3CDTF">2022-06-09T02:13:00Z</dcterms:created>
  <dcterms:modified xsi:type="dcterms:W3CDTF">2022-06-09T02:20:00Z</dcterms:modified>
</cp:coreProperties>
</file>