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79" w:rsidRDefault="00FA6579">
      <w:pPr>
        <w:widowControl w:val="0"/>
        <w:spacing w:before="240" w:after="240" w:line="480" w:lineRule="auto"/>
        <w:rPr>
          <w:rFonts w:ascii="Arial" w:eastAsia="Arial" w:hAnsi="Arial" w:cs="Arial"/>
        </w:rPr>
      </w:pPr>
    </w:p>
    <w:p w:rsidR="0017564E" w:rsidRPr="0017564E" w:rsidRDefault="00742983" w:rsidP="0017564E">
      <w:pPr>
        <w:pStyle w:val="Body"/>
        <w:suppressAutoHyphens/>
        <w:spacing w:line="480" w:lineRule="auto"/>
        <w:rPr>
          <w:b/>
          <w:bCs/>
          <w:sz w:val="22"/>
          <w:szCs w:val="22"/>
          <w:lang w:val="en-US"/>
        </w:rPr>
      </w:pPr>
      <w:r w:rsidRPr="005C0663">
        <w:rPr>
          <w:b/>
          <w:sz w:val="22"/>
          <w:szCs w:val="22"/>
        </w:rPr>
        <w:t xml:space="preserve">Supplementary Table </w:t>
      </w:r>
      <w:r w:rsidR="0017564E" w:rsidRPr="005C0663">
        <w:rPr>
          <w:rStyle w:val="None"/>
          <w:b/>
          <w:bCs/>
          <w:sz w:val="22"/>
          <w:szCs w:val="22"/>
          <w:lang w:val="en-US"/>
        </w:rPr>
        <w:t>1.</w:t>
      </w:r>
      <w:r w:rsidR="0017564E" w:rsidRPr="00F81944">
        <w:rPr>
          <w:rStyle w:val="None"/>
          <w:b/>
          <w:bCs/>
          <w:sz w:val="22"/>
          <w:szCs w:val="22"/>
          <w:lang w:val="en-US"/>
        </w:rPr>
        <w:t xml:space="preserve"> </w:t>
      </w:r>
      <w:r w:rsidR="0017564E" w:rsidRPr="00F81944">
        <w:rPr>
          <w:rStyle w:val="jlqj4b"/>
          <w:sz w:val="22"/>
          <w:szCs w:val="22"/>
          <w:lang w:val="en"/>
        </w:rPr>
        <w:t xml:space="preserve">Information about </w:t>
      </w:r>
      <w:r w:rsidR="002B76C1">
        <w:rPr>
          <w:rStyle w:val="jlqj4b"/>
          <w:sz w:val="22"/>
          <w:szCs w:val="22"/>
          <w:lang w:val="en"/>
        </w:rPr>
        <w:t>t</w:t>
      </w:r>
      <w:bookmarkStart w:id="0" w:name="_GoBack"/>
      <w:bookmarkEnd w:id="0"/>
      <w:r w:rsidR="002B76C1">
        <w:rPr>
          <w:rStyle w:val="jlqj4b"/>
          <w:sz w:val="22"/>
          <w:szCs w:val="22"/>
          <w:lang w:val="en"/>
        </w:rPr>
        <w:t>he cases used in this study</w:t>
      </w:r>
      <w:r w:rsidR="0017564E" w:rsidRPr="00F81944">
        <w:rPr>
          <w:rStyle w:val="jlqj4b"/>
          <w:sz w:val="22"/>
          <w:szCs w:val="22"/>
          <w:lang w:val="en"/>
        </w:rPr>
        <w:t>.</w:t>
      </w:r>
    </w:p>
    <w:tbl>
      <w:tblPr>
        <w:tblStyle w:val="a"/>
        <w:tblW w:w="11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1"/>
        <w:gridCol w:w="782"/>
        <w:gridCol w:w="567"/>
        <w:gridCol w:w="567"/>
        <w:gridCol w:w="1134"/>
        <w:gridCol w:w="709"/>
        <w:gridCol w:w="850"/>
        <w:gridCol w:w="1134"/>
        <w:gridCol w:w="567"/>
        <w:gridCol w:w="851"/>
        <w:gridCol w:w="567"/>
        <w:gridCol w:w="708"/>
        <w:gridCol w:w="709"/>
        <w:gridCol w:w="709"/>
        <w:gridCol w:w="1134"/>
      </w:tblGrid>
      <w:tr w:rsidR="000741A5" w:rsidRPr="000741A5" w:rsidTr="000741A5">
        <w:trPr>
          <w:trHeight w:val="733"/>
          <w:jc w:val="center"/>
        </w:trPr>
        <w:tc>
          <w:tcPr>
            <w:tcW w:w="631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782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Diagnose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741A5" w:rsidRPr="000741A5" w:rsidRDefault="000741A5" w:rsidP="00074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Age of death  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Sex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Cause of death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Age of onset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Lifetime AP (mg)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741A5" w:rsidRPr="000741A5" w:rsidRDefault="00E66D6C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 xml:space="preserve">Cortical </w:t>
            </w:r>
            <w:r w:rsidR="000741A5"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Inflammatory status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PMI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proofErr w:type="spellStart"/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BrainPH</w:t>
            </w:r>
            <w:proofErr w:type="spellEnd"/>
          </w:p>
        </w:tc>
        <w:tc>
          <w:tcPr>
            <w:tcW w:w="567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RIN</w:t>
            </w:r>
          </w:p>
        </w:tc>
        <w:tc>
          <w:tcPr>
            <w:tcW w:w="708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NeuN+ nuclei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DN  nuclei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Seq. saturation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% Transcripts  mapped to the genome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CA592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70.2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58.7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6.87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62.2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6.94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55.5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48.7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MYOCARDITIS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69.8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54.2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52-62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42.2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71.3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53.4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39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53.1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52-62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36.1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40.9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38.6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12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52-62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30.4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48.8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NA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6.59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PNEUMONIA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CA592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58.6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SUIC:JUMPED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CA592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76.1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75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CA592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62.8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59.4</w:t>
            </w:r>
          </w:p>
        </w:tc>
      </w:tr>
      <w:tr w:rsidR="000741A5" w:rsidRPr="000741A5" w:rsidTr="000741A5">
        <w:trPr>
          <w:trHeight w:val="17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MVA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CA592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High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37.2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35.7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61.7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54.4</w:t>
            </w:r>
          </w:p>
        </w:tc>
      </w:tr>
      <w:tr w:rsidR="000741A5" w:rsidRPr="000741A5" w:rsidTr="000741A5">
        <w:trPr>
          <w:trHeight w:val="22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CIRRHOSIS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38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56.1</w:t>
            </w:r>
          </w:p>
        </w:tc>
      </w:tr>
      <w:tr w:rsidR="000741A5" w:rsidRPr="000741A5" w:rsidTr="000741A5">
        <w:trPr>
          <w:trHeight w:val="136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19-29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OD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64.7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60.5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59.5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41.5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19-29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SUIC:OD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67.8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51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24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52-62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42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35.2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25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52-62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6.49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55.2</w:t>
            </w:r>
          </w:p>
        </w:tc>
      </w:tr>
      <w:tr w:rsidR="000741A5" w:rsidRPr="000741A5" w:rsidTr="000741A5">
        <w:trPr>
          <w:trHeight w:val="159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26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6.63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45.1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54.7</w:t>
            </w:r>
          </w:p>
        </w:tc>
      </w:tr>
      <w:tr w:rsidR="000741A5" w:rsidRPr="000741A5" w:rsidTr="000741A5">
        <w:trPr>
          <w:trHeight w:val="16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27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PNEUMONIA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</w:t>
            </w:r>
            <w:r w:rsidR="0091492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77.4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56.8</w:t>
            </w:r>
          </w:p>
        </w:tc>
      </w:tr>
      <w:tr w:rsidR="000741A5" w:rsidRPr="000741A5" w:rsidTr="000741A5">
        <w:trPr>
          <w:trHeight w:val="27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30-40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CARDIAC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</w:t>
            </w:r>
            <w:r w:rsidR="009149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44.9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32.5</w:t>
            </w:r>
          </w:p>
        </w:tc>
      </w:tr>
      <w:tr w:rsidR="000741A5" w:rsidRPr="000741A5" w:rsidTr="000741A5">
        <w:trPr>
          <w:trHeight w:val="12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29</w:t>
            </w:r>
          </w:p>
        </w:tc>
        <w:tc>
          <w:tcPr>
            <w:tcW w:w="782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SZ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41-51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EXHAUSTIVE MANIA/NMS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350</w:t>
            </w:r>
            <w:r w:rsidR="009149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000</w:t>
            </w:r>
          </w:p>
        </w:tc>
        <w:tc>
          <w:tcPr>
            <w:tcW w:w="1134" w:type="dxa"/>
          </w:tcPr>
          <w:p w:rsidR="000741A5" w:rsidRPr="000741A5" w:rsidRDefault="00243304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Normal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5.9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10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28</w:t>
            </w:r>
            <w:r w:rsidR="007F27ED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530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66.7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41A5" w:rsidRPr="000741A5" w:rsidRDefault="000741A5" w:rsidP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 w:rsidRPr="000741A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35.1</w:t>
            </w:r>
          </w:p>
        </w:tc>
      </w:tr>
    </w:tbl>
    <w:p w:rsidR="00FA6579" w:rsidRDefault="0006692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Information about the </w:t>
      </w:r>
      <w:r w:rsidR="00CE0F29">
        <w:rPr>
          <w:rFonts w:ascii="Times New Roman" w:eastAsia="Times New Roman" w:hAnsi="Times New Roman" w:cs="Times New Roman"/>
        </w:rPr>
        <w:t>cases</w:t>
      </w:r>
      <w:r>
        <w:rPr>
          <w:rFonts w:ascii="Times New Roman" w:eastAsia="Times New Roman" w:hAnsi="Times New Roman" w:cs="Times New Roman"/>
        </w:rPr>
        <w:t xml:space="preserve"> and some quality measurements of the midbrain samples obtained from them. </w:t>
      </w:r>
      <w:r w:rsidR="00C565B7">
        <w:rPr>
          <w:rFonts w:ascii="Times New Roman" w:eastAsia="Times New Roman" w:hAnsi="Times New Roman" w:cs="Times New Roman"/>
        </w:rPr>
        <w:t>Schizophrenia (SZ), Control (C</w:t>
      </w:r>
      <w:r w:rsidR="00481594">
        <w:rPr>
          <w:rFonts w:ascii="Times New Roman" w:eastAsia="Times New Roman" w:hAnsi="Times New Roman" w:cs="Times New Roman"/>
        </w:rPr>
        <w:t xml:space="preserve">N), </w:t>
      </w:r>
      <w:r>
        <w:rPr>
          <w:rFonts w:ascii="Times New Roman" w:eastAsia="Times New Roman" w:hAnsi="Times New Roman" w:cs="Times New Roman"/>
        </w:rPr>
        <w:t>Antipsychotics (AP), Post Mortem Interval (PMI), Double Negative (DN), Sequencing (</w:t>
      </w:r>
      <w:proofErr w:type="spellStart"/>
      <w:r>
        <w:rPr>
          <w:rFonts w:ascii="Times New Roman" w:eastAsia="Times New Roman" w:hAnsi="Times New Roman" w:cs="Times New Roman"/>
        </w:rPr>
        <w:t>Seq</w:t>
      </w:r>
      <w:proofErr w:type="spellEnd"/>
      <w:r>
        <w:rPr>
          <w:rFonts w:ascii="Times New Roman" w:eastAsia="Times New Roman" w:hAnsi="Times New Roman" w:cs="Times New Roman"/>
        </w:rPr>
        <w:t>)</w:t>
      </w:r>
      <w:r w:rsidR="006D7688">
        <w:rPr>
          <w:rFonts w:ascii="Times New Roman" w:eastAsia="Times New Roman" w:hAnsi="Times New Roman" w:cs="Times New Roman"/>
        </w:rPr>
        <w:t>, Over Dose (OD)</w:t>
      </w:r>
      <w:r>
        <w:rPr>
          <w:rFonts w:ascii="Times New Roman" w:eastAsia="Times New Roman" w:hAnsi="Times New Roman" w:cs="Times New Roman"/>
        </w:rPr>
        <w:t>. Lifeti</w:t>
      </w:r>
      <w:r w:rsidR="006D7688">
        <w:rPr>
          <w:rFonts w:ascii="Times New Roman" w:eastAsia="Times New Roman" w:hAnsi="Times New Roman" w:cs="Times New Roman"/>
        </w:rPr>
        <w:t xml:space="preserve">me AP: </w:t>
      </w:r>
      <w:proofErr w:type="spellStart"/>
      <w:r w:rsidR="006D7688">
        <w:rPr>
          <w:rFonts w:ascii="Times New Roman" w:eastAsia="Times New Roman" w:hAnsi="Times New Roman" w:cs="Times New Roman"/>
        </w:rPr>
        <w:t>fluphenazine</w:t>
      </w:r>
      <w:proofErr w:type="spellEnd"/>
      <w:r w:rsidR="006D7688">
        <w:rPr>
          <w:rFonts w:ascii="Times New Roman" w:eastAsia="Times New Roman" w:hAnsi="Times New Roman" w:cs="Times New Roman"/>
        </w:rPr>
        <w:t xml:space="preserve"> equivalents.</w:t>
      </w:r>
      <w:r w:rsidR="00243304">
        <w:rPr>
          <w:rFonts w:ascii="Times New Roman" w:eastAsia="Times New Roman" w:hAnsi="Times New Roman" w:cs="Times New Roman"/>
        </w:rPr>
        <w:t xml:space="preserve"> The cortical inflammatory status of the donor was previously  defined in </w:t>
      </w:r>
      <w:r w:rsidR="00243304" w:rsidRPr="00243304">
        <w:rPr>
          <w:rFonts w:ascii="Times New Roman" w:hAnsi="Times New Roman"/>
          <w:color w:val="000000"/>
        </w:rPr>
        <w:fldChar w:fldCharType="begin"/>
      </w:r>
      <w:r w:rsidR="00243304">
        <w:rPr>
          <w:rFonts w:ascii="Times New Roman" w:hAnsi="Times New Roman"/>
          <w:color w:val="000000"/>
        </w:rPr>
        <w:instrText xml:space="preserve"> ADDIN EN.CITE &lt;EndNote&gt;&lt;Cite&gt;&lt;Author&gt;Fillman&lt;/Author&gt;&lt;Year&gt;2014&lt;/Year&gt;&lt;RecNum&gt;91&lt;/RecNum&gt;&lt;DisplayText&gt;[1]&lt;/DisplayText&gt;&lt;record&gt;&lt;rec-number&gt;91&lt;/rec-number&gt;&lt;foreign-keys&gt;&lt;key app="EN" db-id="9wsp0tffztsadrevppd5ffdq5t9x5dz5zzxd" timestamp="1647529829"&gt;91&lt;/key&gt;&lt;/foreign-keys&gt;&lt;ref-type name="Journal Article"&gt;17&lt;/ref-type&gt;&lt;contributors&gt;&lt;authors&gt;&lt;author&gt;Fillman, S. G.&lt;/author&gt;&lt;author&gt;Sinclair, D.&lt;/author&gt;&lt;author&gt;Fung, S. J.&lt;/author&gt;&lt;author&gt;Webster, M. J.&lt;/author&gt;&lt;author&gt;Shannon Weickert, C.&lt;/author&gt;&lt;/authors&gt;&lt;/contributors&gt;&lt;titles&gt;&lt;title&gt;Markers of inflammation and stress distinguish subsets of individuals with schizophrenia and bipolar disorder&lt;/title&gt;&lt;secondary-title&gt;Translational psychiatry&lt;/secondary-title&gt;&lt;alt-title&gt;Transl Psychiatry&lt;/alt-title&gt;&lt;/titles&gt;&lt;periodical&gt;&lt;full-title&gt;Translational Psychiatry&lt;/full-title&gt;&lt;/periodical&gt;&lt;pages&gt;e365-e365&lt;/pages&gt;&lt;volume&gt;4&lt;/volume&gt;&lt;number&gt;2&lt;/number&gt;&lt;keywords&gt;&lt;keyword&gt;Adult&lt;/keyword&gt;&lt;keyword&gt;Biomarkers/metabolism&lt;/keyword&gt;&lt;keyword&gt;Bipolar Disorder/classification/*immunology&lt;/keyword&gt;&lt;keyword&gt;Cerebral Cortex/*metabolism&lt;/keyword&gt;&lt;keyword&gt;Cohort Studies&lt;/keyword&gt;&lt;keyword&gt;Female&lt;/keyword&gt;&lt;keyword&gt;*Gene Expression&lt;/keyword&gt;&lt;keyword&gt;Humans&lt;/keyword&gt;&lt;keyword&gt;Inflammation/*immunology&lt;/keyword&gt;&lt;keyword&gt;Male&lt;/keyword&gt;&lt;keyword&gt;Middle Aged&lt;/keyword&gt;&lt;keyword&gt;Schizophrenia/classification/*immunology&lt;/keyword&gt;&lt;keyword&gt;Stress, Psychological/*immunology&lt;/keyword&gt;&lt;keyword&gt;Young Adult&lt;/keyword&gt;&lt;/keywords&gt;&lt;dates&gt;&lt;year&gt;2014&lt;/year&gt;&lt;/dates&gt;&lt;publisher&gt;Nature Publishing Group&lt;/publisher&gt;&lt;isbn&gt;2158-3188&lt;/isbn&gt;&lt;accession-num&gt;24569695&lt;/accession-num&gt;&lt;urls&gt;&lt;related-urls&gt;&lt;url&gt;https://pubmed.ncbi.nlm.nih.gov/24569695&lt;/url&gt;&lt;url&gt;https://www.ncbi.nlm.nih.gov/pmc/articles/PMC3944638/&lt;/url&gt;&lt;/related-urls&gt;&lt;/urls&gt;&lt;electronic-resource-num&gt;10.1038/tp.2014.8&lt;/electronic-resource-num&gt;&lt;remote-database-name&gt;PubMed&lt;/remote-database-name&gt;&lt;language&gt;eng&lt;/language&gt;&lt;/record&gt;&lt;/Cite&gt;&lt;/EndNote&gt;</w:instrText>
      </w:r>
      <w:r w:rsidR="00243304" w:rsidRPr="00243304">
        <w:rPr>
          <w:rFonts w:ascii="Times New Roman" w:hAnsi="Times New Roman"/>
          <w:color w:val="000000"/>
        </w:rPr>
        <w:fldChar w:fldCharType="separate"/>
      </w:r>
      <w:r w:rsidR="00243304">
        <w:rPr>
          <w:rFonts w:ascii="Times New Roman" w:hAnsi="Times New Roman"/>
          <w:noProof/>
          <w:color w:val="000000"/>
        </w:rPr>
        <w:t>[1]</w:t>
      </w:r>
      <w:r w:rsidR="00243304" w:rsidRPr="00243304">
        <w:rPr>
          <w:rFonts w:ascii="Times New Roman" w:hAnsi="Times New Roman"/>
          <w:color w:val="000000"/>
        </w:rPr>
        <w:fldChar w:fldCharType="end"/>
      </w:r>
      <w:r w:rsidR="00243304" w:rsidRPr="00243304">
        <w:rPr>
          <w:rFonts w:ascii="Times New Roman" w:hAnsi="Times New Roman"/>
          <w:color w:val="000000"/>
        </w:rPr>
        <w:t>.</w:t>
      </w:r>
    </w:p>
    <w:p w:rsidR="00FA6579" w:rsidRDefault="00FA6579">
      <w:pPr>
        <w:rPr>
          <w:rFonts w:ascii="Times New Roman" w:eastAsia="Times New Roman" w:hAnsi="Times New Roman" w:cs="Times New Roman"/>
        </w:rPr>
      </w:pPr>
    </w:p>
    <w:p w:rsidR="00FA6579" w:rsidRDefault="00FA6579">
      <w:pPr>
        <w:rPr>
          <w:sz w:val="16"/>
          <w:szCs w:val="16"/>
        </w:rPr>
      </w:pPr>
    </w:p>
    <w:p w:rsidR="00243304" w:rsidRDefault="00243304">
      <w:pPr>
        <w:rPr>
          <w:sz w:val="16"/>
          <w:szCs w:val="16"/>
        </w:rPr>
      </w:pPr>
    </w:p>
    <w:p w:rsidR="00243304" w:rsidRDefault="00243304">
      <w:pPr>
        <w:rPr>
          <w:sz w:val="16"/>
          <w:szCs w:val="16"/>
        </w:rPr>
      </w:pPr>
    </w:p>
    <w:p w:rsidR="00243304" w:rsidRDefault="00243304">
      <w:pPr>
        <w:rPr>
          <w:sz w:val="16"/>
          <w:szCs w:val="16"/>
        </w:rPr>
      </w:pPr>
    </w:p>
    <w:p w:rsidR="00FA6579" w:rsidRDefault="00FA6579">
      <w:pPr>
        <w:rPr>
          <w:sz w:val="16"/>
          <w:szCs w:val="16"/>
        </w:rPr>
      </w:pPr>
    </w:p>
    <w:p w:rsidR="00FA6579" w:rsidRDefault="00FA6579">
      <w:pPr>
        <w:rPr>
          <w:sz w:val="16"/>
          <w:szCs w:val="16"/>
        </w:rPr>
      </w:pPr>
    </w:p>
    <w:p w:rsidR="00FA6579" w:rsidRDefault="00FA6579">
      <w:pPr>
        <w:rPr>
          <w:sz w:val="16"/>
          <w:szCs w:val="16"/>
        </w:rPr>
      </w:pPr>
    </w:p>
    <w:p w:rsidR="00FA6579" w:rsidRDefault="00742983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Supplementary Table 2</w:t>
      </w:r>
      <w:r w:rsidR="0006692E">
        <w:rPr>
          <w:rFonts w:ascii="Times New Roman" w:eastAsia="Times New Roman" w:hAnsi="Times New Roman" w:cs="Times New Roman"/>
          <w:b/>
        </w:rPr>
        <w:t xml:space="preserve">. </w:t>
      </w:r>
      <w:r w:rsidR="0006692E">
        <w:rPr>
          <w:rFonts w:ascii="Times New Roman" w:eastAsia="Times New Roman" w:hAnsi="Times New Roman" w:cs="Times New Roman"/>
        </w:rPr>
        <w:t xml:space="preserve">Comparisons of demographics between </w:t>
      </w:r>
      <w:r w:rsidR="00425889">
        <w:rPr>
          <w:rFonts w:ascii="Times New Roman" w:eastAsia="Times New Roman" w:hAnsi="Times New Roman" w:cs="Times New Roman"/>
        </w:rPr>
        <w:t>schizophrenia</w:t>
      </w:r>
      <w:r w:rsidR="0006692E">
        <w:rPr>
          <w:rFonts w:ascii="Times New Roman" w:eastAsia="Times New Roman" w:hAnsi="Times New Roman" w:cs="Times New Roman"/>
        </w:rPr>
        <w:t xml:space="preserve"> and </w:t>
      </w:r>
      <w:r w:rsidR="00425889">
        <w:rPr>
          <w:rFonts w:ascii="Times New Roman" w:eastAsia="Times New Roman" w:hAnsi="Times New Roman" w:cs="Times New Roman"/>
        </w:rPr>
        <w:t>control</w:t>
      </w:r>
      <w:r w:rsidR="0006692E">
        <w:rPr>
          <w:rFonts w:ascii="Times New Roman" w:eastAsia="Times New Roman" w:hAnsi="Times New Roman" w:cs="Times New Roman"/>
        </w:rPr>
        <w:t xml:space="preserve"> group</w:t>
      </w:r>
      <w:r w:rsidR="006E4B46">
        <w:rPr>
          <w:rFonts w:ascii="Times New Roman" w:eastAsia="Times New Roman" w:hAnsi="Times New Roman" w:cs="Times New Roman"/>
        </w:rPr>
        <w:t>s</w:t>
      </w:r>
      <w:r w:rsidR="0006692E">
        <w:rPr>
          <w:rFonts w:ascii="Times New Roman" w:eastAsia="Times New Roman" w:hAnsi="Times New Roman" w:cs="Times New Roman"/>
        </w:rPr>
        <w:t>.</w:t>
      </w:r>
    </w:p>
    <w:tbl>
      <w:tblPr>
        <w:tblStyle w:val="a0"/>
        <w:tblW w:w="8087" w:type="dxa"/>
        <w:tblInd w:w="648" w:type="dxa"/>
        <w:tblLayout w:type="fixed"/>
        <w:tblLook w:val="0400" w:firstRow="0" w:lastRow="0" w:firstColumn="0" w:lastColumn="0" w:noHBand="0" w:noVBand="1"/>
      </w:tblPr>
      <w:tblGrid>
        <w:gridCol w:w="1105"/>
        <w:gridCol w:w="1957"/>
        <w:gridCol w:w="1531"/>
        <w:gridCol w:w="1984"/>
        <w:gridCol w:w="1510"/>
      </w:tblGrid>
      <w:tr w:rsidR="00FA6579" w:rsidTr="008B05C1">
        <w:trPr>
          <w:trHeight w:val="4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Variable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Normality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Hom_var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Test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FA6579" w:rsidRDefault="006E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p </w:t>
            </w:r>
            <w:r w:rsidR="0006692E" w:rsidRPr="006E4B46">
              <w:rPr>
                <w:rFonts w:ascii="Times New Roman" w:eastAsia="Times New Roman" w:hAnsi="Times New Roman" w:cs="Times New Roman"/>
                <w:b/>
                <w:color w:val="000000"/>
              </w:rPr>
              <w:t>value</w:t>
            </w:r>
          </w:p>
        </w:tc>
      </w:tr>
      <w:tr w:rsidR="00FA6579" w:rsidTr="008B05C1">
        <w:trPr>
          <w:trHeight w:val="436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t-test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0.27</w:t>
            </w:r>
          </w:p>
        </w:tc>
      </w:tr>
      <w:tr w:rsidR="00FA6579" w:rsidTr="008B05C1">
        <w:trPr>
          <w:trHeight w:val="436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PMI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FALSE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Man-Whitney U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0.73</w:t>
            </w:r>
          </w:p>
        </w:tc>
      </w:tr>
      <w:tr w:rsidR="00FA6579" w:rsidTr="008B05C1">
        <w:trPr>
          <w:trHeight w:val="436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BrainPH</w:t>
            </w:r>
            <w:proofErr w:type="spellEnd"/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t-test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A6579" w:rsidRDefault="00066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0.08</w:t>
            </w:r>
          </w:p>
        </w:tc>
      </w:tr>
      <w:tr w:rsidR="008B05C1" w:rsidTr="008B05C1">
        <w:trPr>
          <w:trHeight w:val="436"/>
        </w:trPr>
        <w:tc>
          <w:tcPr>
            <w:tcW w:w="11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RIN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FALSE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TRUE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Man-Whitney U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0.38</w:t>
            </w:r>
          </w:p>
        </w:tc>
      </w:tr>
      <w:tr w:rsidR="008B05C1" w:rsidTr="008B05C1">
        <w:trPr>
          <w:trHeight w:val="436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Sex</w:t>
            </w:r>
          </w:p>
        </w:tc>
        <w:tc>
          <w:tcPr>
            <w:tcW w:w="1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Fisher exact</w:t>
            </w:r>
          </w:p>
        </w:tc>
        <w:tc>
          <w:tcPr>
            <w:tcW w:w="15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05C1" w:rsidRDefault="008B05C1" w:rsidP="008B05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</w:tr>
    </w:tbl>
    <w:p w:rsidR="00FA6579" w:rsidRDefault="0006692E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Results of </w:t>
      </w:r>
      <w:r w:rsidR="0056048C">
        <w:rPr>
          <w:rFonts w:ascii="Times New Roman" w:eastAsia="Times New Roman" w:hAnsi="Times New Roman" w:cs="Times New Roman"/>
        </w:rPr>
        <w:t>comparing the demographics and case-</w:t>
      </w:r>
      <w:r>
        <w:rPr>
          <w:rFonts w:ascii="Times New Roman" w:eastAsia="Times New Roman" w:hAnsi="Times New Roman" w:cs="Times New Roman"/>
        </w:rPr>
        <w:t xml:space="preserve">related variables between </w:t>
      </w:r>
      <w:r w:rsidR="00FB1AD2">
        <w:rPr>
          <w:rFonts w:ascii="Times New Roman" w:eastAsia="Times New Roman" w:hAnsi="Times New Roman" w:cs="Times New Roman"/>
        </w:rPr>
        <w:t>schizophrenia</w:t>
      </w:r>
      <w:r>
        <w:rPr>
          <w:rFonts w:ascii="Times New Roman" w:eastAsia="Times New Roman" w:hAnsi="Times New Roman" w:cs="Times New Roman"/>
        </w:rPr>
        <w:t xml:space="preserve"> and </w:t>
      </w:r>
      <w:r w:rsidR="00FB1AD2">
        <w:rPr>
          <w:rFonts w:ascii="Times New Roman" w:eastAsia="Times New Roman" w:hAnsi="Times New Roman" w:cs="Times New Roman"/>
        </w:rPr>
        <w:t>control</w:t>
      </w:r>
      <w:r>
        <w:rPr>
          <w:rFonts w:ascii="Times New Roman" w:eastAsia="Times New Roman" w:hAnsi="Times New Roman" w:cs="Times New Roman"/>
        </w:rPr>
        <w:t xml:space="preserve"> groups. Homoscedasticity of the variance (</w:t>
      </w:r>
      <w:proofErr w:type="spellStart"/>
      <w:r>
        <w:rPr>
          <w:rFonts w:ascii="Times New Roman" w:eastAsia="Times New Roman" w:hAnsi="Times New Roman" w:cs="Times New Roman"/>
        </w:rPr>
        <w:t>Hom_var</w:t>
      </w:r>
      <w:proofErr w:type="spellEnd"/>
      <w:r>
        <w:rPr>
          <w:rFonts w:ascii="Times New Roman" w:eastAsia="Times New Roman" w:hAnsi="Times New Roman" w:cs="Times New Roman"/>
        </w:rPr>
        <w:t>).</w:t>
      </w:r>
    </w:p>
    <w:p w:rsidR="00A5581A" w:rsidRPr="00243304" w:rsidRDefault="00A5581A">
      <w:pPr>
        <w:rPr>
          <w:rFonts w:ascii="Times New Roman" w:hAnsi="Times New Roman" w:cs="Times New Roman"/>
        </w:rPr>
      </w:pPr>
    </w:p>
    <w:p w:rsidR="00243304" w:rsidRPr="00243304" w:rsidRDefault="00243304">
      <w:pPr>
        <w:rPr>
          <w:rFonts w:ascii="Times New Roman" w:hAnsi="Times New Roman" w:cs="Times New Roman"/>
        </w:rPr>
      </w:pPr>
      <w:r w:rsidRPr="00243304">
        <w:rPr>
          <w:rFonts w:ascii="Times New Roman" w:hAnsi="Times New Roman" w:cs="Times New Roman"/>
        </w:rPr>
        <w:t xml:space="preserve">References </w:t>
      </w:r>
    </w:p>
    <w:p w:rsidR="00243304" w:rsidRPr="00243304" w:rsidRDefault="00243304" w:rsidP="00243304">
      <w:pPr>
        <w:pStyle w:val="EndNoteBibliography"/>
        <w:ind w:left="720" w:hanging="720"/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ADDIN EN.REFLIST </w:instrText>
      </w:r>
      <w:r>
        <w:rPr>
          <w:sz w:val="16"/>
          <w:szCs w:val="16"/>
        </w:rPr>
        <w:fldChar w:fldCharType="separate"/>
      </w:r>
      <w:r w:rsidRPr="00243304">
        <w:t>1.</w:t>
      </w:r>
      <w:r w:rsidRPr="00243304">
        <w:tab/>
        <w:t>Fillman, S.G., D. Sinclair, S.J. Fung</w:t>
      </w:r>
      <w:r w:rsidRPr="00243304">
        <w:rPr>
          <w:i/>
        </w:rPr>
        <w:t>, et al.</w:t>
      </w:r>
      <w:r w:rsidRPr="00243304">
        <w:t xml:space="preserve">, </w:t>
      </w:r>
      <w:r w:rsidRPr="00243304">
        <w:rPr>
          <w:i/>
        </w:rPr>
        <w:t>Markers of inflammation and stress distinguish subsets of individuals with schizophrenia and bipolar disorder.</w:t>
      </w:r>
      <w:r w:rsidRPr="00243304">
        <w:t xml:space="preserve"> Translational psychiatry, 2014. </w:t>
      </w:r>
      <w:r w:rsidRPr="00243304">
        <w:rPr>
          <w:b/>
        </w:rPr>
        <w:t>4</w:t>
      </w:r>
      <w:r w:rsidRPr="00243304">
        <w:t>(2): p. e365-e365.</w:t>
      </w:r>
    </w:p>
    <w:p w:rsidR="00FA6579" w:rsidRDefault="00243304">
      <w:pPr>
        <w:rPr>
          <w:sz w:val="16"/>
          <w:szCs w:val="16"/>
        </w:rPr>
      </w:pPr>
      <w:r>
        <w:rPr>
          <w:sz w:val="16"/>
          <w:szCs w:val="16"/>
        </w:rPr>
        <w:fldChar w:fldCharType="end"/>
      </w:r>
    </w:p>
    <w:sectPr w:rsidR="00FA6579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wsp0tffztsadrevppd5ffdq5t9x5dz5zzxd&quot;&gt;midbrain_vasculature_ref&lt;record-ids&gt;&lt;item&gt;91&lt;/item&gt;&lt;/record-ids&gt;&lt;/item&gt;&lt;/Libraries&gt;"/>
  </w:docVars>
  <w:rsids>
    <w:rsidRoot w:val="00FA6579"/>
    <w:rsid w:val="0006692E"/>
    <w:rsid w:val="000741A5"/>
    <w:rsid w:val="000A1654"/>
    <w:rsid w:val="0017564E"/>
    <w:rsid w:val="00243304"/>
    <w:rsid w:val="00293E3F"/>
    <w:rsid w:val="002B76C1"/>
    <w:rsid w:val="00425889"/>
    <w:rsid w:val="00481594"/>
    <w:rsid w:val="004E4015"/>
    <w:rsid w:val="0056048C"/>
    <w:rsid w:val="005C0663"/>
    <w:rsid w:val="006A1E05"/>
    <w:rsid w:val="006D7688"/>
    <w:rsid w:val="006E4B46"/>
    <w:rsid w:val="00742983"/>
    <w:rsid w:val="007F27ED"/>
    <w:rsid w:val="008B05C1"/>
    <w:rsid w:val="00914920"/>
    <w:rsid w:val="00A5581A"/>
    <w:rsid w:val="00C565B7"/>
    <w:rsid w:val="00CA5924"/>
    <w:rsid w:val="00CE0F29"/>
    <w:rsid w:val="00CE66BA"/>
    <w:rsid w:val="00E66D6C"/>
    <w:rsid w:val="00F355F8"/>
    <w:rsid w:val="00FA6579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9C2E08-4F49-4063-9679-14A8B64A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74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4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74B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4B4"/>
    <w:rPr>
      <w:lang w:val="en-US"/>
    </w:rPr>
  </w:style>
  <w:style w:type="character" w:customStyle="1" w:styleId="None">
    <w:name w:val="None"/>
    <w:rsid w:val="009674B4"/>
  </w:style>
  <w:style w:type="paragraph" w:customStyle="1" w:styleId="Body">
    <w:name w:val="Body"/>
    <w:link w:val="BodyChar"/>
    <w:rsid w:val="009674B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Char">
    <w:name w:val="Body Char"/>
    <w:basedOn w:val="DefaultParagraphFont"/>
    <w:link w:val="Body"/>
    <w:rsid w:val="009674B4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jlqj4b">
    <w:name w:val="jlqj4b"/>
    <w:basedOn w:val="DefaultParagraphFont"/>
    <w:rsid w:val="009674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243304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43304"/>
    <w:rPr>
      <w:noProof/>
    </w:rPr>
  </w:style>
  <w:style w:type="paragraph" w:customStyle="1" w:styleId="EndNoteBibliography">
    <w:name w:val="EndNote Bibliography"/>
    <w:basedOn w:val="Normal"/>
    <w:link w:val="EndNoteBibliographyChar"/>
    <w:rsid w:val="00243304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243304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5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1ZU9kDlOeoYmI8+Rg96Q9Kk8hg==">AMUW2mX67T5dLdn2N8Ag/wiCoFO9kTA3K3ap1vhwItL3rDCNLXlEHHrGFrpzWIsEkUCGe7xIMHeCleOkJcuYiFkV1Lmpf5lvM5XhfWgw8CsGi1n52+PSbpNqYCOq/u3YHovgT3isyfD1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Groningen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 Puvogel Lutjens</dc:creator>
  <cp:lastModifiedBy>S. Puvogel Lutjens</cp:lastModifiedBy>
  <cp:revision>26</cp:revision>
  <dcterms:created xsi:type="dcterms:W3CDTF">2022-01-21T15:17:00Z</dcterms:created>
  <dcterms:modified xsi:type="dcterms:W3CDTF">2022-06-20T17:48:00Z</dcterms:modified>
</cp:coreProperties>
</file>