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E4845" w14:textId="5191E5C1" w:rsidR="0074438E" w:rsidRPr="007F4382" w:rsidRDefault="007F4382" w:rsidP="009C5084">
      <w:pPr>
        <w:rPr>
          <w:b/>
          <w:bCs/>
          <w:u w:val="single"/>
        </w:rPr>
      </w:pPr>
      <w:r w:rsidRPr="007F4382">
        <w:rPr>
          <w:b/>
          <w:bCs/>
          <w:u w:val="single"/>
        </w:rPr>
        <w:t xml:space="preserve">Supplementary Figures </w:t>
      </w:r>
    </w:p>
    <w:p w14:paraId="3AC34CD9" w14:textId="3274B334" w:rsidR="0074438E" w:rsidRDefault="007F4382" w:rsidP="009C5084">
      <w:r>
        <w:rPr>
          <w:noProof/>
        </w:rPr>
        <w:drawing>
          <wp:anchor distT="0" distB="0" distL="114300" distR="114300" simplePos="0" relativeHeight="251673600" behindDoc="0" locked="0" layoutInCell="1" allowOverlap="1" wp14:anchorId="43CD4155" wp14:editId="646154E3">
            <wp:simplePos x="0" y="0"/>
            <wp:positionH relativeFrom="margin">
              <wp:align>center</wp:align>
            </wp:positionH>
            <wp:positionV relativeFrom="paragraph">
              <wp:posOffset>424195</wp:posOffset>
            </wp:positionV>
            <wp:extent cx="8603184" cy="3303694"/>
            <wp:effectExtent l="0" t="0" r="7620" b="0"/>
            <wp:wrapTopAndBottom/>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rotWithShape="1">
                    <a:blip r:embed="rId4">
                      <a:extLst>
                        <a:ext uri="{28A0092B-C50C-407E-A947-70E740481C1C}">
                          <a14:useLocalDpi xmlns:a14="http://schemas.microsoft.com/office/drawing/2010/main" val="0"/>
                        </a:ext>
                      </a:extLst>
                    </a:blip>
                    <a:srcRect l="796"/>
                    <a:stretch/>
                  </pic:blipFill>
                  <pic:spPr bwMode="auto">
                    <a:xfrm>
                      <a:off x="0" y="0"/>
                      <a:ext cx="8603184" cy="3303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338838" w14:textId="788A8128" w:rsidR="0074438E" w:rsidRDefault="0074438E" w:rsidP="009C5084"/>
    <w:p w14:paraId="25CB4114" w14:textId="2062011C" w:rsidR="0074438E" w:rsidRPr="003309D9" w:rsidRDefault="007F4382" w:rsidP="0074438E">
      <w:pPr>
        <w:rPr>
          <w:b/>
          <w:bCs/>
        </w:rPr>
      </w:pPr>
      <w:r w:rsidRPr="003309D9">
        <w:rPr>
          <w:b/>
          <w:bCs/>
        </w:rPr>
        <w:t xml:space="preserve">Figure S1. </w:t>
      </w:r>
      <w:r w:rsidR="0074438E" w:rsidRPr="003309D9">
        <w:rPr>
          <w:b/>
          <w:bCs/>
        </w:rPr>
        <w:t xml:space="preserve">Principal component plot for </w:t>
      </w:r>
      <w:r w:rsidRPr="003309D9">
        <w:rPr>
          <w:b/>
          <w:bCs/>
        </w:rPr>
        <w:t xml:space="preserve">the 1,208 animals in the SNP </w:t>
      </w:r>
      <w:r w:rsidR="0074438E" w:rsidRPr="003309D9">
        <w:rPr>
          <w:b/>
          <w:bCs/>
        </w:rPr>
        <w:t xml:space="preserve">reference panel and </w:t>
      </w:r>
      <w:r w:rsidRPr="003309D9">
        <w:rPr>
          <w:b/>
          <w:bCs/>
        </w:rPr>
        <w:t xml:space="preserve">64 </w:t>
      </w:r>
      <w:r w:rsidR="0074438E" w:rsidRPr="003309D9">
        <w:rPr>
          <w:b/>
          <w:bCs/>
        </w:rPr>
        <w:t>animals sequenced</w:t>
      </w:r>
      <w:r w:rsidRPr="003309D9">
        <w:rPr>
          <w:b/>
          <w:bCs/>
        </w:rPr>
        <w:t xml:space="preserve"> using Oxford Nanopore Technologies’ (ONT) MinION</w:t>
      </w:r>
      <w:r w:rsidR="0074438E" w:rsidRPr="003309D9">
        <w:rPr>
          <w:b/>
          <w:bCs/>
        </w:rPr>
        <w:t xml:space="preserve"> as part of this study.  </w:t>
      </w:r>
    </w:p>
    <w:p w14:paraId="6CE87408" w14:textId="363788A6" w:rsidR="00417AF2" w:rsidRDefault="00417AF2" w:rsidP="0074438E">
      <w:pPr>
        <w:rPr>
          <w:b/>
          <w:bCs/>
          <w:u w:val="single"/>
        </w:rPr>
      </w:pPr>
    </w:p>
    <w:p w14:paraId="18EF07EE" w14:textId="77777777" w:rsidR="00417AF2" w:rsidRDefault="00417AF2" w:rsidP="0074438E">
      <w:pPr>
        <w:rPr>
          <w:b/>
          <w:bCs/>
          <w:u w:val="single"/>
        </w:rPr>
        <w:sectPr w:rsidR="00417AF2" w:rsidSect="005B5F42">
          <w:pgSz w:w="16838" w:h="11906" w:orient="landscape"/>
          <w:pgMar w:top="1276" w:right="1440" w:bottom="1440" w:left="1440" w:header="708" w:footer="708" w:gutter="0"/>
          <w:cols w:space="708"/>
          <w:docGrid w:linePitch="360"/>
        </w:sectPr>
      </w:pPr>
    </w:p>
    <w:p w14:paraId="44DD29F9" w14:textId="32CC4553" w:rsidR="00562F19" w:rsidRDefault="007F4382" w:rsidP="00781DE0">
      <w:pPr>
        <w:pStyle w:val="Heading2"/>
        <w:rPr>
          <w:noProof/>
        </w:rPr>
      </w:pPr>
      <w:r>
        <w:rPr>
          <w:noProof/>
        </w:rPr>
        <w:lastRenderedPageBreak/>
        <w:drawing>
          <wp:inline distT="0" distB="0" distL="0" distR="0" wp14:anchorId="6DBA0618" wp14:editId="0724AF5B">
            <wp:extent cx="5835650" cy="7294880"/>
            <wp:effectExtent l="0" t="0" r="0" b="127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35650" cy="7294880"/>
                    </a:xfrm>
                    <a:prstGeom prst="rect">
                      <a:avLst/>
                    </a:prstGeom>
                    <a:noFill/>
                    <a:ln>
                      <a:noFill/>
                    </a:ln>
                  </pic:spPr>
                </pic:pic>
              </a:graphicData>
            </a:graphic>
          </wp:inline>
        </w:drawing>
      </w:r>
    </w:p>
    <w:p w14:paraId="3518D8EA" w14:textId="06972B12" w:rsidR="00417AF2" w:rsidRPr="006B1325" w:rsidRDefault="003309D9" w:rsidP="003309D9">
      <w:pPr>
        <w:pStyle w:val="Heading2"/>
        <w:jc w:val="both"/>
        <w:rPr>
          <w:b/>
          <w:bCs/>
          <w:sz w:val="22"/>
          <w:szCs w:val="22"/>
          <w:u w:val="single"/>
        </w:rPr>
      </w:pPr>
      <w:r w:rsidRPr="006B1325">
        <w:rPr>
          <w:b/>
          <w:bCs/>
          <w:sz w:val="22"/>
          <w:szCs w:val="22"/>
          <w:u w:val="single"/>
        </w:rPr>
        <w:t>Figure S</w:t>
      </w:r>
      <w:r w:rsidRPr="006B1325">
        <w:rPr>
          <w:b/>
          <w:bCs/>
          <w:sz w:val="22"/>
          <w:szCs w:val="22"/>
          <w:u w:val="single"/>
        </w:rPr>
        <w:t>2</w:t>
      </w:r>
      <w:r w:rsidRPr="006B1325">
        <w:rPr>
          <w:b/>
          <w:bCs/>
          <w:sz w:val="22"/>
          <w:szCs w:val="22"/>
          <w:u w:val="single"/>
        </w:rPr>
        <w:t xml:space="preserve">. </w:t>
      </w:r>
      <w:r w:rsidRPr="006B1325">
        <w:rPr>
          <w:b/>
          <w:bCs/>
          <w:sz w:val="22"/>
          <w:szCs w:val="22"/>
        </w:rPr>
        <w:t xml:space="preserve">Correlations between </w:t>
      </w:r>
      <w:r w:rsidRPr="006B1325">
        <w:rPr>
          <w:b/>
          <w:bCs/>
          <w:sz w:val="22"/>
          <w:szCs w:val="22"/>
        </w:rPr>
        <w:t>hip height</w:t>
      </w:r>
      <w:r w:rsidRPr="006B1325">
        <w:rPr>
          <w:b/>
          <w:bCs/>
          <w:sz w:val="22"/>
          <w:szCs w:val="22"/>
        </w:rPr>
        <w:t xml:space="preserve"> </w:t>
      </w:r>
      <w:r w:rsidRPr="006B1325">
        <w:rPr>
          <w:b/>
          <w:bCs/>
          <w:sz w:val="22"/>
          <w:szCs w:val="22"/>
        </w:rPr>
        <w:t xml:space="preserve">(HH) </w:t>
      </w:r>
      <w:r w:rsidRPr="006B1325">
        <w:rPr>
          <w:b/>
          <w:bCs/>
          <w:sz w:val="22"/>
          <w:szCs w:val="22"/>
        </w:rPr>
        <w:t>genomic estimated breeding values</w:t>
      </w:r>
      <w:r w:rsidRPr="006B1325">
        <w:rPr>
          <w:b/>
          <w:bCs/>
          <w:sz w:val="22"/>
          <w:szCs w:val="22"/>
        </w:rPr>
        <w:t xml:space="preserve"> </w:t>
      </w:r>
      <w:r w:rsidRPr="006B1325">
        <w:rPr>
          <w:b/>
          <w:bCs/>
          <w:sz w:val="22"/>
          <w:szCs w:val="22"/>
        </w:rPr>
        <w:t xml:space="preserve">(GEBV) derived from 35k SNP array genotypes and </w:t>
      </w:r>
      <w:r w:rsidRPr="006B1325">
        <w:rPr>
          <w:b/>
          <w:bCs/>
          <w:sz w:val="22"/>
          <w:szCs w:val="22"/>
        </w:rPr>
        <w:t xml:space="preserve">HH GEBVs derived from </w:t>
      </w:r>
      <w:r w:rsidRPr="006B1325">
        <w:rPr>
          <w:b/>
          <w:bCs/>
          <w:sz w:val="22"/>
          <w:szCs w:val="22"/>
        </w:rPr>
        <w:t xml:space="preserve">Oxford Nanopore Technologies </w:t>
      </w:r>
      <w:r w:rsidRPr="006B1325">
        <w:rPr>
          <w:b/>
          <w:bCs/>
          <w:sz w:val="22"/>
          <w:szCs w:val="22"/>
        </w:rPr>
        <w:t xml:space="preserve">(ONT) </w:t>
      </w:r>
      <w:r w:rsidRPr="006B1325">
        <w:rPr>
          <w:b/>
          <w:bCs/>
          <w:sz w:val="22"/>
          <w:szCs w:val="22"/>
        </w:rPr>
        <w:t>data</w:t>
      </w:r>
      <w:r w:rsidRPr="006B1325">
        <w:rPr>
          <w:b/>
          <w:bCs/>
          <w:sz w:val="22"/>
          <w:szCs w:val="22"/>
        </w:rPr>
        <w:t>. ONT GEBVs were imputed</w:t>
      </w:r>
      <w:r w:rsidRPr="006B1325">
        <w:rPr>
          <w:b/>
          <w:bCs/>
          <w:sz w:val="22"/>
          <w:szCs w:val="22"/>
        </w:rPr>
        <w:t xml:space="preserve"> using four different imputation strategies</w:t>
      </w:r>
      <w:r w:rsidRPr="006B1325">
        <w:rPr>
          <w:b/>
          <w:bCs/>
          <w:sz w:val="22"/>
          <w:szCs w:val="22"/>
        </w:rPr>
        <w:t xml:space="preserve"> and</w:t>
      </w:r>
      <w:r w:rsidRPr="006B1325">
        <w:rPr>
          <w:b/>
          <w:bCs/>
          <w:sz w:val="22"/>
          <w:szCs w:val="22"/>
        </w:rPr>
        <w:t xml:space="preserve"> across five sequencing coverages. SNP reference panel size is indicated by the minor allele frequency (MAF) filter on the right-hand side</w:t>
      </w:r>
      <w:r w:rsidR="006B1325" w:rsidRPr="006B1325">
        <w:rPr>
          <w:b/>
          <w:bCs/>
          <w:sz w:val="22"/>
          <w:szCs w:val="22"/>
        </w:rPr>
        <w:t xml:space="preserve"> </w:t>
      </w:r>
      <w:r w:rsidR="006B1325" w:rsidRPr="006B1325">
        <w:rPr>
          <w:b/>
          <w:bCs/>
          <w:sz w:val="22"/>
          <w:szCs w:val="22"/>
        </w:rPr>
        <w:t>in descending order of size from top to bottom</w:t>
      </w:r>
      <w:r w:rsidRPr="006B1325">
        <w:rPr>
          <w:b/>
          <w:bCs/>
          <w:sz w:val="22"/>
          <w:szCs w:val="22"/>
        </w:rPr>
        <w:t xml:space="preserve">. </w:t>
      </w:r>
      <w:r w:rsidR="006B1325" w:rsidRPr="006B1325">
        <w:rPr>
          <w:b/>
          <w:bCs/>
          <w:sz w:val="22"/>
          <w:szCs w:val="22"/>
        </w:rPr>
        <w:t>The largest panel had 48,203,338 SNP and was</w:t>
      </w:r>
      <w:r w:rsidR="006B1325" w:rsidRPr="006B1325">
        <w:rPr>
          <w:b/>
          <w:bCs/>
          <w:sz w:val="22"/>
          <w:szCs w:val="22"/>
        </w:rPr>
        <w:t xml:space="preserve"> </w:t>
      </w:r>
      <w:r w:rsidR="006B1325" w:rsidRPr="006B1325">
        <w:rPr>
          <w:b/>
          <w:bCs/>
          <w:sz w:val="22"/>
          <w:szCs w:val="22"/>
        </w:rPr>
        <w:t>referred to as the No MAF filter panel, while</w:t>
      </w:r>
      <w:r w:rsidR="006B1325" w:rsidRPr="006B1325">
        <w:rPr>
          <w:b/>
          <w:bCs/>
          <w:sz w:val="22"/>
          <w:szCs w:val="22"/>
        </w:rPr>
        <w:t xml:space="preserve"> </w:t>
      </w:r>
      <w:r w:rsidR="006B1325" w:rsidRPr="006B1325">
        <w:rPr>
          <w:b/>
          <w:bCs/>
          <w:sz w:val="22"/>
          <w:szCs w:val="22"/>
        </w:rPr>
        <w:t>the smallest panel was</w:t>
      </w:r>
      <w:r w:rsidR="006B1325" w:rsidRPr="006B1325">
        <w:rPr>
          <w:b/>
          <w:bCs/>
          <w:sz w:val="22"/>
          <w:szCs w:val="22"/>
        </w:rPr>
        <w:t xml:space="preserve"> </w:t>
      </w:r>
      <w:r w:rsidR="006B1325" w:rsidRPr="006B1325">
        <w:rPr>
          <w:b/>
          <w:bCs/>
          <w:sz w:val="22"/>
          <w:szCs w:val="22"/>
        </w:rPr>
        <w:t>referred to as the bovine high density</w:t>
      </w:r>
      <w:r w:rsidR="006B1325" w:rsidRPr="006B1325">
        <w:rPr>
          <w:b/>
          <w:bCs/>
          <w:sz w:val="22"/>
          <w:szCs w:val="22"/>
        </w:rPr>
        <w:t xml:space="preserve"> </w:t>
      </w:r>
      <w:r w:rsidR="006B1325" w:rsidRPr="006B1325">
        <w:rPr>
          <w:b/>
          <w:bCs/>
          <w:sz w:val="22"/>
          <w:szCs w:val="22"/>
        </w:rPr>
        <w:t>(HD) SNP which had only the 641k SNP used to calculate the GEBVs.</w:t>
      </w:r>
      <w:r w:rsidR="006B1325" w:rsidRPr="006B1325">
        <w:rPr>
          <w:b/>
          <w:bCs/>
          <w:sz w:val="22"/>
          <w:szCs w:val="22"/>
        </w:rPr>
        <w:t xml:space="preserve"> </w:t>
      </w:r>
      <w:r w:rsidRPr="006B1325">
        <w:rPr>
          <w:b/>
          <w:bCs/>
          <w:sz w:val="22"/>
          <w:szCs w:val="22"/>
        </w:rPr>
        <w:t xml:space="preserve">Error bars indicate 95% confidence </w:t>
      </w:r>
      <w:r w:rsidR="006B1325" w:rsidRPr="006B1325">
        <w:rPr>
          <w:b/>
          <w:bCs/>
          <w:sz w:val="22"/>
          <w:szCs w:val="22"/>
        </w:rPr>
        <w:t>of</w:t>
      </w:r>
      <w:r w:rsidRPr="006B1325">
        <w:rPr>
          <w:b/>
          <w:bCs/>
          <w:sz w:val="22"/>
          <w:szCs w:val="22"/>
        </w:rPr>
        <w:t xml:space="preserve"> the Pearson correlation.</w:t>
      </w:r>
    </w:p>
    <w:p w14:paraId="45DB2C91" w14:textId="77777777" w:rsidR="003D6569" w:rsidRDefault="003D6569" w:rsidP="0074438E">
      <w:pPr>
        <w:rPr>
          <w:b/>
          <w:bCs/>
          <w:u w:val="single"/>
        </w:rPr>
      </w:pPr>
    </w:p>
    <w:p w14:paraId="16F1B5D7" w14:textId="145B7EA0" w:rsidR="003D6569" w:rsidRDefault="00BC561A" w:rsidP="0074438E">
      <w:pPr>
        <w:rPr>
          <w:b/>
          <w:bCs/>
          <w:u w:val="single"/>
        </w:rPr>
      </w:pPr>
      <w:r>
        <w:rPr>
          <w:noProof/>
        </w:rPr>
        <w:lastRenderedPageBreak/>
        <w:drawing>
          <wp:inline distT="0" distB="0" distL="0" distR="0" wp14:anchorId="7E17D6E4" wp14:editId="6A5089C8">
            <wp:extent cx="5835650" cy="7294880"/>
            <wp:effectExtent l="0" t="0" r="0" b="1270"/>
            <wp:docPr id="7" name="Picture 7" descr="Chart, bar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 treemap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35650" cy="7294880"/>
                    </a:xfrm>
                    <a:prstGeom prst="rect">
                      <a:avLst/>
                    </a:prstGeom>
                    <a:noFill/>
                    <a:ln>
                      <a:noFill/>
                    </a:ln>
                  </pic:spPr>
                </pic:pic>
              </a:graphicData>
            </a:graphic>
          </wp:inline>
        </w:drawing>
      </w:r>
    </w:p>
    <w:p w14:paraId="7A188061" w14:textId="4EBAC445" w:rsidR="003D6569" w:rsidRDefault="003309D9" w:rsidP="0074438E">
      <w:pPr>
        <w:rPr>
          <w:b/>
          <w:bCs/>
          <w:u w:val="single"/>
        </w:rPr>
      </w:pPr>
      <w:r>
        <w:rPr>
          <w:b/>
          <w:bCs/>
          <w:u w:val="single"/>
        </w:rPr>
        <w:t>Figure S</w:t>
      </w:r>
      <w:r>
        <w:rPr>
          <w:b/>
          <w:bCs/>
          <w:u w:val="single"/>
        </w:rPr>
        <w:t>3</w:t>
      </w:r>
      <w:r>
        <w:rPr>
          <w:b/>
          <w:bCs/>
          <w:u w:val="single"/>
        </w:rPr>
        <w:t>.</w:t>
      </w:r>
      <w:r w:rsidR="00781DE0">
        <w:rPr>
          <w:b/>
          <w:bCs/>
        </w:rPr>
        <w:t xml:space="preserve"> </w:t>
      </w:r>
      <w:r>
        <w:rPr>
          <w:b/>
          <w:bCs/>
        </w:rPr>
        <w:t xml:space="preserve">Correlations between </w:t>
      </w:r>
      <w:r>
        <w:rPr>
          <w:b/>
          <w:bCs/>
          <w:i/>
          <w:iCs/>
        </w:rPr>
        <w:t xml:space="preserve">corpus luteum </w:t>
      </w:r>
      <w:r>
        <w:rPr>
          <w:b/>
          <w:bCs/>
        </w:rPr>
        <w:t xml:space="preserve">score (CL score) </w:t>
      </w:r>
      <w:r>
        <w:rPr>
          <w:b/>
          <w:bCs/>
        </w:rPr>
        <w:t>genomic estimated breeding values</w:t>
      </w:r>
      <w:r>
        <w:rPr>
          <w:b/>
          <w:bCs/>
        </w:rPr>
        <w:t xml:space="preserve"> </w:t>
      </w:r>
      <w:r>
        <w:rPr>
          <w:b/>
          <w:bCs/>
        </w:rPr>
        <w:t>(GEBV) derived from 35k SNP array genotypes and HH GEBVs derived from Oxford Nanopore Technologies (ONT) data. ONT GEBVs were imputed using four different imputation strategies and across five sequencing coverages</w:t>
      </w:r>
      <w:r w:rsidR="006B1325">
        <w:rPr>
          <w:b/>
          <w:bCs/>
        </w:rPr>
        <w:t xml:space="preserve"> in descending order of size from top to bottom. The largest panel had 48,203,338 SNP and was</w:t>
      </w:r>
      <w:r w:rsidR="006B1325">
        <w:rPr>
          <w:b/>
          <w:bCs/>
        </w:rPr>
        <w:t xml:space="preserve"> </w:t>
      </w:r>
      <w:r w:rsidR="006B1325">
        <w:rPr>
          <w:b/>
          <w:bCs/>
        </w:rPr>
        <w:t>referred to as the No MAF filter panel, while</w:t>
      </w:r>
      <w:r w:rsidR="006B1325">
        <w:rPr>
          <w:b/>
          <w:bCs/>
        </w:rPr>
        <w:t xml:space="preserve"> </w:t>
      </w:r>
      <w:r w:rsidR="006B1325">
        <w:rPr>
          <w:b/>
          <w:bCs/>
        </w:rPr>
        <w:t>the smallest panel was</w:t>
      </w:r>
      <w:r w:rsidR="006B1325">
        <w:rPr>
          <w:b/>
          <w:bCs/>
        </w:rPr>
        <w:t xml:space="preserve"> </w:t>
      </w:r>
      <w:r w:rsidR="006B1325">
        <w:rPr>
          <w:b/>
          <w:bCs/>
        </w:rPr>
        <w:t>referred to as the bovine high density</w:t>
      </w:r>
      <w:r w:rsidR="006B1325">
        <w:rPr>
          <w:b/>
          <w:bCs/>
        </w:rPr>
        <w:t xml:space="preserve"> </w:t>
      </w:r>
      <w:r w:rsidR="006B1325">
        <w:rPr>
          <w:b/>
          <w:bCs/>
        </w:rPr>
        <w:t>(HD) SNP which had only the 641k SNP used to calculate the GEBVs.</w:t>
      </w:r>
      <w:r>
        <w:rPr>
          <w:b/>
          <w:bCs/>
        </w:rPr>
        <w:t xml:space="preserve"> SNP reference panel size is indicated by the minor allele frequency (MAF) filter on the right-hand side. Error bars indicate 95% confidence in the Pearson correlation.</w:t>
      </w:r>
    </w:p>
    <w:p w14:paraId="2115DE79" w14:textId="555F25C7" w:rsidR="00562F19" w:rsidRDefault="007F4382" w:rsidP="0074438E">
      <w:pPr>
        <w:rPr>
          <w:b/>
          <w:bCs/>
        </w:rPr>
      </w:pPr>
      <w:r>
        <w:rPr>
          <w:noProof/>
        </w:rPr>
        <w:lastRenderedPageBreak/>
        <w:drawing>
          <wp:inline distT="0" distB="0" distL="0" distR="0" wp14:anchorId="3E3932A3" wp14:editId="3B3F385C">
            <wp:extent cx="5835650" cy="7294880"/>
            <wp:effectExtent l="0" t="0" r="0" b="127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5650" cy="7294880"/>
                    </a:xfrm>
                    <a:prstGeom prst="rect">
                      <a:avLst/>
                    </a:prstGeom>
                    <a:noFill/>
                    <a:ln>
                      <a:noFill/>
                    </a:ln>
                  </pic:spPr>
                </pic:pic>
              </a:graphicData>
            </a:graphic>
          </wp:inline>
        </w:drawing>
      </w:r>
    </w:p>
    <w:p w14:paraId="75AE142D" w14:textId="5F8F572F" w:rsidR="003D6569" w:rsidRDefault="003309D9" w:rsidP="0074438E">
      <w:pPr>
        <w:rPr>
          <w:b/>
          <w:bCs/>
          <w:u w:val="single"/>
        </w:rPr>
        <w:sectPr w:rsidR="003D6569" w:rsidSect="006B1325">
          <w:pgSz w:w="11906" w:h="16838"/>
          <w:pgMar w:top="1440" w:right="1440" w:bottom="851" w:left="1276" w:header="708" w:footer="708" w:gutter="0"/>
          <w:cols w:space="708"/>
          <w:docGrid w:linePitch="360"/>
        </w:sectPr>
      </w:pPr>
      <w:r>
        <w:rPr>
          <w:b/>
          <w:bCs/>
          <w:u w:val="single"/>
        </w:rPr>
        <w:t>Figure S</w:t>
      </w:r>
      <w:r>
        <w:rPr>
          <w:b/>
          <w:bCs/>
          <w:u w:val="single"/>
        </w:rPr>
        <w:t>4</w:t>
      </w:r>
      <w:r>
        <w:rPr>
          <w:b/>
          <w:bCs/>
          <w:u w:val="single"/>
        </w:rPr>
        <w:t xml:space="preserve">. </w:t>
      </w:r>
      <w:r>
        <w:rPr>
          <w:b/>
          <w:bCs/>
        </w:rPr>
        <w:t xml:space="preserve">Correlations between </w:t>
      </w:r>
      <w:r>
        <w:rPr>
          <w:b/>
          <w:bCs/>
        </w:rPr>
        <w:t>body condition score (BCS)</w:t>
      </w:r>
      <w:r>
        <w:rPr>
          <w:b/>
          <w:bCs/>
        </w:rPr>
        <w:t xml:space="preserve"> genomic estimated breeding values</w:t>
      </w:r>
      <w:r>
        <w:rPr>
          <w:b/>
          <w:bCs/>
        </w:rPr>
        <w:t xml:space="preserve"> </w:t>
      </w:r>
      <w:r>
        <w:rPr>
          <w:b/>
          <w:bCs/>
        </w:rPr>
        <w:t>(GEBV) derived from 35k SNP array genotypes and HH GEBVs derived from Oxford Nanopore Technologies (ONT) data. ONT GEBVs were imputed using four different imputation strategies and across five sequencing coverages. SNP reference panel size is indicated by the minor allele frequency (MAF) filter on the right-hand side</w:t>
      </w:r>
      <w:r w:rsidR="006B1325">
        <w:rPr>
          <w:b/>
          <w:bCs/>
        </w:rPr>
        <w:t xml:space="preserve"> in descending order of size from top to bottom. The largest panel had 48,203,338 SNP and was</w:t>
      </w:r>
      <w:r w:rsidR="006B1325">
        <w:rPr>
          <w:b/>
          <w:bCs/>
        </w:rPr>
        <w:t xml:space="preserve"> </w:t>
      </w:r>
      <w:r w:rsidR="006B1325">
        <w:rPr>
          <w:b/>
          <w:bCs/>
        </w:rPr>
        <w:t>referred to as the No MAF filter panel, while</w:t>
      </w:r>
      <w:r w:rsidR="006B1325">
        <w:rPr>
          <w:b/>
          <w:bCs/>
        </w:rPr>
        <w:t xml:space="preserve"> </w:t>
      </w:r>
      <w:r w:rsidR="006B1325">
        <w:rPr>
          <w:b/>
          <w:bCs/>
        </w:rPr>
        <w:t>the smallest panel was</w:t>
      </w:r>
      <w:r w:rsidR="006B1325">
        <w:rPr>
          <w:b/>
          <w:bCs/>
        </w:rPr>
        <w:t xml:space="preserve"> </w:t>
      </w:r>
      <w:r w:rsidR="006B1325">
        <w:rPr>
          <w:b/>
          <w:bCs/>
        </w:rPr>
        <w:t>referred to as the bovine high density</w:t>
      </w:r>
      <w:r w:rsidR="006B1325">
        <w:rPr>
          <w:b/>
          <w:bCs/>
        </w:rPr>
        <w:t xml:space="preserve"> </w:t>
      </w:r>
      <w:r w:rsidR="006B1325">
        <w:rPr>
          <w:b/>
          <w:bCs/>
        </w:rPr>
        <w:t>(HD) SNP which had only the 641k SNP used to calculate the GEBVs.</w:t>
      </w:r>
      <w:r>
        <w:rPr>
          <w:b/>
          <w:bCs/>
        </w:rPr>
        <w:t xml:space="preserve"> Error bars indicate 95% confidence in the Pearson correlation.</w:t>
      </w:r>
    </w:p>
    <w:p w14:paraId="1196D64F" w14:textId="17CE2A15" w:rsidR="003F66A5" w:rsidRPr="007B71BF" w:rsidRDefault="003F66A5" w:rsidP="003309D9">
      <w:pPr>
        <w:rPr>
          <w:b/>
          <w:bCs/>
          <w:u w:val="single"/>
        </w:rPr>
      </w:pPr>
    </w:p>
    <w:sectPr w:rsidR="003F66A5" w:rsidRPr="007B71BF" w:rsidSect="005B5F42">
      <w:pgSz w:w="16838" w:h="11906" w:orient="landscape"/>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7B"/>
    <w:rsid w:val="00071104"/>
    <w:rsid w:val="00165594"/>
    <w:rsid w:val="00242D3C"/>
    <w:rsid w:val="00316712"/>
    <w:rsid w:val="003309D9"/>
    <w:rsid w:val="003B01FC"/>
    <w:rsid w:val="003D6569"/>
    <w:rsid w:val="003F66A5"/>
    <w:rsid w:val="00417AF2"/>
    <w:rsid w:val="00454ABB"/>
    <w:rsid w:val="004C6842"/>
    <w:rsid w:val="004E4A7F"/>
    <w:rsid w:val="0053357B"/>
    <w:rsid w:val="005369E6"/>
    <w:rsid w:val="00562F19"/>
    <w:rsid w:val="005B5F42"/>
    <w:rsid w:val="006B1325"/>
    <w:rsid w:val="006D2CBE"/>
    <w:rsid w:val="0074438E"/>
    <w:rsid w:val="00781DE0"/>
    <w:rsid w:val="007B71BF"/>
    <w:rsid w:val="007F4382"/>
    <w:rsid w:val="008D77B6"/>
    <w:rsid w:val="009322F3"/>
    <w:rsid w:val="009446C0"/>
    <w:rsid w:val="009C5084"/>
    <w:rsid w:val="00A80BD8"/>
    <w:rsid w:val="00BC561A"/>
    <w:rsid w:val="00DF6DD6"/>
    <w:rsid w:val="00E77083"/>
    <w:rsid w:val="00F318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5B25"/>
  <w15:chartTrackingRefBased/>
  <w15:docId w15:val="{A0AAAB18-1C6B-4EF1-AD30-A37F7EF5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81DE0"/>
    <w:pPr>
      <w:keepNext/>
      <w:keepLines/>
      <w:spacing w:before="40" w:after="0"/>
      <w:outlineLvl w:val="1"/>
    </w:pPr>
    <w:rPr>
      <w:rFonts w:eastAsiaTheme="majorEastAsia"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7AF2"/>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417AF2"/>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17AF2"/>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417AF2"/>
    <w:rPr>
      <w:rFonts w:eastAsiaTheme="minorEastAsia" w:cs="Times New Roman"/>
      <w:color w:val="5A5A5A" w:themeColor="text1" w:themeTint="A5"/>
      <w:spacing w:val="15"/>
      <w:lang w:val="en-US"/>
    </w:rPr>
  </w:style>
  <w:style w:type="character" w:customStyle="1" w:styleId="Heading2Char">
    <w:name w:val="Heading 2 Char"/>
    <w:basedOn w:val="DefaultParagraphFont"/>
    <w:link w:val="Heading2"/>
    <w:uiPriority w:val="9"/>
    <w:rsid w:val="00781DE0"/>
    <w:rPr>
      <w:rFonts w:eastAsiaTheme="majorEastAsia" w:cstheme="majorBid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Lamb</dc:creator>
  <cp:keywords/>
  <dc:description/>
  <cp:lastModifiedBy>Harrison Lamb</cp:lastModifiedBy>
  <cp:revision>2</cp:revision>
  <dcterms:created xsi:type="dcterms:W3CDTF">2022-06-21T02:31:00Z</dcterms:created>
  <dcterms:modified xsi:type="dcterms:W3CDTF">2022-06-21T02:31:00Z</dcterms:modified>
</cp:coreProperties>
</file>