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6CDF0" w14:textId="5851395D" w:rsidR="00C20E31" w:rsidRPr="0048468D" w:rsidRDefault="00C20E31" w:rsidP="0048468D">
      <w:pPr>
        <w:spacing w:after="0" w:line="480" w:lineRule="auto"/>
        <w:jc w:val="center"/>
        <w:rPr>
          <w:rFonts w:ascii="Cambria Math" w:hAnsi="Cambria Math"/>
          <w:sz w:val="28"/>
          <w:szCs w:val="28"/>
        </w:rPr>
      </w:pPr>
      <w:r w:rsidRPr="0048468D">
        <w:rPr>
          <w:rFonts w:ascii="Cambria Math" w:hAnsi="Cambria Math"/>
          <w:sz w:val="28"/>
          <w:szCs w:val="28"/>
        </w:rPr>
        <w:t>Supplementary appendix for</w:t>
      </w:r>
    </w:p>
    <w:p w14:paraId="4BAE321B" w14:textId="3D3686F3" w:rsidR="004E5F51" w:rsidRPr="0048468D" w:rsidRDefault="004E5F51" w:rsidP="0048468D">
      <w:pPr>
        <w:spacing w:after="0" w:line="240" w:lineRule="auto"/>
        <w:jc w:val="center"/>
        <w:rPr>
          <w:rFonts w:ascii="Cambria Math" w:hAnsi="Cambria Math"/>
          <w:b/>
          <w:bCs/>
          <w:sz w:val="28"/>
          <w:szCs w:val="28"/>
          <w:lang w:val="en-US"/>
        </w:rPr>
      </w:pPr>
      <w:r w:rsidRPr="0048468D">
        <w:rPr>
          <w:rFonts w:ascii="Cambria Math" w:hAnsi="Cambria Math"/>
          <w:b/>
          <w:bCs/>
          <w:sz w:val="28"/>
          <w:szCs w:val="28"/>
          <w:lang w:val="en-US"/>
        </w:rPr>
        <w:t>Determinants and succession of the early life nasopharyngeal bacteriome in a low-income community</w:t>
      </w:r>
    </w:p>
    <w:p w14:paraId="4EC2BA6C" w14:textId="77777777" w:rsidR="004E5F51" w:rsidRDefault="004E5F51" w:rsidP="004326DA">
      <w:pPr>
        <w:spacing w:after="0" w:line="480" w:lineRule="auto"/>
        <w:rPr>
          <w:rFonts w:ascii="Cambria Math" w:hAnsi="Cambria Math"/>
        </w:rPr>
      </w:pPr>
    </w:p>
    <w:p w14:paraId="25B4275A" w14:textId="0478BEA2" w:rsidR="0037543B" w:rsidRDefault="0037543B" w:rsidP="0048468D">
      <w:pPr>
        <w:spacing w:after="0" w:line="240" w:lineRule="auto"/>
        <w:jc w:val="center"/>
        <w:rPr>
          <w:rFonts w:ascii="Cambria Math" w:hAnsi="Cambria Math" w:cs="Times New Roman"/>
          <w:bCs/>
          <w:color w:val="0D0D0D" w:themeColor="text1" w:themeTint="F2"/>
          <w:vertAlign w:val="superscript"/>
        </w:rPr>
      </w:pPr>
      <w:r w:rsidRPr="000D71C8">
        <w:rPr>
          <w:rFonts w:ascii="Cambria Math" w:hAnsi="Cambria Math" w:cs="Times New Roman"/>
          <w:bCs/>
          <w:color w:val="0D0D0D" w:themeColor="text1" w:themeTint="F2"/>
        </w:rPr>
        <w:t xml:space="preserve">Shantelle Claassen-Weitz, </w:t>
      </w:r>
      <w:proofErr w:type="spellStart"/>
      <w:r w:rsidRPr="000D71C8">
        <w:rPr>
          <w:rFonts w:ascii="Cambria Math" w:hAnsi="Cambria Math" w:cs="Times New Roman"/>
          <w:bCs/>
          <w:color w:val="0D0D0D" w:themeColor="text1" w:themeTint="F2"/>
        </w:rPr>
        <w:t>Sugnet</w:t>
      </w:r>
      <w:proofErr w:type="spellEnd"/>
      <w:r w:rsidRPr="000D71C8">
        <w:rPr>
          <w:rFonts w:ascii="Cambria Math" w:hAnsi="Cambria Math" w:cs="Times New Roman"/>
          <w:bCs/>
          <w:color w:val="0D0D0D" w:themeColor="text1" w:themeTint="F2"/>
        </w:rPr>
        <w:t xml:space="preserve"> Gardner-Lubbe, Yao Xia, </w:t>
      </w:r>
      <w:proofErr w:type="spellStart"/>
      <w:r w:rsidRPr="000D71C8">
        <w:rPr>
          <w:rFonts w:ascii="Cambria Math" w:hAnsi="Cambria Math" w:cs="Times New Roman"/>
          <w:bCs/>
          <w:color w:val="0D0D0D" w:themeColor="text1" w:themeTint="F2"/>
        </w:rPr>
        <w:t>Kilaza</w:t>
      </w:r>
      <w:proofErr w:type="spellEnd"/>
      <w:r w:rsidRPr="000D71C8">
        <w:rPr>
          <w:rFonts w:ascii="Cambria Math" w:hAnsi="Cambria Math" w:cs="Times New Roman"/>
          <w:bCs/>
          <w:color w:val="0D0D0D" w:themeColor="text1" w:themeTint="F2"/>
        </w:rPr>
        <w:t xml:space="preserve"> S </w:t>
      </w:r>
      <w:proofErr w:type="spellStart"/>
      <w:r w:rsidRPr="000D71C8">
        <w:rPr>
          <w:rFonts w:ascii="Cambria Math" w:hAnsi="Cambria Math" w:cs="Times New Roman"/>
          <w:bCs/>
          <w:color w:val="0D0D0D" w:themeColor="text1" w:themeTint="F2"/>
        </w:rPr>
        <w:t>Mwaikono</w:t>
      </w:r>
      <w:proofErr w:type="spellEnd"/>
      <w:r w:rsidRPr="000D71C8">
        <w:rPr>
          <w:rFonts w:ascii="Cambria Math" w:hAnsi="Cambria Math" w:cs="Times New Roman"/>
          <w:bCs/>
          <w:color w:val="0D0D0D" w:themeColor="text1" w:themeTint="F2"/>
        </w:rPr>
        <w:t xml:space="preserve">, </w:t>
      </w:r>
      <w:r w:rsidR="00B9666E">
        <w:rPr>
          <w:rFonts w:ascii="Cambria Math" w:hAnsi="Cambria Math" w:cs="Times New Roman"/>
          <w:bCs/>
          <w:color w:val="0D0D0D" w:themeColor="text1" w:themeTint="F2"/>
        </w:rPr>
        <w:t xml:space="preserve">Stephanie Harris </w:t>
      </w:r>
      <w:proofErr w:type="spellStart"/>
      <w:r w:rsidR="00B9666E">
        <w:rPr>
          <w:rFonts w:ascii="Cambria Math" w:hAnsi="Cambria Math" w:cs="Times New Roman"/>
          <w:bCs/>
          <w:color w:val="0D0D0D" w:themeColor="text1" w:themeTint="F2"/>
        </w:rPr>
        <w:t>Mounaud</w:t>
      </w:r>
      <w:proofErr w:type="spellEnd"/>
      <w:r w:rsidR="00B9666E">
        <w:rPr>
          <w:rFonts w:ascii="Cambria Math" w:hAnsi="Cambria Math" w:cs="Times New Roman"/>
          <w:bCs/>
          <w:color w:val="0D0D0D" w:themeColor="text1" w:themeTint="F2"/>
        </w:rPr>
        <w:t xml:space="preserve">, William C. </w:t>
      </w:r>
      <w:proofErr w:type="spellStart"/>
      <w:r w:rsidR="00B9666E">
        <w:rPr>
          <w:rFonts w:ascii="Cambria Math" w:hAnsi="Cambria Math" w:cs="Times New Roman"/>
          <w:bCs/>
          <w:color w:val="0D0D0D" w:themeColor="text1" w:themeTint="F2"/>
        </w:rPr>
        <w:t>Nierman</w:t>
      </w:r>
      <w:proofErr w:type="spellEnd"/>
      <w:r w:rsidR="00B9666E">
        <w:rPr>
          <w:rFonts w:ascii="Cambria Math" w:hAnsi="Cambria Math" w:cs="Times New Roman"/>
          <w:bCs/>
          <w:color w:val="0D0D0D" w:themeColor="text1" w:themeTint="F2"/>
        </w:rPr>
        <w:t xml:space="preserve">, </w:t>
      </w:r>
      <w:r w:rsidRPr="000D71C8">
        <w:rPr>
          <w:rFonts w:ascii="Cambria Math" w:hAnsi="Cambria Math" w:cs="Times New Roman"/>
          <w:bCs/>
          <w:color w:val="0D0D0D" w:themeColor="text1" w:themeTint="F2"/>
        </w:rPr>
        <w:t xml:space="preserve">Heather J. </w:t>
      </w:r>
      <w:proofErr w:type="spellStart"/>
      <w:r w:rsidRPr="000D71C8">
        <w:rPr>
          <w:rFonts w:ascii="Cambria Math" w:hAnsi="Cambria Math" w:cs="Times New Roman"/>
          <w:bCs/>
          <w:color w:val="0D0D0D" w:themeColor="text1" w:themeTint="F2"/>
        </w:rPr>
        <w:t>Zar</w:t>
      </w:r>
      <w:proofErr w:type="spellEnd"/>
      <w:r w:rsidRPr="000D71C8">
        <w:rPr>
          <w:rFonts w:ascii="Cambria Math" w:hAnsi="Cambria Math" w:cs="Times New Roman"/>
          <w:bCs/>
          <w:color w:val="0D0D0D" w:themeColor="text1" w:themeTint="F2"/>
        </w:rPr>
        <w:t>, Mark P. Nicol</w:t>
      </w:r>
      <w:r w:rsidR="00D4287F">
        <w:rPr>
          <w:rFonts w:ascii="Cambria Math" w:hAnsi="Cambria Math" w:cs="Times New Roman"/>
          <w:bCs/>
          <w:color w:val="0D0D0D" w:themeColor="text1" w:themeTint="F2"/>
        </w:rPr>
        <w:t>*</w:t>
      </w:r>
    </w:p>
    <w:p w14:paraId="112558EC" w14:textId="77777777" w:rsidR="0037543B" w:rsidRPr="000D71C8" w:rsidRDefault="0037543B" w:rsidP="0037543B">
      <w:pPr>
        <w:spacing w:after="0" w:line="240" w:lineRule="auto"/>
        <w:rPr>
          <w:rFonts w:ascii="Cambria Math" w:hAnsi="Cambria Math" w:cs="Times New Roman"/>
          <w:bCs/>
          <w:color w:val="0D0D0D" w:themeColor="text1" w:themeTint="F2"/>
        </w:rPr>
      </w:pPr>
    </w:p>
    <w:p w14:paraId="30AC04F1" w14:textId="0120EC35" w:rsidR="00C20E31" w:rsidRPr="00D22DAA" w:rsidRDefault="00C20E31" w:rsidP="0048468D">
      <w:pPr>
        <w:spacing w:after="0" w:line="480" w:lineRule="auto"/>
        <w:jc w:val="center"/>
        <w:rPr>
          <w:rFonts w:ascii="Cambria Math" w:hAnsi="Cambria Math"/>
        </w:rPr>
      </w:pPr>
      <w:r w:rsidRPr="00D22DAA">
        <w:rPr>
          <w:rFonts w:ascii="Cambria Math" w:hAnsi="Cambria Math"/>
        </w:rPr>
        <w:t xml:space="preserve">*Correspondence to: </w:t>
      </w:r>
      <w:r w:rsidR="0086540E" w:rsidRPr="0086540E">
        <w:rPr>
          <w:rFonts w:ascii="Cambria Math" w:hAnsi="Cambria Math"/>
        </w:rPr>
        <w:t>mark.nicol@uwa.edu.au</w:t>
      </w:r>
    </w:p>
    <w:p w14:paraId="1548EFC1" w14:textId="77777777" w:rsidR="0048468D" w:rsidRDefault="0048468D" w:rsidP="004326DA">
      <w:pPr>
        <w:spacing w:after="0" w:line="480" w:lineRule="auto"/>
        <w:rPr>
          <w:rFonts w:ascii="Cambria Math" w:hAnsi="Cambria Math"/>
        </w:rPr>
      </w:pPr>
    </w:p>
    <w:p w14:paraId="4BE48CDE" w14:textId="45A991BE" w:rsidR="00C20E31" w:rsidRPr="00D22DAA" w:rsidRDefault="0048468D" w:rsidP="004326DA">
      <w:pPr>
        <w:spacing w:after="0" w:line="480" w:lineRule="auto"/>
        <w:rPr>
          <w:rFonts w:ascii="Cambria Math" w:hAnsi="Cambria Math"/>
        </w:rPr>
      </w:pPr>
      <w:r>
        <w:rPr>
          <w:rFonts w:ascii="Cambria Math" w:hAnsi="Cambria Math"/>
        </w:rPr>
        <w:t>T</w:t>
      </w:r>
      <w:r w:rsidR="00C20E31" w:rsidRPr="00D22DAA">
        <w:rPr>
          <w:rFonts w:ascii="Cambria Math" w:hAnsi="Cambria Math"/>
        </w:rPr>
        <w:t xml:space="preserve">his PDF file includes: </w:t>
      </w:r>
    </w:p>
    <w:p w14:paraId="686DB193" w14:textId="2713AD22" w:rsidR="00034059" w:rsidRDefault="00034059" w:rsidP="00034059">
      <w:pPr>
        <w:spacing w:after="0" w:line="480" w:lineRule="auto"/>
        <w:ind w:left="284"/>
        <w:rPr>
          <w:rFonts w:ascii="Cambria Math" w:hAnsi="Cambria Math"/>
        </w:rPr>
      </w:pPr>
      <w:r>
        <w:rPr>
          <w:rFonts w:ascii="Cambria Math" w:hAnsi="Cambria Math"/>
        </w:rPr>
        <w:t>Section A</w:t>
      </w:r>
      <w:r w:rsidR="00F64802">
        <w:rPr>
          <w:rFonts w:ascii="Cambria Math" w:hAnsi="Cambria Math"/>
        </w:rPr>
        <w:t>.</w:t>
      </w:r>
      <w:r>
        <w:rPr>
          <w:rFonts w:ascii="Cambria Math" w:hAnsi="Cambria Math"/>
        </w:rPr>
        <w:t xml:space="preserve"> </w:t>
      </w:r>
      <w:r w:rsidR="00C20E31" w:rsidRPr="00034059">
        <w:rPr>
          <w:rFonts w:ascii="Cambria Math" w:hAnsi="Cambria Math"/>
        </w:rPr>
        <w:t xml:space="preserve">Extended </w:t>
      </w:r>
      <w:r w:rsidR="009C6410">
        <w:rPr>
          <w:rFonts w:ascii="Cambria Math" w:hAnsi="Cambria Math"/>
        </w:rPr>
        <w:t>m</w:t>
      </w:r>
      <w:r w:rsidR="00C20E31" w:rsidRPr="00034059">
        <w:rPr>
          <w:rFonts w:ascii="Cambria Math" w:hAnsi="Cambria Math"/>
        </w:rPr>
        <w:t xml:space="preserve">ethods </w:t>
      </w:r>
    </w:p>
    <w:p w14:paraId="2AB86160" w14:textId="1037EC45" w:rsidR="00C20E31" w:rsidRDefault="00034059" w:rsidP="00034059">
      <w:pPr>
        <w:spacing w:after="0" w:line="480" w:lineRule="auto"/>
        <w:ind w:left="284"/>
        <w:rPr>
          <w:rFonts w:ascii="Cambria Math" w:hAnsi="Cambria Math"/>
        </w:rPr>
      </w:pPr>
      <w:r>
        <w:rPr>
          <w:rFonts w:ascii="Cambria Math" w:hAnsi="Cambria Math"/>
        </w:rPr>
        <w:t>Section B</w:t>
      </w:r>
      <w:r w:rsidR="0047645E">
        <w:rPr>
          <w:rFonts w:ascii="Cambria Math" w:hAnsi="Cambria Math"/>
        </w:rPr>
        <w:t xml:space="preserve">. </w:t>
      </w:r>
      <w:r>
        <w:rPr>
          <w:rFonts w:ascii="Cambria Math" w:hAnsi="Cambria Math"/>
        </w:rPr>
        <w:t xml:space="preserve">Extended </w:t>
      </w:r>
      <w:r w:rsidR="009C6410">
        <w:rPr>
          <w:rFonts w:ascii="Cambria Math" w:hAnsi="Cambria Math"/>
        </w:rPr>
        <w:t>r</w:t>
      </w:r>
      <w:r>
        <w:rPr>
          <w:rFonts w:ascii="Cambria Math" w:hAnsi="Cambria Math"/>
        </w:rPr>
        <w:t>esults</w:t>
      </w:r>
      <w:r w:rsidR="0047645E">
        <w:rPr>
          <w:rFonts w:ascii="Cambria Math" w:hAnsi="Cambria Math"/>
        </w:rPr>
        <w:t xml:space="preserve"> -</w:t>
      </w:r>
      <w:r w:rsidR="00641D26">
        <w:rPr>
          <w:rFonts w:ascii="Cambria Math" w:hAnsi="Cambria Math"/>
        </w:rPr>
        <w:t xml:space="preserve"> sequencing controls</w:t>
      </w:r>
    </w:p>
    <w:p w14:paraId="08C5B7B9" w14:textId="60B91009" w:rsidR="00641D26" w:rsidRDefault="00641D26" w:rsidP="00034059">
      <w:pPr>
        <w:spacing w:after="0" w:line="480" w:lineRule="auto"/>
        <w:ind w:left="284"/>
        <w:rPr>
          <w:rFonts w:ascii="Cambria Math" w:hAnsi="Cambria Math"/>
        </w:rPr>
      </w:pPr>
      <w:r>
        <w:rPr>
          <w:rFonts w:ascii="Cambria Math" w:hAnsi="Cambria Math"/>
        </w:rPr>
        <w:t>Section C</w:t>
      </w:r>
      <w:r w:rsidR="0047645E">
        <w:rPr>
          <w:rFonts w:ascii="Cambria Math" w:hAnsi="Cambria Math"/>
        </w:rPr>
        <w:t>.</w:t>
      </w:r>
      <w:r>
        <w:rPr>
          <w:rFonts w:ascii="Cambria Math" w:hAnsi="Cambria Math"/>
        </w:rPr>
        <w:t xml:space="preserve"> E</w:t>
      </w:r>
      <w:r w:rsidR="00895BC2">
        <w:rPr>
          <w:rFonts w:ascii="Cambria Math" w:hAnsi="Cambria Math"/>
        </w:rPr>
        <w:t>xtended results</w:t>
      </w:r>
      <w:r w:rsidR="0047645E">
        <w:rPr>
          <w:rFonts w:ascii="Cambria Math" w:hAnsi="Cambria Math"/>
        </w:rPr>
        <w:t xml:space="preserve"> -</w:t>
      </w:r>
      <w:r w:rsidR="00895BC2">
        <w:rPr>
          <w:rFonts w:ascii="Cambria Math" w:hAnsi="Cambria Math"/>
        </w:rPr>
        <w:t xml:space="preserve"> phylogenetic trees</w:t>
      </w:r>
    </w:p>
    <w:p w14:paraId="5C8AEA55" w14:textId="203E0A66" w:rsidR="00895BC2" w:rsidRDefault="00895BC2" w:rsidP="00034059">
      <w:pPr>
        <w:spacing w:after="0" w:line="480" w:lineRule="auto"/>
        <w:ind w:left="284"/>
        <w:rPr>
          <w:rFonts w:ascii="Cambria Math" w:hAnsi="Cambria Math"/>
        </w:rPr>
      </w:pPr>
      <w:r>
        <w:rPr>
          <w:rFonts w:ascii="Cambria Math" w:hAnsi="Cambria Math"/>
        </w:rPr>
        <w:t>Section D</w:t>
      </w:r>
      <w:r w:rsidR="000B4003">
        <w:rPr>
          <w:rFonts w:ascii="Cambria Math" w:hAnsi="Cambria Math"/>
        </w:rPr>
        <w:t xml:space="preserve">. Extended results </w:t>
      </w:r>
      <w:r w:rsidR="00070770">
        <w:rPr>
          <w:rFonts w:ascii="Cambria Math" w:hAnsi="Cambria Math"/>
        </w:rPr>
        <w:t>-</w:t>
      </w:r>
      <w:r w:rsidR="000B4003">
        <w:rPr>
          <w:rFonts w:ascii="Cambria Math" w:hAnsi="Cambria Math"/>
        </w:rPr>
        <w:t xml:space="preserve"> Figures S13-S24</w:t>
      </w:r>
    </w:p>
    <w:p w14:paraId="420CE6B2" w14:textId="68E3A70C" w:rsidR="00070770" w:rsidRDefault="00070770" w:rsidP="00034059">
      <w:pPr>
        <w:spacing w:after="0" w:line="480" w:lineRule="auto"/>
        <w:ind w:left="284"/>
        <w:rPr>
          <w:rFonts w:ascii="Cambria Math" w:hAnsi="Cambria Math"/>
        </w:rPr>
      </w:pPr>
      <w:r>
        <w:rPr>
          <w:rFonts w:ascii="Cambria Math" w:hAnsi="Cambria Math"/>
        </w:rPr>
        <w:t>Section E. References</w:t>
      </w:r>
    </w:p>
    <w:p w14:paraId="13EAA9D5" w14:textId="77777777" w:rsidR="009A48EA" w:rsidRDefault="009A48EA" w:rsidP="004326DA">
      <w:pPr>
        <w:spacing w:after="0" w:line="480" w:lineRule="auto"/>
        <w:rPr>
          <w:rFonts w:ascii="Cambria Math" w:hAnsi="Cambria Math"/>
        </w:rPr>
      </w:pPr>
    </w:p>
    <w:p w14:paraId="2F7C333E" w14:textId="77777777" w:rsidR="00070770" w:rsidRDefault="00070770" w:rsidP="004326DA">
      <w:pPr>
        <w:spacing w:after="0" w:line="480" w:lineRule="auto"/>
        <w:rPr>
          <w:rFonts w:ascii="Cambria Math" w:hAnsi="Cambria Math"/>
        </w:rPr>
      </w:pPr>
    </w:p>
    <w:p w14:paraId="6798F545" w14:textId="77777777" w:rsidR="00B90E8D" w:rsidRDefault="00B90E8D" w:rsidP="004326DA">
      <w:pPr>
        <w:spacing w:after="0" w:line="480" w:lineRule="auto"/>
        <w:rPr>
          <w:rFonts w:ascii="Cambria Math" w:hAnsi="Cambria Math"/>
        </w:rPr>
      </w:pPr>
    </w:p>
    <w:p w14:paraId="15C338BD" w14:textId="77777777" w:rsidR="009A48EA" w:rsidRDefault="009A48EA" w:rsidP="004326DA">
      <w:pPr>
        <w:spacing w:after="0" w:line="480" w:lineRule="auto"/>
        <w:rPr>
          <w:rFonts w:ascii="Cambria Math" w:hAnsi="Cambria Math"/>
        </w:rPr>
      </w:pPr>
    </w:p>
    <w:p w14:paraId="061ADE97" w14:textId="77777777" w:rsidR="0048468D" w:rsidRDefault="0048468D" w:rsidP="004326DA">
      <w:pPr>
        <w:spacing w:after="0" w:line="480" w:lineRule="auto"/>
        <w:rPr>
          <w:rFonts w:ascii="Cambria Math" w:hAnsi="Cambria Math"/>
        </w:rPr>
      </w:pPr>
    </w:p>
    <w:p w14:paraId="5BCDE816" w14:textId="77777777" w:rsidR="0048468D" w:rsidRDefault="0048468D" w:rsidP="004326DA">
      <w:pPr>
        <w:spacing w:after="0" w:line="480" w:lineRule="auto"/>
        <w:rPr>
          <w:rFonts w:ascii="Cambria Math" w:hAnsi="Cambria Math"/>
        </w:rPr>
      </w:pPr>
    </w:p>
    <w:p w14:paraId="67EB46CB" w14:textId="77777777" w:rsidR="0048468D" w:rsidRDefault="0048468D" w:rsidP="004326DA">
      <w:pPr>
        <w:spacing w:after="0" w:line="480" w:lineRule="auto"/>
        <w:rPr>
          <w:rFonts w:ascii="Cambria Math" w:hAnsi="Cambria Math"/>
        </w:rPr>
      </w:pPr>
    </w:p>
    <w:p w14:paraId="445621DD" w14:textId="77777777" w:rsidR="0048468D" w:rsidRDefault="0048468D" w:rsidP="004326DA">
      <w:pPr>
        <w:spacing w:after="0" w:line="480" w:lineRule="auto"/>
        <w:rPr>
          <w:rFonts w:ascii="Cambria Math" w:hAnsi="Cambria Math"/>
        </w:rPr>
      </w:pPr>
    </w:p>
    <w:p w14:paraId="5B31D6CA" w14:textId="77777777" w:rsidR="0048468D" w:rsidRDefault="0048468D" w:rsidP="004326DA">
      <w:pPr>
        <w:spacing w:after="0" w:line="480" w:lineRule="auto"/>
        <w:rPr>
          <w:rFonts w:ascii="Cambria Math" w:hAnsi="Cambria Math"/>
        </w:rPr>
      </w:pPr>
    </w:p>
    <w:p w14:paraId="6B1597BA" w14:textId="77777777" w:rsidR="0048468D" w:rsidRDefault="0048468D" w:rsidP="004326DA">
      <w:pPr>
        <w:spacing w:after="0" w:line="480" w:lineRule="auto"/>
        <w:rPr>
          <w:rFonts w:ascii="Cambria Math" w:hAnsi="Cambria Math"/>
        </w:rPr>
      </w:pPr>
    </w:p>
    <w:p w14:paraId="1F732766" w14:textId="77777777" w:rsidR="0048468D" w:rsidRDefault="0048468D" w:rsidP="004326DA">
      <w:pPr>
        <w:spacing w:after="0" w:line="480" w:lineRule="auto"/>
        <w:rPr>
          <w:rFonts w:ascii="Cambria Math" w:hAnsi="Cambria Math"/>
        </w:rPr>
      </w:pPr>
    </w:p>
    <w:p w14:paraId="22A176D6" w14:textId="77777777" w:rsidR="0048468D" w:rsidRDefault="0048468D" w:rsidP="004326DA">
      <w:pPr>
        <w:spacing w:after="0" w:line="480" w:lineRule="auto"/>
        <w:rPr>
          <w:rFonts w:ascii="Cambria Math" w:hAnsi="Cambria Math"/>
        </w:rPr>
      </w:pPr>
    </w:p>
    <w:p w14:paraId="63957130" w14:textId="77777777" w:rsidR="0048468D" w:rsidRDefault="0048468D" w:rsidP="004326DA">
      <w:pPr>
        <w:spacing w:after="0" w:line="480" w:lineRule="auto"/>
        <w:rPr>
          <w:rFonts w:ascii="Cambria Math" w:hAnsi="Cambria Math"/>
        </w:rPr>
      </w:pPr>
    </w:p>
    <w:p w14:paraId="3894F729" w14:textId="77777777" w:rsidR="0048468D" w:rsidRDefault="0048468D" w:rsidP="004326DA">
      <w:pPr>
        <w:spacing w:after="0" w:line="480" w:lineRule="auto"/>
        <w:rPr>
          <w:rFonts w:ascii="Cambria Math" w:hAnsi="Cambria Math"/>
        </w:rPr>
      </w:pPr>
    </w:p>
    <w:p w14:paraId="40CE5B7D" w14:textId="77777777" w:rsidR="00F64802" w:rsidRDefault="0022527D" w:rsidP="0048468D">
      <w:pPr>
        <w:spacing w:after="0" w:line="480" w:lineRule="auto"/>
        <w:rPr>
          <w:rFonts w:ascii="Cambria Math" w:hAnsi="Cambria Math"/>
          <w:b/>
          <w:bCs/>
          <w:sz w:val="28"/>
          <w:szCs w:val="28"/>
        </w:rPr>
      </w:pPr>
      <w:r>
        <w:rPr>
          <w:rFonts w:ascii="Cambria Math" w:hAnsi="Cambria Math"/>
          <w:b/>
          <w:bCs/>
          <w:sz w:val="28"/>
          <w:szCs w:val="28"/>
        </w:rPr>
        <w:lastRenderedPageBreak/>
        <w:t>Section A</w:t>
      </w:r>
    </w:p>
    <w:p w14:paraId="7C7AF39E" w14:textId="1A29632C" w:rsidR="0048468D" w:rsidRPr="007264C5" w:rsidRDefault="0048468D" w:rsidP="0048468D">
      <w:pPr>
        <w:spacing w:after="0" w:line="480" w:lineRule="auto"/>
        <w:rPr>
          <w:rFonts w:ascii="Cambria Math" w:hAnsi="Cambria Math"/>
          <w:b/>
          <w:bCs/>
          <w:sz w:val="28"/>
          <w:szCs w:val="28"/>
        </w:rPr>
      </w:pPr>
      <w:r w:rsidRPr="007264C5">
        <w:rPr>
          <w:rFonts w:ascii="Cambria Math" w:hAnsi="Cambria Math"/>
          <w:b/>
          <w:bCs/>
          <w:sz w:val="28"/>
          <w:szCs w:val="28"/>
        </w:rPr>
        <w:t>Extended methods</w:t>
      </w:r>
    </w:p>
    <w:p w14:paraId="1A9A43FF" w14:textId="5779B6AD" w:rsidR="00B24D16" w:rsidRPr="00237E1A" w:rsidRDefault="00B24D16" w:rsidP="00B24D16">
      <w:pPr>
        <w:spacing w:after="0" w:line="480" w:lineRule="auto"/>
        <w:contextualSpacing/>
        <w:jc w:val="both"/>
        <w:rPr>
          <w:rFonts w:ascii="Cambria Math" w:hAnsi="Cambria Math"/>
          <w:b/>
          <w:bCs/>
        </w:rPr>
      </w:pPr>
      <w:r w:rsidRPr="00237E1A">
        <w:rPr>
          <w:rFonts w:ascii="Cambria Math" w:hAnsi="Cambria Math"/>
          <w:b/>
          <w:bCs/>
        </w:rPr>
        <w:t>Sequencing controls</w:t>
      </w:r>
    </w:p>
    <w:p w14:paraId="2B2F3B92" w14:textId="68DEDABA" w:rsidR="00B24D16" w:rsidRPr="00F27969" w:rsidRDefault="00B24D16" w:rsidP="00B24D16">
      <w:pPr>
        <w:spacing w:after="0" w:line="480" w:lineRule="auto"/>
        <w:contextualSpacing/>
        <w:jc w:val="both"/>
        <w:rPr>
          <w:rFonts w:ascii="Cambria Math" w:hAnsi="Cambria Math"/>
        </w:rPr>
      </w:pPr>
      <w:r w:rsidRPr="00B24D16">
        <w:rPr>
          <w:rFonts w:ascii="Cambria Math" w:hAnsi="Cambria Math"/>
        </w:rPr>
        <w:t xml:space="preserve">Each sequencing run consisted of four 96-well plates (384 reactions). A set of sequencing controls were included alongside NP specimens on each of the 96-well plates </w:t>
      </w:r>
      <w:r w:rsidRPr="00B24D16">
        <w:rPr>
          <w:rFonts w:ascii="Cambria Math" w:hAnsi="Cambria Math"/>
        </w:rPr>
        <w:fldChar w:fldCharType="begin" w:fldLock="1"/>
      </w:r>
      <w:r w:rsidR="00760B7A">
        <w:rPr>
          <w:rFonts w:ascii="Cambria Math" w:hAnsi="Cambria Math"/>
        </w:rPr>
        <w:instrText>ADDIN CSL_CITATION {"citationItems":[{"id":"ITEM-1","itemData":{"DOI":"10.1186/s12866-020-01795-7","ISSN":"14712180","PMID":"32397992","abstract":"BACKGROUND: Careful consideration of experimental artefacts is required in order to successfully apply high-throughput 16S ribosomal ribonucleic acid (rRNA) gene sequencing technology. Here we introduce experimental design, quality control and \"denoising\" approaches for sequencing low biomass specimens. RESULTS: We found that bacterial biomass is a key driver of 16S rRNA gene sequencing profiles generated from bacterial mock communities and that the use of different deoxyribonucleic acid (DNA) extraction methods [DSP Virus/Pathogen Mini Kit® (Kit-QS) and ZymoBIOMICS DNA Miniprep Kit (Kit-ZB)] and storage buffers [PrimeStore® Molecular Transport medium (Primestore) and Skim-milk, Tryptone, Glucose and Glycerol (STGG)] further influence these profiles. Kit-QS better represented hard-to-lyse bacteria from bacterial mock communities compared to Kit-ZB. Primestore storage buffer yielded lower levels of background operational taxonomic units (OTUs) from low biomass bacterial mock community controls compared to STGG. In addition to bacterial mock community controls, we used technical repeats (nasopharyngeal and induced sputum processed in duplicate, triplicate or quadruplicate) to further evaluate the effect of specimen biomass and participant age at specimen collection on resultant sequencing profiles. We observed a positive correlation (r = 0.16) between specimen biomass and participant age at specimen collection: low biomass technical repeats (represented by &lt; 500 16S rRNA gene copies/μl) were primarily collected at &lt; 14 days of age. We found that low biomass technical repeats also produced higher alpha diversities (r = - 0.28); 16S rRNA gene profiles similar to no template controls (Primestore); and reduced sequencing reproducibility. Finally, we show that the use of statistical tools for in silico contaminant identification, as implemented through the decontam package in R, provides better representations of indigenous bacteria following decontamination. CONCLUSIONS: We provide insight into experimental design, quality control steps and \"denoising\" approaches for 16S rRNA gene high-throughput sequencing of low biomass specimens. We highlight the need for careful assessment of DNA extraction methods and storage buffers; sequence quality and reproducibility; and in silico identification of contaminant profiles in order to avoid spurious results.","author":[{"dropping-particle":"","family":"Claassen-Weitz","given":"Shantelle","non-dropping-particle":"","parse-names":false,"suffix":""},{"dropping-particle":"","family":"Gardner-Lubbe","given":"Sugnet","non-dropping-particle":"","parse-names":false,"suffix":""},{"dropping-particle":"","family":"Mwaikono","given":"Kilaza S.","non-dropping-particle":"","parse-names":false,"suffix":""},{"dropping-particle":"","family":"Toit","given":"Elloise","non-dropping-particle":"du","parse-names":false,"suffix":""},{"dropping-particle":"","family":"Zar","given":"Heather J.","non-dropping-particle":"","parse-names":false,"suffix":""},{"dropping-particle":"","family":"Nicol","given":"Mark P.","non-dropping-particle":"","parse-names":false,"suffix":""}],"container-title":"BMC microbiology","id":"ITEM-1","issue":"1","issued":{"date-parts":[["2020"]]},"page":"113","publisher":"BMC Microbiology","title":"Optimizing 16S rRNA gene profile analysis from low biomass nasopharyngeal and induced sputum specimens","type":"article-journal","volume":"20"},"uris":["http://www.mendeley.com/documents/?uuid=c9932287-9519-4ad5-be20-08076b9015f9"]}],"mendeley":{"formattedCitation":"[1]","plainTextFormattedCitation":"[1]","previouslyFormattedCitation":"[1]"},"properties":{"noteIndex":0},"schema":"https://github.com/citation-style-language/schema/raw/master/csl-citation.json"}</w:instrText>
      </w:r>
      <w:r w:rsidRPr="00B24D16">
        <w:rPr>
          <w:rFonts w:ascii="Cambria Math" w:hAnsi="Cambria Math"/>
        </w:rPr>
        <w:fldChar w:fldCharType="separate"/>
      </w:r>
      <w:r w:rsidR="000F55E8" w:rsidRPr="000F55E8">
        <w:rPr>
          <w:rFonts w:ascii="Cambria Math" w:hAnsi="Cambria Math"/>
          <w:noProof/>
        </w:rPr>
        <w:t>[1]</w:t>
      </w:r>
      <w:r w:rsidRPr="00B24D16">
        <w:rPr>
          <w:rFonts w:ascii="Cambria Math" w:hAnsi="Cambria Math"/>
        </w:rPr>
        <w:fldChar w:fldCharType="end"/>
      </w:r>
      <w:r w:rsidRPr="00B24D16">
        <w:rPr>
          <w:rFonts w:ascii="Cambria Math" w:hAnsi="Cambria Math"/>
        </w:rPr>
        <w:t>. We included at least one mock community control [1-in-10 fold dilutions of bacterial mock community DNA controls “BEI-DNA” (HM-783D, BEI Resources, NIAID, NIH as part of the Human Microbiome Project, Manassas, VA, USA) and/or “</w:t>
      </w:r>
      <w:proofErr w:type="spellStart"/>
      <w:r w:rsidRPr="00B24D16">
        <w:rPr>
          <w:rFonts w:ascii="Cambria Math" w:hAnsi="Cambria Math"/>
        </w:rPr>
        <w:t>Zymobiomics</w:t>
      </w:r>
      <w:proofErr w:type="spellEnd"/>
      <w:r w:rsidRPr="00B24D16">
        <w:rPr>
          <w:rFonts w:ascii="Cambria Math" w:hAnsi="Cambria Math"/>
        </w:rPr>
        <w:t>-DNA” (</w:t>
      </w:r>
      <w:proofErr w:type="spellStart"/>
      <w:r w:rsidRPr="00B24D16">
        <w:rPr>
          <w:rFonts w:ascii="Cambria Math" w:hAnsi="Cambria Math"/>
        </w:rPr>
        <w:t>ZymoBIOMICS</w:t>
      </w:r>
      <w:proofErr w:type="spellEnd"/>
      <w:r w:rsidRPr="00B24D16">
        <w:rPr>
          <w:rFonts w:ascii="Cambria Math" w:hAnsi="Cambria Math"/>
        </w:rPr>
        <w:t xml:space="preserve">™ Microbial Community DNA Standard, catalogue no. D6305, </w:t>
      </w:r>
      <w:proofErr w:type="spellStart"/>
      <w:r w:rsidRPr="00B24D16">
        <w:rPr>
          <w:rFonts w:ascii="Cambria Math" w:hAnsi="Cambria Math"/>
        </w:rPr>
        <w:t>Zymo</w:t>
      </w:r>
      <w:proofErr w:type="spellEnd"/>
      <w:r w:rsidRPr="00B24D16">
        <w:rPr>
          <w:rFonts w:ascii="Cambria Math" w:hAnsi="Cambria Math"/>
        </w:rPr>
        <w:t xml:space="preserve"> Research Corp., Irvine, CA, USA)] per 96-well plate for validation of sequence quality control (Figure S1). We randomly selected at least one NP specimen per 96-well plate for repeat amplification and sequencing within each run (“within-run repeat”) and between different runs (“between-run repeat”) for assessing sequencing reproducibility (Figure S1). We included a minimum of one no template control (NTC) (neat </w:t>
      </w:r>
      <w:proofErr w:type="spellStart"/>
      <w:r w:rsidRPr="00B24D16">
        <w:rPr>
          <w:rFonts w:ascii="Cambria Math" w:hAnsi="Cambria Math"/>
        </w:rPr>
        <w:t>PrimeStore</w:t>
      </w:r>
      <w:proofErr w:type="spellEnd"/>
      <w:r w:rsidRPr="00B24D16">
        <w:rPr>
          <w:rFonts w:ascii="Cambria Math" w:hAnsi="Cambria Math"/>
          <w:vertAlign w:val="superscript"/>
        </w:rPr>
        <w:t>®</w:t>
      </w:r>
      <w:r w:rsidRPr="00B24D16">
        <w:rPr>
          <w:rFonts w:ascii="Cambria Math" w:hAnsi="Cambria Math"/>
        </w:rPr>
        <w:t xml:space="preserve"> Molecular Transport medium processed for nucleic acid extraction alongside NP specimens) to validate sequence quality from low biomass NP specimens and identify potential contaminant amplicon sequence </w:t>
      </w:r>
      <w:r w:rsidRPr="00F27969">
        <w:rPr>
          <w:rFonts w:ascii="Cambria Math" w:hAnsi="Cambria Math"/>
        </w:rPr>
        <w:t>variants (Figure S1).</w:t>
      </w:r>
    </w:p>
    <w:p w14:paraId="4E0D10C7" w14:textId="77777777" w:rsidR="00B24D16" w:rsidRPr="00806C87" w:rsidRDefault="00B24D16" w:rsidP="00B24D16">
      <w:pPr>
        <w:spacing w:after="0" w:line="480" w:lineRule="auto"/>
        <w:contextualSpacing/>
        <w:jc w:val="center"/>
        <w:rPr>
          <w:rFonts w:ascii="Cambria Math" w:hAnsi="Cambria Math"/>
          <w:color w:val="00B050"/>
        </w:rPr>
      </w:pPr>
      <w:r>
        <w:rPr>
          <w:rFonts w:ascii="Cambria Math" w:hAnsi="Cambria Math"/>
          <w:noProof/>
          <w:color w:val="00B050"/>
        </w:rPr>
        <w:lastRenderedPageBreak/>
        <w:drawing>
          <wp:inline distT="0" distB="0" distL="0" distR="0" wp14:anchorId="3C0F5049" wp14:editId="3287C5D4">
            <wp:extent cx="5731510" cy="438975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389755"/>
                    </a:xfrm>
                    <a:prstGeom prst="rect">
                      <a:avLst/>
                    </a:prstGeom>
                  </pic:spPr>
                </pic:pic>
              </a:graphicData>
            </a:graphic>
          </wp:inline>
        </w:drawing>
      </w:r>
    </w:p>
    <w:p w14:paraId="664979BB" w14:textId="77777777" w:rsidR="00B24D16" w:rsidRPr="00CD715A" w:rsidRDefault="00B24D16" w:rsidP="00B24D16">
      <w:pPr>
        <w:spacing w:after="0" w:line="240" w:lineRule="auto"/>
        <w:jc w:val="both"/>
        <w:rPr>
          <w:rFonts w:ascii="Book Antiqua" w:hAnsi="Book Antiqua"/>
          <w:sz w:val="18"/>
          <w:szCs w:val="18"/>
          <w:lang w:val="en-US"/>
        </w:rPr>
      </w:pPr>
      <w:r w:rsidRPr="00CD715A">
        <w:rPr>
          <w:rFonts w:ascii="Book Antiqua" w:hAnsi="Book Antiqua"/>
          <w:b/>
          <w:bCs/>
          <w:sz w:val="18"/>
          <w:szCs w:val="18"/>
          <w:lang w:val="en-US"/>
        </w:rPr>
        <w:t>Figure S1</w:t>
      </w:r>
      <w:r w:rsidRPr="00CD715A">
        <w:rPr>
          <w:rFonts w:ascii="Book Antiqua" w:hAnsi="Book Antiqua"/>
          <w:sz w:val="18"/>
          <w:szCs w:val="18"/>
          <w:lang w:val="en-US"/>
        </w:rPr>
        <w:t xml:space="preserve"> </w:t>
      </w:r>
      <w:r w:rsidRPr="00CD715A">
        <w:rPr>
          <w:rFonts w:ascii="Book Antiqua" w:hAnsi="Book Antiqua"/>
          <w:b/>
          <w:bCs/>
          <w:sz w:val="18"/>
          <w:szCs w:val="18"/>
          <w:lang w:val="en-US"/>
        </w:rPr>
        <w:t>Nasopharyngeal (NP) specimens and sequencing controls processed via 16S rRNA gene amplicon sequencing.</w:t>
      </w:r>
    </w:p>
    <w:p w14:paraId="2BCFFA2A" w14:textId="77777777" w:rsidR="00B24D16" w:rsidRPr="00CD715A" w:rsidRDefault="00B24D16" w:rsidP="00B24D16">
      <w:pPr>
        <w:spacing w:after="0" w:line="240" w:lineRule="auto"/>
        <w:jc w:val="both"/>
        <w:rPr>
          <w:rFonts w:ascii="Book Antiqua" w:hAnsi="Book Antiqua"/>
          <w:sz w:val="18"/>
          <w:szCs w:val="18"/>
          <w:lang w:val="en-US"/>
        </w:rPr>
      </w:pPr>
      <w:r w:rsidRPr="00CD715A">
        <w:rPr>
          <w:rFonts w:ascii="Book Antiqua" w:hAnsi="Book Antiqua"/>
          <w:sz w:val="18"/>
          <w:szCs w:val="18"/>
          <w:lang w:val="en-US"/>
        </w:rPr>
        <w:t>A) Longitudinal collection of NP specimens: NP swabs (</w:t>
      </w:r>
      <w:proofErr w:type="spellStart"/>
      <w:r w:rsidRPr="00CD715A">
        <w:rPr>
          <w:rFonts w:ascii="Book Antiqua" w:hAnsi="Book Antiqua"/>
          <w:sz w:val="18"/>
          <w:szCs w:val="18"/>
          <w:lang w:val="en-US"/>
        </w:rPr>
        <w:t>FLOQSwab</w:t>
      </w:r>
      <w:r w:rsidRPr="00CD715A">
        <w:rPr>
          <w:rFonts w:ascii="Book Antiqua" w:hAnsi="Book Antiqua"/>
          <w:sz w:val="18"/>
          <w:szCs w:val="18"/>
          <w:vertAlign w:val="superscript"/>
          <w:lang w:val="en-US"/>
        </w:rPr>
        <w:t>TM</w:t>
      </w:r>
      <w:proofErr w:type="spellEnd"/>
      <w:r w:rsidRPr="00CD715A">
        <w:rPr>
          <w:rFonts w:ascii="Book Antiqua" w:hAnsi="Book Antiqua"/>
          <w:sz w:val="18"/>
          <w:szCs w:val="18"/>
          <w:lang w:val="en-US"/>
        </w:rPr>
        <w:t xml:space="preserve">, Copan Diagnostics, CA, USA) suspended in </w:t>
      </w:r>
      <w:proofErr w:type="spellStart"/>
      <w:r w:rsidRPr="00CD715A">
        <w:rPr>
          <w:rFonts w:ascii="Book Antiqua" w:hAnsi="Book Antiqua"/>
          <w:sz w:val="18"/>
          <w:szCs w:val="18"/>
          <w:lang w:val="en-US"/>
        </w:rPr>
        <w:t>PrimeStore</w:t>
      </w:r>
      <w:proofErr w:type="spellEnd"/>
      <w:r w:rsidRPr="00CD715A">
        <w:rPr>
          <w:rFonts w:ascii="Book Antiqua" w:hAnsi="Book Antiqua"/>
          <w:sz w:val="18"/>
          <w:szCs w:val="18"/>
          <w:lang w:val="en-US"/>
        </w:rPr>
        <w:t>® Molecular Transport medium (Longhorn Vaccines &amp; Diagnostics, MD, USA); B) Nucleic acid extraction: NP specimens and no</w:t>
      </w:r>
      <w:r>
        <w:rPr>
          <w:rFonts w:ascii="Book Antiqua" w:hAnsi="Book Antiqua"/>
          <w:sz w:val="18"/>
          <w:szCs w:val="18"/>
          <w:lang w:val="en-US"/>
        </w:rPr>
        <w:t xml:space="preserve"> </w:t>
      </w:r>
      <w:r w:rsidRPr="00CD715A">
        <w:rPr>
          <w:rFonts w:ascii="Book Antiqua" w:hAnsi="Book Antiqua"/>
          <w:sz w:val="18"/>
          <w:szCs w:val="18"/>
          <w:lang w:val="en-US"/>
        </w:rPr>
        <w:t>template controls</w:t>
      </w:r>
      <w:r>
        <w:rPr>
          <w:rFonts w:ascii="Book Antiqua" w:hAnsi="Book Antiqua"/>
          <w:sz w:val="18"/>
          <w:szCs w:val="18"/>
          <w:lang w:val="en-US"/>
        </w:rPr>
        <w:t xml:space="preserve"> (NTCs)</w:t>
      </w:r>
      <w:r w:rsidRPr="00CD715A">
        <w:rPr>
          <w:rFonts w:ascii="Book Antiqua" w:hAnsi="Book Antiqua"/>
          <w:sz w:val="18"/>
          <w:szCs w:val="18"/>
          <w:lang w:val="en-US"/>
        </w:rPr>
        <w:t xml:space="preserve">; and C) 16S rRNA library preparation and sequencing: </w:t>
      </w:r>
      <w:r w:rsidRPr="00CD715A">
        <w:rPr>
          <w:rFonts w:ascii="Book Antiqua" w:hAnsi="Book Antiqua"/>
          <w:color w:val="000000" w:themeColor="text1"/>
          <w:sz w:val="18"/>
          <w:szCs w:val="18"/>
        </w:rPr>
        <w:t xml:space="preserve">1-in-10 fold dilutions of microbial mock community DNA controls [HM-783D (BEI Resources, NIAID, NIH as part of the Human Microbiome Project, VA, USA) (“BEI-DNA”) and/or </w:t>
      </w:r>
      <w:proofErr w:type="spellStart"/>
      <w:r w:rsidRPr="00CD715A">
        <w:rPr>
          <w:rFonts w:ascii="Book Antiqua" w:hAnsi="Book Antiqua"/>
          <w:color w:val="000000" w:themeColor="text1"/>
          <w:sz w:val="18"/>
          <w:szCs w:val="18"/>
        </w:rPr>
        <w:t>ZymoBIOMICS</w:t>
      </w:r>
      <w:proofErr w:type="spellEnd"/>
      <w:r w:rsidRPr="00CD715A">
        <w:rPr>
          <w:rFonts w:ascii="Book Antiqua" w:hAnsi="Book Antiqua"/>
          <w:color w:val="000000" w:themeColor="text1"/>
          <w:sz w:val="18"/>
          <w:szCs w:val="18"/>
        </w:rPr>
        <w:t xml:space="preserve">™ Microbial Community DNA Standard (catalogue no. D6305, </w:t>
      </w:r>
      <w:proofErr w:type="spellStart"/>
      <w:r w:rsidRPr="00CD715A">
        <w:rPr>
          <w:rFonts w:ascii="Book Antiqua" w:hAnsi="Book Antiqua"/>
          <w:color w:val="000000" w:themeColor="text1"/>
          <w:sz w:val="18"/>
          <w:szCs w:val="18"/>
        </w:rPr>
        <w:t>Zymo</w:t>
      </w:r>
      <w:proofErr w:type="spellEnd"/>
      <w:r w:rsidRPr="00CD715A">
        <w:rPr>
          <w:rFonts w:ascii="Book Antiqua" w:hAnsi="Book Antiqua"/>
          <w:color w:val="000000" w:themeColor="text1"/>
          <w:sz w:val="18"/>
          <w:szCs w:val="18"/>
        </w:rPr>
        <w:t xml:space="preserve"> Research Corp., Irvine, CA, United States) (“</w:t>
      </w:r>
      <w:proofErr w:type="spellStart"/>
      <w:r w:rsidRPr="00CD715A">
        <w:rPr>
          <w:rFonts w:ascii="Book Antiqua" w:hAnsi="Book Antiqua"/>
          <w:color w:val="000000" w:themeColor="text1"/>
          <w:sz w:val="18"/>
          <w:szCs w:val="18"/>
        </w:rPr>
        <w:t>Zymobiomics</w:t>
      </w:r>
      <w:proofErr w:type="spellEnd"/>
      <w:r w:rsidRPr="00CD715A">
        <w:rPr>
          <w:rFonts w:ascii="Book Antiqua" w:hAnsi="Book Antiqua"/>
          <w:color w:val="000000" w:themeColor="text1"/>
          <w:sz w:val="18"/>
          <w:szCs w:val="18"/>
        </w:rPr>
        <w:t xml:space="preserve">-DNA”)], nucleic acid extracts from NP specimens randomly selected for repeat amplification and sequencing (“within-run repeats”), nucleic acid extracts from NP specimens randomly selected from a previous sequencing run for repeat amplification and sequencing (“between-run repeats”), nucleic acid extracts from NP specimens and </w:t>
      </w:r>
      <w:r>
        <w:rPr>
          <w:rFonts w:ascii="Book Antiqua" w:hAnsi="Book Antiqua"/>
          <w:color w:val="000000" w:themeColor="text1"/>
          <w:sz w:val="18"/>
          <w:szCs w:val="18"/>
        </w:rPr>
        <w:t>NTCs</w:t>
      </w:r>
      <w:r w:rsidRPr="00CD715A">
        <w:rPr>
          <w:rFonts w:ascii="Book Antiqua" w:hAnsi="Book Antiqua"/>
          <w:color w:val="000000" w:themeColor="text1"/>
          <w:sz w:val="18"/>
          <w:szCs w:val="18"/>
        </w:rPr>
        <w:t xml:space="preserve"> (neat </w:t>
      </w:r>
      <w:proofErr w:type="spellStart"/>
      <w:r w:rsidRPr="00CD715A">
        <w:rPr>
          <w:rFonts w:ascii="Book Antiqua" w:hAnsi="Book Antiqua"/>
          <w:color w:val="000000" w:themeColor="text1"/>
          <w:sz w:val="18"/>
          <w:szCs w:val="18"/>
        </w:rPr>
        <w:t>PrimeStore</w:t>
      </w:r>
      <w:proofErr w:type="spellEnd"/>
      <w:r w:rsidRPr="00CD715A">
        <w:rPr>
          <w:rFonts w:ascii="Book Antiqua" w:hAnsi="Book Antiqua"/>
          <w:color w:val="000000" w:themeColor="text1"/>
          <w:sz w:val="18"/>
          <w:szCs w:val="18"/>
        </w:rPr>
        <w:t>® Molecular Transport medium processed for nucleic acid extraction alongside NP specimens).</w:t>
      </w:r>
    </w:p>
    <w:p w14:paraId="64BCE111" w14:textId="77777777" w:rsidR="00B24D16" w:rsidRPr="00806C87" w:rsidRDefault="00B24D16" w:rsidP="00B24D16">
      <w:pPr>
        <w:spacing w:after="0" w:line="480" w:lineRule="auto"/>
        <w:contextualSpacing/>
        <w:jc w:val="both"/>
        <w:rPr>
          <w:rFonts w:ascii="Cambria Math" w:hAnsi="Cambria Math"/>
          <w:color w:val="00B050"/>
        </w:rPr>
      </w:pPr>
    </w:p>
    <w:p w14:paraId="57876BBC" w14:textId="77777777" w:rsidR="00237E1A" w:rsidRDefault="00237E1A" w:rsidP="00B24D16">
      <w:pPr>
        <w:spacing w:after="0" w:line="480" w:lineRule="auto"/>
        <w:ind w:left="709" w:hanging="709"/>
        <w:contextualSpacing/>
        <w:jc w:val="both"/>
        <w:rPr>
          <w:rFonts w:ascii="Cambria Math" w:hAnsi="Cambria Math"/>
          <w:i/>
          <w:color w:val="00B050"/>
        </w:rPr>
      </w:pPr>
    </w:p>
    <w:p w14:paraId="0F77A4CB" w14:textId="77777777" w:rsidR="00237E1A" w:rsidRDefault="00237E1A" w:rsidP="00B24D16">
      <w:pPr>
        <w:spacing w:after="0" w:line="480" w:lineRule="auto"/>
        <w:ind w:left="709" w:hanging="709"/>
        <w:contextualSpacing/>
        <w:jc w:val="both"/>
        <w:rPr>
          <w:rFonts w:ascii="Cambria Math" w:hAnsi="Cambria Math"/>
          <w:i/>
          <w:color w:val="00B050"/>
        </w:rPr>
      </w:pPr>
    </w:p>
    <w:p w14:paraId="7D8E2061" w14:textId="77777777" w:rsidR="00237E1A" w:rsidRDefault="00237E1A" w:rsidP="00B24D16">
      <w:pPr>
        <w:spacing w:after="0" w:line="480" w:lineRule="auto"/>
        <w:ind w:left="709" w:hanging="709"/>
        <w:contextualSpacing/>
        <w:jc w:val="both"/>
        <w:rPr>
          <w:rFonts w:ascii="Cambria Math" w:hAnsi="Cambria Math"/>
          <w:i/>
          <w:color w:val="00B050"/>
        </w:rPr>
      </w:pPr>
    </w:p>
    <w:p w14:paraId="42C0FA8A" w14:textId="77777777" w:rsidR="00237E1A" w:rsidRDefault="00237E1A" w:rsidP="00B24D16">
      <w:pPr>
        <w:spacing w:after="0" w:line="480" w:lineRule="auto"/>
        <w:ind w:left="709" w:hanging="709"/>
        <w:contextualSpacing/>
        <w:jc w:val="both"/>
        <w:rPr>
          <w:rFonts w:ascii="Cambria Math" w:hAnsi="Cambria Math"/>
          <w:i/>
          <w:color w:val="00B050"/>
        </w:rPr>
      </w:pPr>
    </w:p>
    <w:p w14:paraId="1EC1E685" w14:textId="77777777" w:rsidR="00237E1A" w:rsidRDefault="00237E1A" w:rsidP="00B24D16">
      <w:pPr>
        <w:spacing w:after="0" w:line="480" w:lineRule="auto"/>
        <w:ind w:left="709" w:hanging="709"/>
        <w:contextualSpacing/>
        <w:jc w:val="both"/>
        <w:rPr>
          <w:rFonts w:ascii="Cambria Math" w:hAnsi="Cambria Math"/>
          <w:i/>
          <w:color w:val="00B050"/>
        </w:rPr>
      </w:pPr>
    </w:p>
    <w:p w14:paraId="3E1618F8" w14:textId="77777777" w:rsidR="00237E1A" w:rsidRDefault="00237E1A" w:rsidP="00B24D16">
      <w:pPr>
        <w:spacing w:after="0" w:line="480" w:lineRule="auto"/>
        <w:ind w:left="709" w:hanging="709"/>
        <w:contextualSpacing/>
        <w:jc w:val="both"/>
        <w:rPr>
          <w:rFonts w:ascii="Cambria Math" w:hAnsi="Cambria Math"/>
          <w:i/>
          <w:color w:val="00B050"/>
        </w:rPr>
      </w:pPr>
    </w:p>
    <w:p w14:paraId="0BDAEF88" w14:textId="77777777" w:rsidR="00237E1A" w:rsidRDefault="00237E1A" w:rsidP="00B24D16">
      <w:pPr>
        <w:spacing w:after="0" w:line="480" w:lineRule="auto"/>
        <w:ind w:left="709" w:hanging="709"/>
        <w:contextualSpacing/>
        <w:jc w:val="both"/>
        <w:rPr>
          <w:rFonts w:ascii="Cambria Math" w:hAnsi="Cambria Math"/>
          <w:i/>
          <w:color w:val="00B050"/>
        </w:rPr>
      </w:pPr>
    </w:p>
    <w:p w14:paraId="3D1331C7" w14:textId="444C1357" w:rsidR="00B24D16" w:rsidRPr="00237E1A" w:rsidRDefault="00B24D16" w:rsidP="00B24D16">
      <w:pPr>
        <w:spacing w:after="0" w:line="480" w:lineRule="auto"/>
        <w:ind w:left="709" w:hanging="709"/>
        <w:contextualSpacing/>
        <w:jc w:val="both"/>
        <w:rPr>
          <w:rFonts w:ascii="Cambria Math" w:hAnsi="Cambria Math"/>
          <w:b/>
        </w:rPr>
      </w:pPr>
      <w:r w:rsidRPr="00237E1A">
        <w:rPr>
          <w:rFonts w:ascii="Cambria Math" w:hAnsi="Cambria Math"/>
          <w:b/>
        </w:rPr>
        <w:lastRenderedPageBreak/>
        <w:t>Amplicon library generation and sequencing</w:t>
      </w:r>
    </w:p>
    <w:p w14:paraId="246968A6" w14:textId="0E55F275" w:rsidR="00B24D16" w:rsidRPr="00237E1A" w:rsidRDefault="00B24D16" w:rsidP="00B24D16">
      <w:pPr>
        <w:spacing w:after="0" w:line="480" w:lineRule="auto"/>
        <w:contextualSpacing/>
        <w:jc w:val="both"/>
        <w:rPr>
          <w:rFonts w:ascii="Cambria Math" w:hAnsi="Cambria Math"/>
        </w:rPr>
      </w:pPr>
      <w:r w:rsidRPr="00237E1A">
        <w:rPr>
          <w:rFonts w:ascii="Cambria Math" w:hAnsi="Cambria Math"/>
        </w:rPr>
        <w:t xml:space="preserve">We did two-step amplification of the V4 hypervariable region of the 16S rRNA gene using 7 µl of nucleic acid and 7 µl of amplicon as template, respectively </w:t>
      </w:r>
      <w:r w:rsidRPr="00237E1A">
        <w:rPr>
          <w:rFonts w:ascii="Cambria Math" w:hAnsi="Cambria Math"/>
        </w:rPr>
        <w:fldChar w:fldCharType="begin" w:fldLock="1"/>
      </w:r>
      <w:r w:rsidR="00760B7A">
        <w:rPr>
          <w:rFonts w:ascii="Cambria Math" w:hAnsi="Cambria Math"/>
        </w:rPr>
        <w:instrText>ADDIN CSL_CITATION {"citationItems":[{"id":"ITEM-1","itemData":{"DOI":"10.1038/s41598-018-22244-6","ISSN":"20452322","PMID":"29567959","abstract":"There are limited data on meconium and faecal bacterial profiles from African infants and their mothers. We characterized faecal bacterial communities of infants and mothers participating in a South African birth cohort. Stool and meconium specimens were collected from 90 mothers and 107 infants at birth, and from a subset of 72 and 36 infants at 4–12 and 20–28 weeks of age, respectively. HIV-unexposed infants were primarily exclusively breastfed at 4–12 (49%, 26/53) and 20–28 weeks (62%, 16/26). In contrast, HIV-exposed infants were primarily exclusively formula fed at 4–12 (53%; 10/19) and 20–28 weeks (70%, 7/10). Analysis (of the bacterial 16S rRNA gene sequences of the V4 hypervariable region) of the 90 mother-infant pairs showed that meconium bacterial profiles [dominated by Proteobacteria (89%)] were distinct from those of maternal faeces [dominated by Firmicutes (66%) and Actinobacteria (15%)]. Actinobacteria predominated at 4–12 (65%) and 20–28 (50%) weeks. HIV-exposed infants had significantly higher faecal bacterial diversities at both 4–12 (p = 0.026) and 20–28 weeks (p = 0.002). HIV-exposed infants had lower proportions of Bifidobacterium (p = 0.010) at 4–12 weeks. Maternal faecal bacterial profiles were influenced by HIV status, feeding practices and mode of delivery. Further longitudinal studies are required to better understand how these variables influence infant and maternal faecal bacterial composition.","author":[{"dropping-particle":"","family":"Claassen-Weitz","given":"Shantelle","non-dropping-particle":"","parse-names":false,"suffix":""},{"dropping-particle":"","family":"Gardner-Lubbe","given":"Sugnet","non-dropping-particle":"","parse-names":false,"suffix":""},{"dropping-particle":"","family":"Nicol","given":"Paul","non-dropping-particle":"","parse-names":false,"suffix":""},{"dropping-particle":"","family":"Botha","given":"Gerrit","non-dropping-particle":"","parse-names":false,"suffix":""},{"dropping-particle":"","family":"Mounaud","given":"Stephanie","non-dropping-particle":"","parse-names":false,"suffix":""},{"dropping-particle":"","family":"Shankar","given":"Jyoti","non-dropping-particle":"","parse-names":false,"suffix":""},{"dropping-particle":"","family":"Nierman","given":"William C.","non-dropping-particle":"","parse-names":false,"suffix":""},{"dropping-particle":"","family":"Mulder","given":"Nicola","non-dropping-particle":"","parse-names":false,"suffix":""},{"dropping-particle":"","family":"Budree","given":"Shrish","non-dropping-particle":"","parse-names":false,"suffix":""},{"dropping-particle":"","family":"Zar","given":"Heather J.","non-dropping-particle":"","parse-names":false,"suffix":""},{"dropping-particle":"","family":"Nicol","given":"Mark P.","non-dropping-particle":"","parse-names":false,"suffix":""},{"dropping-particle":"","family":"Kaba","given":"Mamadou","non-dropping-particle":"","parse-names":false,"suffix":""}],"container-title":"Scientific Reports","id":"ITEM-1","issue":"1","issued":{"date-parts":[["2018"]]},"page":"1-15","publisher":"Springer US","title":"HIV-exposure, early life feeding practices and delivery mode impacts on faecal bacterial profiles in a South African birth cohort","type":"article-journal","volume":"8"},"uris":["http://www.mendeley.com/documents/?uuid=ddc0c33a-d84b-430d-8069-5f04e4f15643"]}],"mendeley":{"formattedCitation":"[2]","plainTextFormattedCitation":"[2]","previouslyFormattedCitation":"[2]"},"properties":{"noteIndex":0},"schema":"https://github.com/citation-style-language/schema/raw/master/csl-citation.json"}</w:instrText>
      </w:r>
      <w:r w:rsidRPr="00237E1A">
        <w:rPr>
          <w:rFonts w:ascii="Cambria Math" w:hAnsi="Cambria Math"/>
        </w:rPr>
        <w:fldChar w:fldCharType="separate"/>
      </w:r>
      <w:r w:rsidR="000F55E8" w:rsidRPr="000F55E8">
        <w:rPr>
          <w:rFonts w:ascii="Cambria Math" w:hAnsi="Cambria Math"/>
          <w:noProof/>
        </w:rPr>
        <w:t>[2]</w:t>
      </w:r>
      <w:r w:rsidRPr="00237E1A">
        <w:rPr>
          <w:rFonts w:ascii="Cambria Math" w:hAnsi="Cambria Math"/>
        </w:rPr>
        <w:fldChar w:fldCharType="end"/>
      </w:r>
      <w:r w:rsidRPr="00237E1A">
        <w:rPr>
          <w:rFonts w:ascii="Cambria Math" w:hAnsi="Cambria Math"/>
        </w:rPr>
        <w:t xml:space="preserve">. We pooled purified short fragment 16S rRNA gene amplicons at equimolar concentration (70 ng) and determined the pooled library fragment size and concentration using the Agilent DNA 1000 Kit (Agilent Technologies, Santa Clara, CA, USA) and the KAPA Library Quantification Kit (catalogue no. KK4844, KAPA Biosystems, Boston, MA, USA), respectively. Library loading concentrations ranged between 5.5 </w:t>
      </w:r>
      <w:proofErr w:type="spellStart"/>
      <w:r w:rsidRPr="00237E1A">
        <w:rPr>
          <w:rFonts w:ascii="Cambria Math" w:hAnsi="Cambria Math"/>
        </w:rPr>
        <w:t>pM</w:t>
      </w:r>
      <w:proofErr w:type="spellEnd"/>
      <w:r w:rsidRPr="00237E1A">
        <w:rPr>
          <w:rFonts w:ascii="Cambria Math" w:hAnsi="Cambria Math"/>
        </w:rPr>
        <w:t xml:space="preserve"> and 7 </w:t>
      </w:r>
      <w:proofErr w:type="spellStart"/>
      <w:r w:rsidRPr="00237E1A">
        <w:rPr>
          <w:rFonts w:ascii="Cambria Math" w:hAnsi="Cambria Math"/>
        </w:rPr>
        <w:t>pM</w:t>
      </w:r>
      <w:proofErr w:type="spellEnd"/>
      <w:r w:rsidRPr="00237E1A">
        <w:rPr>
          <w:rFonts w:ascii="Cambria Math" w:hAnsi="Cambria Math"/>
        </w:rPr>
        <w:t xml:space="preserve"> per library across respective sequencing runs to obtain optimal flow cell loading concentrations. Library dilution and denaturing steps have been described elsewhere </w:t>
      </w:r>
      <w:r w:rsidRPr="00237E1A">
        <w:rPr>
          <w:rFonts w:ascii="Cambria Math" w:hAnsi="Cambria Math"/>
        </w:rPr>
        <w:fldChar w:fldCharType="begin" w:fldLock="1"/>
      </w:r>
      <w:r w:rsidR="00760B7A">
        <w:rPr>
          <w:rFonts w:ascii="Cambria Math" w:hAnsi="Cambria Math"/>
        </w:rPr>
        <w:instrText>ADDIN CSL_CITATION {"citationItems":[{"id":"ITEM-1","itemData":{"DOI":"10.1038/s41598-018-22244-6","ISSN":"20452322","PMID":"29567959","abstract":"There are limited data on meconium and faecal bacterial profiles from African infants and their mothers. We characterized faecal bacterial communities of infants and mothers participating in a South African birth cohort. Stool and meconium specimens were collected from 90 mothers and 107 infants at birth, and from a subset of 72 and 36 infants at 4–12 and 20–28 weeks of age, respectively. HIV-unexposed infants were primarily exclusively breastfed at 4–12 (49%, 26/53) and 20–28 weeks (62%, 16/26). In contrast, HIV-exposed infants were primarily exclusively formula fed at 4–12 (53%; 10/19) and 20–28 weeks (70%, 7/10). Analysis (of the bacterial 16S rRNA gene sequences of the V4 hypervariable region) of the 90 mother-infant pairs showed that meconium bacterial profiles [dominated by Proteobacteria (89%)] were distinct from those of maternal faeces [dominated by Firmicutes (66%) and Actinobacteria (15%)]. Actinobacteria predominated at 4–12 (65%) and 20–28 (50%) weeks. HIV-exposed infants had significantly higher faecal bacterial diversities at both 4–12 (p = 0.026) and 20–28 weeks (p = 0.002). HIV-exposed infants had lower proportions of Bifidobacterium (p = 0.010) at 4–12 weeks. Maternal faecal bacterial profiles were influenced by HIV status, feeding practices and mode of delivery. Further longitudinal studies are required to better understand how these variables influence infant and maternal faecal bacterial composition.","author":[{"dropping-particle":"","family":"Claassen-Weitz","given":"Shantelle","non-dropping-particle":"","parse-names":false,"suffix":""},{"dropping-particle":"","family":"Gardner-Lubbe","given":"Sugnet","non-dropping-particle":"","parse-names":false,"suffix":""},{"dropping-particle":"","family":"Nicol","given":"Paul","non-dropping-particle":"","parse-names":false,"suffix":""},{"dropping-particle":"","family":"Botha","given":"Gerrit","non-dropping-particle":"","parse-names":false,"suffix":""},{"dropping-particle":"","family":"Mounaud","given":"Stephanie","non-dropping-particle":"","parse-names":false,"suffix":""},{"dropping-particle":"","family":"Shankar","given":"Jyoti","non-dropping-particle":"","parse-names":false,"suffix":""},{"dropping-particle":"","family":"Nierman","given":"William C.","non-dropping-particle":"","parse-names":false,"suffix":""},{"dropping-particle":"","family":"Mulder","given":"Nicola","non-dropping-particle":"","parse-names":false,"suffix":""},{"dropping-particle":"","family":"Budree","given":"Shrish","non-dropping-particle":"","parse-names":false,"suffix":""},{"dropping-particle":"","family":"Zar","given":"Heather J.","non-dropping-particle":"","parse-names":false,"suffix":""},{"dropping-particle":"","family":"Nicol","given":"Mark P.","non-dropping-particle":"","parse-names":false,"suffix":""},{"dropping-particle":"","family":"Kaba","given":"Mamadou","non-dropping-particle":"","parse-names":false,"suffix":""}],"container-title":"Scientific Reports","id":"ITEM-1","issue":"1","issued":{"date-parts":[["2018"]]},"page":"1-15","publisher":"Springer US","title":"HIV-exposure, early life feeding practices and delivery mode impacts on faecal bacterial profiles in a South African birth cohort","type":"article-journal","volume":"8"},"uris":["http://www.mendeley.com/documents/?uuid=ddc0c33a-d84b-430d-8069-5f04e4f15643"]},{"id":"ITEM-2","itemData":{"author":[{"dropping-particle":"","family":"Illumina Proprietary","given":"","non-dropping-particle":"","parse-names":false,"suffix":""}],"id":"ITEM-2","issue":"October 2013","issued":{"date-parts":[["2013"]]},"page":"1-14","title":"MiSeq ® Reagent Kit v3 Reagent Preparation Guide","type":"patent"},"uris":["http://www.mendeley.com/documents/?uuid=06f68bc5-4077-4d74-9c89-2aac28830b56"]}],"mendeley":{"formattedCitation":"[2, 3]","plainTextFormattedCitation":"[2, 3]","previouslyFormattedCitation":"[2, 3]"},"properties":{"noteIndex":0},"schema":"https://github.com/citation-style-language/schema/raw/master/csl-citation.json"}</w:instrText>
      </w:r>
      <w:r w:rsidRPr="00237E1A">
        <w:rPr>
          <w:rFonts w:ascii="Cambria Math" w:hAnsi="Cambria Math"/>
        </w:rPr>
        <w:fldChar w:fldCharType="separate"/>
      </w:r>
      <w:r w:rsidR="000F55E8" w:rsidRPr="000F55E8">
        <w:rPr>
          <w:rFonts w:ascii="Cambria Math" w:hAnsi="Cambria Math"/>
          <w:noProof/>
        </w:rPr>
        <w:t>[2, 3]</w:t>
      </w:r>
      <w:r w:rsidRPr="00237E1A">
        <w:rPr>
          <w:rFonts w:ascii="Cambria Math" w:hAnsi="Cambria Math"/>
        </w:rPr>
        <w:fldChar w:fldCharType="end"/>
      </w:r>
      <w:r w:rsidRPr="00237E1A">
        <w:rPr>
          <w:rFonts w:ascii="Cambria Math" w:hAnsi="Cambria Math"/>
        </w:rPr>
        <w:t xml:space="preserve">. Each library contained a 15% </w:t>
      </w:r>
      <w:proofErr w:type="spellStart"/>
      <w:r w:rsidRPr="00237E1A">
        <w:rPr>
          <w:rFonts w:ascii="Cambria Math" w:hAnsi="Cambria Math"/>
        </w:rPr>
        <w:t>PhiX</w:t>
      </w:r>
      <w:proofErr w:type="spellEnd"/>
      <w:r w:rsidRPr="00237E1A">
        <w:rPr>
          <w:rFonts w:ascii="Cambria Math" w:hAnsi="Cambria Math"/>
        </w:rPr>
        <w:t xml:space="preserve"> Control v3 spike-in (catalogue no. FC-110-3001, Illumina, San Diego, CA, USA). We spiked 3.4 µl of each of the 100 µM custom sequencing primers (Integrated DNA technologies, Coralville, IA, USA) into the </w:t>
      </w:r>
      <w:proofErr w:type="spellStart"/>
      <w:r w:rsidRPr="00237E1A">
        <w:rPr>
          <w:rFonts w:ascii="Cambria Math" w:hAnsi="Cambria Math"/>
        </w:rPr>
        <w:t>MiSeq</w:t>
      </w:r>
      <w:proofErr w:type="spellEnd"/>
      <w:r w:rsidRPr="00237E1A">
        <w:rPr>
          <w:rFonts w:ascii="Cambria Math" w:hAnsi="Cambria Math"/>
        </w:rPr>
        <w:t xml:space="preserve"> Reagent Kit v3 (600-cycle) Reagent Cartridge (Illumina, San Diego, CA, USA) [sequencing primer read 1:  5’-TATGGTAATTGTGTGCCAGCHGCYGCGGTAA-3’, sequencing primer read 2:  5’-AGTCAGTCAGCCGGACTACHVGGGTWTCTAAT-3’ and index sequence: 5’-ATTAGAWACCCBDGTAGTCCGGCTGACTGACT-3]. We sequenced the denatured libraries on the Illumina</w:t>
      </w:r>
      <w:r w:rsidRPr="00237E1A">
        <w:rPr>
          <w:rFonts w:ascii="Cambria Math" w:hAnsi="Cambria Math"/>
          <w:vertAlign w:val="superscript"/>
        </w:rPr>
        <w:t>®</w:t>
      </w:r>
      <w:r w:rsidRPr="00237E1A">
        <w:rPr>
          <w:rFonts w:ascii="Cambria Math" w:hAnsi="Cambria Math"/>
        </w:rPr>
        <w:t xml:space="preserve"> </w:t>
      </w:r>
      <w:proofErr w:type="spellStart"/>
      <w:r w:rsidRPr="00237E1A">
        <w:rPr>
          <w:rFonts w:ascii="Cambria Math" w:hAnsi="Cambria Math"/>
        </w:rPr>
        <w:t>MiSeq</w:t>
      </w:r>
      <w:r w:rsidRPr="00237E1A">
        <w:rPr>
          <w:rFonts w:ascii="Cambria Math" w:hAnsi="Cambria Math"/>
          <w:vertAlign w:val="superscript"/>
        </w:rPr>
        <w:t>TM</w:t>
      </w:r>
      <w:proofErr w:type="spellEnd"/>
      <w:r w:rsidRPr="00237E1A">
        <w:rPr>
          <w:rFonts w:ascii="Cambria Math" w:hAnsi="Cambria Math"/>
        </w:rPr>
        <w:t xml:space="preserve"> platform </w:t>
      </w:r>
      <w:r w:rsidRPr="00237E1A">
        <w:rPr>
          <w:rFonts w:ascii="Cambria Math" w:hAnsi="Cambria Math" w:cs="MinionPro-Regular"/>
        </w:rPr>
        <w:fldChar w:fldCharType="begin" w:fldLock="1"/>
      </w:r>
      <w:r w:rsidR="00760B7A">
        <w:rPr>
          <w:rFonts w:ascii="Cambria Math" w:hAnsi="Cambria Math" w:cs="MinionPro-Regular"/>
        </w:rPr>
        <w:instrText>ADDIN CSL_CITATION {"citationItems":[{"id":"ITEM-1","itemData":{"author":[{"dropping-particle":"","family":"Illumina Proprietary","given":"","non-dropping-particle":"","parse-names":false,"suffix":""}],"id":"ITEM-1","issue":"January","issued":{"date-parts":[["2014"]]},"page":"1-94","title":"MiSeq ® System User Guide","type":"patent"},"uris":["http://www.mendeley.com/documents/?uuid=78832399-00cf-4fb6-9ec8-04b02c52b78a"]}],"mendeley":{"formattedCitation":"[4]","plainTextFormattedCitation":"[4]","previouslyFormattedCitation":"[4]"},"properties":{"noteIndex":0},"schema":"https://github.com/citation-style-language/schema/raw/master/csl-citation.json"}</w:instrText>
      </w:r>
      <w:r w:rsidRPr="00237E1A">
        <w:rPr>
          <w:rFonts w:ascii="Cambria Math" w:hAnsi="Cambria Math" w:cs="MinionPro-Regular"/>
        </w:rPr>
        <w:fldChar w:fldCharType="separate"/>
      </w:r>
      <w:r w:rsidR="000F55E8" w:rsidRPr="000F55E8">
        <w:rPr>
          <w:rFonts w:ascii="Cambria Math" w:hAnsi="Cambria Math" w:cs="MinionPro-Regular"/>
          <w:noProof/>
        </w:rPr>
        <w:t>[4]</w:t>
      </w:r>
      <w:r w:rsidRPr="00237E1A">
        <w:rPr>
          <w:rFonts w:ascii="Cambria Math" w:hAnsi="Cambria Math" w:cs="MinionPro-Regular"/>
        </w:rPr>
        <w:fldChar w:fldCharType="end"/>
      </w:r>
      <w:r w:rsidRPr="00237E1A">
        <w:rPr>
          <w:rFonts w:ascii="Cambria Math" w:hAnsi="Cambria Math"/>
        </w:rPr>
        <w:t>.</w:t>
      </w:r>
    </w:p>
    <w:p w14:paraId="7AE07B79" w14:textId="77777777" w:rsidR="00B24D16" w:rsidRPr="007C5CC1" w:rsidRDefault="00B24D16" w:rsidP="00B24D16">
      <w:pPr>
        <w:spacing w:after="0" w:line="480" w:lineRule="auto"/>
        <w:contextualSpacing/>
        <w:jc w:val="both"/>
        <w:rPr>
          <w:rFonts w:ascii="Cambria Math" w:hAnsi="Cambria Math"/>
          <w:iCs/>
          <w:color w:val="00B050"/>
        </w:rPr>
      </w:pPr>
    </w:p>
    <w:p w14:paraId="10EDC2A0" w14:textId="01FE7865" w:rsidR="00B24D16" w:rsidRPr="00182113" w:rsidRDefault="00B24D16" w:rsidP="00B24D16">
      <w:pPr>
        <w:spacing w:after="0" w:line="480" w:lineRule="auto"/>
        <w:ind w:left="709" w:hanging="709"/>
        <w:contextualSpacing/>
        <w:jc w:val="both"/>
        <w:rPr>
          <w:rFonts w:ascii="Cambria Math" w:hAnsi="Cambria Math"/>
          <w:b/>
          <w:bCs/>
          <w:iCs/>
        </w:rPr>
      </w:pPr>
      <w:r w:rsidRPr="00182113">
        <w:rPr>
          <w:rFonts w:ascii="Cambria Math" w:hAnsi="Cambria Math"/>
          <w:b/>
          <w:bCs/>
          <w:iCs/>
        </w:rPr>
        <w:t>Bioinformatic steps</w:t>
      </w:r>
    </w:p>
    <w:p w14:paraId="0C503CBC" w14:textId="5C42A28D" w:rsidR="00B24D16" w:rsidRPr="00182113" w:rsidRDefault="00B24D16" w:rsidP="00B24D16">
      <w:pPr>
        <w:spacing w:after="0" w:line="480" w:lineRule="auto"/>
        <w:contextualSpacing/>
        <w:jc w:val="both"/>
        <w:rPr>
          <w:rFonts w:ascii="Cambria Math" w:hAnsi="Cambria Math"/>
        </w:rPr>
      </w:pPr>
      <w:r w:rsidRPr="00182113">
        <w:rPr>
          <w:rFonts w:ascii="Cambria Math" w:hAnsi="Cambria Math"/>
        </w:rPr>
        <w:t xml:space="preserve">After assessing the quality of demultiplexed paired-end reads via </w:t>
      </w:r>
      <w:proofErr w:type="spellStart"/>
      <w:r w:rsidRPr="00182113">
        <w:rPr>
          <w:rFonts w:ascii="Cambria Math" w:hAnsi="Cambria Math"/>
        </w:rPr>
        <w:t>FastQC</w:t>
      </w:r>
      <w:proofErr w:type="spellEnd"/>
      <w:r w:rsidRPr="00182113">
        <w:rPr>
          <w:rFonts w:ascii="Cambria Math" w:hAnsi="Cambria Math"/>
        </w:rPr>
        <w:t xml:space="preserve"> </w:t>
      </w:r>
      <w:r w:rsidRPr="00182113">
        <w:rPr>
          <w:rFonts w:ascii="Cambria Math" w:hAnsi="Cambria Math"/>
        </w:rPr>
        <w:fldChar w:fldCharType="begin" w:fldLock="1"/>
      </w:r>
      <w:r w:rsidR="00760B7A">
        <w:rPr>
          <w:rFonts w:ascii="Cambria Math" w:hAnsi="Cambria Math"/>
        </w:rPr>
        <w:instrText>ADDIN CSL_CITATION {"citationItems":[{"id":"ITEM-1","itemData":{"author":[{"dropping-particle":"","family":"Andrews","given":"S","non-dropping-particle":"","parse-names":false,"suffix":""}],"id":"ITEM-1","issued":{"date-parts":[["2010"]]},"title":"FastQC: a quality control tool for high throughput sequence data","type":"article"},"uris":["http://www.mendeley.com/documents/?uuid=b79214e8-54b0-4773-a8dc-3b19e84765b7"]}],"mendeley":{"formattedCitation":"[5]","plainTextFormattedCitation":"[5]","previouslyFormattedCitation":"[5]"},"properties":{"noteIndex":0},"schema":"https://github.com/citation-style-language/schema/raw/master/csl-citation.json"}</w:instrText>
      </w:r>
      <w:r w:rsidRPr="00182113">
        <w:rPr>
          <w:rFonts w:ascii="Cambria Math" w:hAnsi="Cambria Math"/>
        </w:rPr>
        <w:fldChar w:fldCharType="separate"/>
      </w:r>
      <w:r w:rsidR="000F55E8" w:rsidRPr="000F55E8">
        <w:rPr>
          <w:rFonts w:ascii="Cambria Math" w:hAnsi="Cambria Math"/>
          <w:noProof/>
        </w:rPr>
        <w:t>[5]</w:t>
      </w:r>
      <w:r w:rsidRPr="00182113">
        <w:rPr>
          <w:rFonts w:ascii="Cambria Math" w:hAnsi="Cambria Math"/>
        </w:rPr>
        <w:fldChar w:fldCharType="end"/>
      </w:r>
      <w:r w:rsidRPr="00182113">
        <w:rPr>
          <w:rFonts w:ascii="Cambria Math" w:hAnsi="Cambria Math"/>
        </w:rPr>
        <w:t xml:space="preserve"> and </w:t>
      </w:r>
      <w:proofErr w:type="spellStart"/>
      <w:r w:rsidRPr="00182113">
        <w:rPr>
          <w:rFonts w:ascii="Cambria Math" w:hAnsi="Cambria Math"/>
        </w:rPr>
        <w:t>MultiQC</w:t>
      </w:r>
      <w:proofErr w:type="spellEnd"/>
      <w:r w:rsidRPr="00182113">
        <w:rPr>
          <w:rFonts w:ascii="Cambria Math" w:hAnsi="Cambria Math"/>
        </w:rPr>
        <w:t xml:space="preserve"> </w:t>
      </w:r>
      <w:r w:rsidRPr="00182113">
        <w:rPr>
          <w:rFonts w:ascii="Cambria Math" w:hAnsi="Cambria Math"/>
        </w:rPr>
        <w:fldChar w:fldCharType="begin" w:fldLock="1"/>
      </w:r>
      <w:r w:rsidR="00760B7A">
        <w:rPr>
          <w:rFonts w:ascii="Cambria Math" w:hAnsi="Cambria Math"/>
        </w:rPr>
        <w:instrText>ADDIN CSL_CITATION {"citationItems":[{"id":"ITEM-1","itemData":{"DOI":"10.1093/bioinformatics/btw354","ISBN":"13674811 (Electronic)","ISSN":"14602059","PMID":"27312411","abstract":"MOTIVATION Fast and accurate quality control is essential for studies involving next-generation sequencing data. Whilst numerous tools exist to quantify QC metrics, there is no common approach to flexibly integrate these across tools and large sample sets. Assessing analysis results across an entire project can be time consuming and error prone; batch effects and outlier samples can easily be missed in the early stages of analysis. RESULTS We present MultiQC, a tool to create a single report visualising output from multiple tools across many samples, enabling global trends and biases to be quickly identified. MultiQC can plot data from many common bioinformatics tools and is built to allow easy extension and customization. AVAILABILITY MultiQC is available with an GNU GPLv3 license on GitHub, the Python Package Index and Bioconda. Documentation and example reports available at http://multiqc.info CONTACT: phil.ewels@scilifelab.se.","author":[{"dropping-particle":"","family":"Ewels","given":"Philip","non-dropping-particle":"","parse-names":false,"suffix":""},{"dropping-particle":"","family":"Magnusson","given":"Måns","non-dropping-particle":"","parse-names":false,"suffix":""},{"dropping-particle":"","family":"Lundin","given":"Sverker","non-dropping-particle":"","parse-names":false,"suffix":""},{"dropping-particle":"","family":"Käller","given":"Max","non-dropping-particle":"","parse-names":false,"suffix":""}],"container-title":"Bioinformatics","id":"ITEM-1","issue":"19","issued":{"date-parts":[["2016"]]},"page":"3047-3048","title":"MultiQC: Summarize analysis results for multiple tools and samples in a single report","type":"article-journal","volume":"32"},"uris":["http://www.mendeley.com/documents/?uuid=16c819a6-a5ea-4a66-8bf0-715886e1e9be"]}],"mendeley":{"formattedCitation":"[6]","plainTextFormattedCitation":"[6]","previouslyFormattedCitation":"[6]"},"properties":{"noteIndex":0},"schema":"https://github.com/citation-style-language/schema/raw/master/csl-citation.json"}</w:instrText>
      </w:r>
      <w:r w:rsidRPr="00182113">
        <w:rPr>
          <w:rFonts w:ascii="Cambria Math" w:hAnsi="Cambria Math"/>
        </w:rPr>
        <w:fldChar w:fldCharType="separate"/>
      </w:r>
      <w:r w:rsidR="000F55E8" w:rsidRPr="000F55E8">
        <w:rPr>
          <w:rFonts w:ascii="Cambria Math" w:hAnsi="Cambria Math"/>
          <w:noProof/>
        </w:rPr>
        <w:t>[6]</w:t>
      </w:r>
      <w:r w:rsidRPr="00182113">
        <w:rPr>
          <w:rFonts w:ascii="Cambria Math" w:hAnsi="Cambria Math"/>
        </w:rPr>
        <w:fldChar w:fldCharType="end"/>
      </w:r>
      <w:r w:rsidRPr="00182113">
        <w:rPr>
          <w:rFonts w:ascii="Cambria Math" w:hAnsi="Cambria Math"/>
        </w:rPr>
        <w:t xml:space="preserve">, we used the DADA2 pipeline </w:t>
      </w:r>
      <w:r w:rsidRPr="00182113">
        <w:rPr>
          <w:rFonts w:ascii="Cambria Math" w:hAnsi="Cambria Math"/>
        </w:rPr>
        <w:fldChar w:fldCharType="begin" w:fldLock="1"/>
      </w:r>
      <w:r w:rsidR="00760B7A">
        <w:rPr>
          <w:rFonts w:ascii="Cambria Math" w:hAnsi="Cambria Math"/>
        </w:rPr>
        <w:instrText>ADDIN CSL_CITATION {"citationItems":[{"id":"ITEM-1","itemData":{"DOI":"10.1038/nmeth.3869","author":[{"dropping-particle":"","family":"Callahan","given":"Benjamin J","non-dropping-particle":"","parse-names":false,"suffix":""},{"dropping-particle":"","family":"McMurdie","given":"Paul J","non-dropping-particle":"","parse-names":false,"suffix":""},{"dropping-particle":"","family":"Rosen","given":"Michael J","non-dropping-particle":"","parse-names":false,"suffix":""},{"dropping-particle":"","family":"Han","given":"Andrew W","non-dropping-particle":"","parse-names":false,"suffix":""},{"dropping-particle":"","family":"Johnson, Amy Jo A Holmes","given":"Susan P","non-dropping-particle":"","parse-names":false,"suffix":""}],"container-title":"Nature methods","id":"ITEM-1","issue":"7","issued":{"date-parts":[["2016"]]},"page":"581-3","title":"DADA2: High resolution sample inference from Illumina amplicon data","type":"article-journal","volume":"13"},"uris":["http://www.mendeley.com/documents/?uuid=9fdb994e-46f6-4f9a-9164-25e3bda670eb"]}],"mendeley":{"formattedCitation":"[7]","plainTextFormattedCitation":"[7]","previouslyFormattedCitation":"[7]"},"properties":{"noteIndex":0},"schema":"https://github.com/citation-style-language/schema/raw/master/csl-citation.json"}</w:instrText>
      </w:r>
      <w:r w:rsidRPr="00182113">
        <w:rPr>
          <w:rFonts w:ascii="Cambria Math" w:hAnsi="Cambria Math"/>
        </w:rPr>
        <w:fldChar w:fldCharType="separate"/>
      </w:r>
      <w:r w:rsidR="000F55E8" w:rsidRPr="000F55E8">
        <w:rPr>
          <w:rFonts w:ascii="Cambria Math" w:hAnsi="Cambria Math"/>
          <w:noProof/>
        </w:rPr>
        <w:t>[7]</w:t>
      </w:r>
      <w:r w:rsidRPr="00182113">
        <w:rPr>
          <w:rFonts w:ascii="Cambria Math" w:hAnsi="Cambria Math"/>
        </w:rPr>
        <w:fldChar w:fldCharType="end"/>
      </w:r>
      <w:r w:rsidRPr="00182113">
        <w:rPr>
          <w:rFonts w:ascii="Cambria Math" w:hAnsi="Cambria Math"/>
        </w:rPr>
        <w:t xml:space="preserve"> (wrapped in the </w:t>
      </w:r>
      <w:proofErr w:type="spellStart"/>
      <w:r w:rsidRPr="00182113">
        <w:rPr>
          <w:rFonts w:ascii="Cambria Math" w:hAnsi="Cambria Math"/>
        </w:rPr>
        <w:t>Nextflow</w:t>
      </w:r>
      <w:proofErr w:type="spellEnd"/>
      <w:r w:rsidRPr="00182113">
        <w:rPr>
          <w:rFonts w:ascii="Cambria Math" w:hAnsi="Cambria Math"/>
        </w:rPr>
        <w:t xml:space="preserve"> algorithm </w:t>
      </w:r>
      <w:r w:rsidRPr="00182113">
        <w:rPr>
          <w:rFonts w:ascii="Cambria Math" w:hAnsi="Cambria Math"/>
        </w:rPr>
        <w:fldChar w:fldCharType="begin" w:fldLock="1"/>
      </w:r>
      <w:r w:rsidR="00760B7A">
        <w:rPr>
          <w:rFonts w:ascii="Cambria Math" w:hAnsi="Cambria Math"/>
        </w:rPr>
        <w:instrText>ADDIN CSL_CITATION {"citationItems":[{"id":"ITEM-1","itemData":{"DOI":"10.1038/nbt.3820","ISBN":"9781450318761","ISSN":"15461696","PMID":"28398311","abstract":"In recent years, there has been a renewed interest in languages and systems for large scale distributed computing. Unfortunately, most systems available to the end user use a custom description language tightly coupled to a specific runtime implementation, making it difficult to transfer applications between systems. To address this problem we introduce Makeflow, a simple system for expressing and running a data-intensive workflow across multiple execution engines without requiring changes to the application or workflow description. Makeflow allows any user familiar with basic Unix Make syntax to generate a workflow and run it on one of many supported execution systems. Furthermore, in order to assess the performance characteristics of the various execution engines available to users and assist them in selecting one for use we introduce Workbench, a suite of benchmarks designed for analyzing common workflow patterns. We evaluate Workbench on two physical architectures -- the first a storage cluster with local disks and a slower network and the second a high performance computing cluster with a central parallel filesystem and fast network -- using a variety of execution engines. We conclude by demonstrating three applications that use Makeflow to execute data intensive applications consisting of thousands of jobs.","author":[{"dropping-particle":"Di","family":"Tommaso","given":"Paolo","non-dropping-particle":"","parse-names":false,"suffix":""},{"dropping-particle":"","family":"Chatzou","given":"Maria","non-dropping-particle":"","parse-names":false,"suffix":""},{"dropping-particle":"","family":"Floden","given":"Evan W.","non-dropping-particle":"","parse-names":false,"suffix":""},{"dropping-particle":"","family":"Barja","given":"Pablo Prieto","non-dropping-particle":"","parse-names":false,"suffix":""},{"dropping-particle":"","family":"Palumbo","given":"Emilio","non-dropping-particle":"","parse-names":false,"suffix":""},{"dropping-particle":"","family":"Notredame","given":"Cedric","non-dropping-particle":"","parse-names":false,"suffix":""}],"container-title":"Nature Biotechnology","id":"ITEM-1","issue":"4","issued":{"date-parts":[["2017"]]},"page":"316-319","title":"Nextflow enables reproducible computational workflows","type":"article-journal","volume":"35"},"uris":["http://www.mendeley.com/documents/?uuid=cfca5446-ebab-40bb-a509-bd54d63b2401"]}],"mendeley":{"formattedCitation":"[8]","plainTextFormattedCitation":"[8]","previouslyFormattedCitation":"[8]"},"properties":{"noteIndex":0},"schema":"https://github.com/citation-style-language/schema/raw/master/csl-citation.json"}</w:instrText>
      </w:r>
      <w:r w:rsidRPr="00182113">
        <w:rPr>
          <w:rFonts w:ascii="Cambria Math" w:hAnsi="Cambria Math"/>
        </w:rPr>
        <w:fldChar w:fldCharType="separate"/>
      </w:r>
      <w:r w:rsidR="000F55E8" w:rsidRPr="000F55E8">
        <w:rPr>
          <w:rFonts w:ascii="Cambria Math" w:hAnsi="Cambria Math"/>
          <w:noProof/>
        </w:rPr>
        <w:t>[8]</w:t>
      </w:r>
      <w:r w:rsidRPr="00182113">
        <w:rPr>
          <w:rFonts w:ascii="Cambria Math" w:hAnsi="Cambria Math"/>
        </w:rPr>
        <w:fldChar w:fldCharType="end"/>
      </w:r>
      <w:r w:rsidRPr="00182113">
        <w:rPr>
          <w:rFonts w:ascii="Cambria Math" w:hAnsi="Cambria Math"/>
        </w:rPr>
        <w:t>) to filter and trim reads, infer amplicon sequence variants (ASVs), and assign taxonomy to ASVs. We trimmed and truncated forward reads at 24 and 248 bases (</w:t>
      </w:r>
      <w:proofErr w:type="spellStart"/>
      <w:r w:rsidRPr="00182113">
        <w:rPr>
          <w:rFonts w:ascii="Cambria Math" w:hAnsi="Cambria Math"/>
        </w:rPr>
        <w:t>trimFor</w:t>
      </w:r>
      <w:proofErr w:type="spellEnd"/>
      <w:r w:rsidRPr="00182113">
        <w:rPr>
          <w:rFonts w:ascii="Cambria Math" w:hAnsi="Cambria Math"/>
        </w:rPr>
        <w:t xml:space="preserve"> = 24; </w:t>
      </w:r>
      <w:proofErr w:type="spellStart"/>
      <w:r w:rsidRPr="00182113">
        <w:rPr>
          <w:rFonts w:ascii="Cambria Math" w:hAnsi="Cambria Math"/>
        </w:rPr>
        <w:t>truncFor</w:t>
      </w:r>
      <w:proofErr w:type="spellEnd"/>
      <w:r w:rsidRPr="00182113">
        <w:rPr>
          <w:rFonts w:ascii="Cambria Math" w:hAnsi="Cambria Math"/>
        </w:rPr>
        <w:t xml:space="preserve"> = 248) and reverse reads at 25 and 235 bases (</w:t>
      </w:r>
      <w:proofErr w:type="spellStart"/>
      <w:r w:rsidRPr="00182113">
        <w:rPr>
          <w:rFonts w:ascii="Cambria Math" w:hAnsi="Cambria Math"/>
        </w:rPr>
        <w:t>trimRev</w:t>
      </w:r>
      <w:proofErr w:type="spellEnd"/>
      <w:r w:rsidRPr="00182113">
        <w:rPr>
          <w:rFonts w:ascii="Cambria Math" w:hAnsi="Cambria Math"/>
        </w:rPr>
        <w:t xml:space="preserve"> = 25; </w:t>
      </w:r>
      <w:proofErr w:type="spellStart"/>
      <w:r w:rsidRPr="00182113">
        <w:rPr>
          <w:rFonts w:ascii="Cambria Math" w:hAnsi="Cambria Math"/>
        </w:rPr>
        <w:t>truncRev</w:t>
      </w:r>
      <w:proofErr w:type="spellEnd"/>
      <w:r w:rsidRPr="00182113">
        <w:rPr>
          <w:rFonts w:ascii="Cambria Math" w:hAnsi="Cambria Math"/>
        </w:rPr>
        <w:t xml:space="preserve"> = 235). We also truncated reads at the first instance of a quality score </w:t>
      </w:r>
      <w:r w:rsidRPr="00182113">
        <w:rPr>
          <w:rFonts w:ascii="Cambria Math" w:hAnsi="Cambria Math"/>
          <w:u w:val="single"/>
        </w:rPr>
        <w:t>&lt;</w:t>
      </w:r>
      <w:r w:rsidRPr="00182113">
        <w:rPr>
          <w:rFonts w:ascii="Cambria Math" w:hAnsi="Cambria Math"/>
        </w:rPr>
        <w:t>2 (</w:t>
      </w:r>
      <w:proofErr w:type="spellStart"/>
      <w:r w:rsidRPr="00182113">
        <w:rPr>
          <w:rFonts w:ascii="Cambria Math" w:hAnsi="Cambria Math"/>
        </w:rPr>
        <w:t>truncQ</w:t>
      </w:r>
      <w:proofErr w:type="spellEnd"/>
      <w:r w:rsidRPr="00182113">
        <w:rPr>
          <w:rFonts w:ascii="Cambria Math" w:hAnsi="Cambria Math"/>
        </w:rPr>
        <w:t xml:space="preserve"> = 2), trimmed reads containing &gt;2 expected errors (</w:t>
      </w:r>
      <w:proofErr w:type="spellStart"/>
      <w:r w:rsidRPr="00182113">
        <w:rPr>
          <w:rFonts w:ascii="Cambria Math" w:hAnsi="Cambria Math"/>
        </w:rPr>
        <w:t>maxEEFor</w:t>
      </w:r>
      <w:proofErr w:type="spellEnd"/>
      <w:r w:rsidRPr="00182113">
        <w:rPr>
          <w:rFonts w:ascii="Cambria Math" w:hAnsi="Cambria Math"/>
        </w:rPr>
        <w:t xml:space="preserve"> = 2; </w:t>
      </w:r>
      <w:proofErr w:type="spellStart"/>
      <w:r w:rsidRPr="00182113">
        <w:rPr>
          <w:rFonts w:ascii="Cambria Math" w:hAnsi="Cambria Math"/>
        </w:rPr>
        <w:t>maxEERev</w:t>
      </w:r>
      <w:proofErr w:type="spellEnd"/>
      <w:r w:rsidRPr="00182113">
        <w:rPr>
          <w:rFonts w:ascii="Cambria Math" w:hAnsi="Cambria Math"/>
        </w:rPr>
        <w:t xml:space="preserve"> = 2) and discarded reads with any ambiguous bases (</w:t>
      </w:r>
      <w:proofErr w:type="spellStart"/>
      <w:r w:rsidRPr="00182113">
        <w:rPr>
          <w:rFonts w:ascii="Cambria Math" w:hAnsi="Cambria Math"/>
        </w:rPr>
        <w:t>maxN</w:t>
      </w:r>
      <w:proofErr w:type="spellEnd"/>
      <w:r w:rsidRPr="00182113">
        <w:rPr>
          <w:rFonts w:ascii="Cambria Math" w:hAnsi="Cambria Math"/>
        </w:rPr>
        <w:t xml:space="preserve"> = 0). We applied a minimum read length of 250 bases after trimming and truncation (</w:t>
      </w:r>
      <w:proofErr w:type="spellStart"/>
      <w:r w:rsidRPr="00182113">
        <w:rPr>
          <w:rFonts w:ascii="Cambria Math" w:hAnsi="Cambria Math"/>
        </w:rPr>
        <w:t>minLen</w:t>
      </w:r>
      <w:proofErr w:type="spellEnd"/>
      <w:r w:rsidRPr="00182113">
        <w:rPr>
          <w:rFonts w:ascii="Cambria Math" w:hAnsi="Cambria Math"/>
        </w:rPr>
        <w:t xml:space="preserve"> = 250). We estimated </w:t>
      </w:r>
      <w:r w:rsidRPr="00182113">
        <w:rPr>
          <w:rFonts w:ascii="Cambria Math" w:hAnsi="Cambria Math"/>
        </w:rPr>
        <w:lastRenderedPageBreak/>
        <w:t>a parametric error model via a form of unsupervised machine-learning on 100 million sequences for the forward and reverse reads separately. We dereplicated sequencing reads and inferred ASVs for each sample via the DADA2 sample inference algorithm and the estimated error model. We used pseudo-pooling for sample inference to increase sensitivity to ASVs present at low frequencies. We merged denoised sequences using the inferred forward and reverse reads with the length of overlap between forward and reverse reads set to 20 (</w:t>
      </w:r>
      <w:proofErr w:type="spellStart"/>
      <w:r w:rsidRPr="00182113">
        <w:rPr>
          <w:rFonts w:ascii="Cambria Math" w:hAnsi="Cambria Math"/>
        </w:rPr>
        <w:t>minOverlap</w:t>
      </w:r>
      <w:proofErr w:type="spellEnd"/>
      <w:r w:rsidRPr="00182113">
        <w:rPr>
          <w:rFonts w:ascii="Cambria Math" w:hAnsi="Cambria Math"/>
        </w:rPr>
        <w:t xml:space="preserve"> = 20). We allowed for no mismatches in the overlap region (</w:t>
      </w:r>
      <w:proofErr w:type="spellStart"/>
      <w:r w:rsidRPr="00182113">
        <w:rPr>
          <w:rFonts w:ascii="Cambria Math" w:hAnsi="Cambria Math"/>
        </w:rPr>
        <w:t>maxMismatch</w:t>
      </w:r>
      <w:proofErr w:type="spellEnd"/>
      <w:r w:rsidRPr="00182113">
        <w:rPr>
          <w:rFonts w:ascii="Cambria Math" w:hAnsi="Cambria Math"/>
        </w:rPr>
        <w:t xml:space="preserve"> = 0). We identified and removed chimeric sequences via the </w:t>
      </w:r>
      <w:proofErr w:type="spellStart"/>
      <w:r w:rsidRPr="00182113">
        <w:rPr>
          <w:rFonts w:ascii="Cambria Math" w:hAnsi="Cambria Math"/>
        </w:rPr>
        <w:t>removeBimeraDenovo</w:t>
      </w:r>
      <w:proofErr w:type="spellEnd"/>
      <w:r w:rsidRPr="00182113">
        <w:rPr>
          <w:rFonts w:ascii="Cambria Math" w:hAnsi="Cambria Math"/>
        </w:rPr>
        <w:t xml:space="preserve"> function (method = “consensus”).</w:t>
      </w:r>
      <w:r w:rsidRPr="00182113">
        <w:rPr>
          <w:rFonts w:ascii="Cambria Math" w:hAnsi="Cambria Math" w:cs="Helvetica"/>
          <w:shd w:val="clear" w:color="auto" w:fill="FFFFFF"/>
        </w:rPr>
        <w:t xml:space="preserve"> </w:t>
      </w:r>
      <w:r w:rsidRPr="00182113">
        <w:rPr>
          <w:rFonts w:ascii="Cambria Math" w:hAnsi="Cambria Math"/>
        </w:rPr>
        <w:t xml:space="preserve">We assigned taxonomy to each of the ASVs using the RDP </w:t>
      </w:r>
      <w:r w:rsidRPr="00182113">
        <w:rPr>
          <w:rFonts w:ascii="Cambria Math" w:hAnsi="Cambria Math"/>
        </w:rPr>
        <w:fldChar w:fldCharType="begin" w:fldLock="1"/>
      </w:r>
      <w:r w:rsidR="00760B7A">
        <w:rPr>
          <w:rFonts w:ascii="Cambria Math" w:hAnsi="Cambria Math"/>
        </w:rPr>
        <w:instrText>ADDIN CSL_CITATION {"citationItems":[{"id":"ITEM-1","itemData":{"DOI":"10.1093/nar/gkt1244","ISSN":"03051048","PMID":"24288368","abstract":"Ribosomal Database Project (RDP; http://rdp.cme.msu.edu/) provides the research community with aligned and annotated rRNA gene sequence data, along with tools to allow researchers to analyze their own rRNA gene sequences in the RDP framework. RDP data and tools are utilized in fields as diverse as human health, microbial ecology, environmental microbiology, nucleic acid chemistry, taxonomy and phylogenetics. In addition to aligned and annotated collections of bacterial and archaeal small subunit rRNA genes, RDP now includes a collection of fungal large subunit rRNA genes. RDP tools, including Classifier and Aligner, have been updated to work with this new fungal collection. The use of high-throughput sequencing to characterize environmental microbial populations has exploded in the past several years, and as sequence technologies have improved, the sizes of environmental datasets have increased. With release 11, RDP is providing an expanded set of tools to facilitate analysis of high-throughput data, including both single-stranded and paired-end reads. In addition, most tools are now available as open source packages for download and local use by researchers with high-volume needs or who would like to develop custom analysis pipelines. © 2013 The Author(s). Published by Oxford University Press.","author":[{"dropping-particle":"","family":"Cole","given":"James R.","non-dropping-particle":"","parse-names":false,"suffix":""},{"dropping-particle":"","family":"Wang","given":"Qiong","non-dropping-particle":"","parse-names":false,"suffix":""},{"dropping-particle":"","family":"Fish","given":"Jordan A.","non-dropping-particle":"","parse-names":false,"suffix":""},{"dropping-particle":"","family":"Chai","given":"Benli","non-dropping-particle":"","parse-names":false,"suffix":""},{"dropping-particle":"","family":"McGarrell","given":"Donna M.","non-dropping-particle":"","parse-names":false,"suffix":""},{"dropping-particle":"","family":"Sun","given":"Yanni","non-dropping-particle":"","parse-names":false,"suffix":""},{"dropping-particle":"","family":"Brown","given":"C. Titus","non-dropping-particle":"","parse-names":false,"suffix":""},{"dropping-particle":"","family":"Porras-Alfaro","given":"Andrea","non-dropping-particle":"","parse-names":false,"suffix":""},{"dropping-particle":"","family":"Kuske","given":"Cheryl R.","non-dropping-particle":"","parse-names":false,"suffix":""},{"dropping-particle":"","family":"Tiedje","given":"James M.","non-dropping-particle":"","parse-names":false,"suffix":""}],"container-title":"Nucleic Acids Research","id":"ITEM-1","issue":"D1","issued":{"date-parts":[["2014"]]},"page":"633-642","title":"Ribosomal Database Project: Data and tools for high throughput rRNA analysis","type":"article-journal","volume":"42"},"uris":["http://www.mendeley.com/documents/?uuid=89087538-5dae-4d0e-a344-13e5b6bbb2e8"]}],"mendeley":{"formattedCitation":"[9]","plainTextFormattedCitation":"[9]","previouslyFormattedCitation":"[9]"},"properties":{"noteIndex":0},"schema":"https://github.com/citation-style-language/schema/raw/master/csl-citation.json"}</w:instrText>
      </w:r>
      <w:r w:rsidRPr="00182113">
        <w:rPr>
          <w:rFonts w:ascii="Cambria Math" w:hAnsi="Cambria Math"/>
        </w:rPr>
        <w:fldChar w:fldCharType="separate"/>
      </w:r>
      <w:r w:rsidR="000F55E8" w:rsidRPr="000F55E8">
        <w:rPr>
          <w:rFonts w:ascii="Cambria Math" w:hAnsi="Cambria Math"/>
          <w:noProof/>
        </w:rPr>
        <w:t>[9]</w:t>
      </w:r>
      <w:r w:rsidRPr="00182113">
        <w:rPr>
          <w:rFonts w:ascii="Cambria Math" w:hAnsi="Cambria Math"/>
        </w:rPr>
        <w:fldChar w:fldCharType="end"/>
      </w:r>
      <w:r w:rsidRPr="00182113">
        <w:rPr>
          <w:rFonts w:ascii="Cambria Math" w:hAnsi="Cambria Math"/>
        </w:rPr>
        <w:t xml:space="preserve"> classifier implementation for DADA2 </w:t>
      </w:r>
      <w:r w:rsidRPr="00182113">
        <w:rPr>
          <w:rFonts w:ascii="Cambria Math" w:hAnsi="Cambria Math"/>
        </w:rPr>
        <w:fldChar w:fldCharType="begin" w:fldLock="1"/>
      </w:r>
      <w:r w:rsidR="00760B7A">
        <w:rPr>
          <w:rFonts w:ascii="Cambria Math" w:hAnsi="Cambria Math"/>
        </w:rPr>
        <w:instrText>ADDIN CSL_CITATION {"citationItems":[{"id":"ITEM-1","itemData":{"URL":"https://zenodo.org/record/801828#.X7VWKs7itdg","author":[{"dropping-particle":"","family":"Callahan","given":"Benjamin J.","non-dropping-particle":"","parse-names":false,"suffix":""}],"container-title":"Zenodo","id":"ITEM-1","issued":{"date-parts":[["2017"]]},"title":"RDP taxonomic training data formatted for DADA2 (RDP trainset 16/release 11.5)","type":"webpage"},"uris":["http://www.mendeley.com/documents/?uuid=fcdb4c9e-5a2b-4db8-94ce-f04e3fbc61f7"]}],"mendeley":{"formattedCitation":"[10]","plainTextFormattedCitation":"[10]","previouslyFormattedCitation":"[10]"},"properties":{"noteIndex":0},"schema":"https://github.com/citation-style-language/schema/raw/master/csl-citation.json"}</w:instrText>
      </w:r>
      <w:r w:rsidRPr="00182113">
        <w:rPr>
          <w:rFonts w:ascii="Cambria Math" w:hAnsi="Cambria Math"/>
        </w:rPr>
        <w:fldChar w:fldCharType="separate"/>
      </w:r>
      <w:r w:rsidR="000F55E8" w:rsidRPr="000F55E8">
        <w:rPr>
          <w:rFonts w:ascii="Cambria Math" w:hAnsi="Cambria Math"/>
          <w:noProof/>
        </w:rPr>
        <w:t>[10]</w:t>
      </w:r>
      <w:r w:rsidRPr="00182113">
        <w:rPr>
          <w:rFonts w:ascii="Cambria Math" w:hAnsi="Cambria Math"/>
        </w:rPr>
        <w:fldChar w:fldCharType="end"/>
      </w:r>
      <w:r w:rsidRPr="00182113">
        <w:rPr>
          <w:rFonts w:ascii="Cambria Math" w:hAnsi="Cambria Math"/>
        </w:rPr>
        <w:t xml:space="preserve"> (</w:t>
      </w:r>
      <w:proofErr w:type="spellStart"/>
      <w:r w:rsidRPr="00182113">
        <w:rPr>
          <w:rFonts w:ascii="Cambria Math" w:hAnsi="Cambria Math"/>
        </w:rPr>
        <w:t>taxassignment</w:t>
      </w:r>
      <w:proofErr w:type="spellEnd"/>
      <w:r w:rsidRPr="00182113">
        <w:rPr>
          <w:rFonts w:ascii="Cambria Math" w:hAnsi="Cambria Math"/>
        </w:rPr>
        <w:t xml:space="preserve"> = ‘</w:t>
      </w:r>
      <w:proofErr w:type="spellStart"/>
      <w:r w:rsidRPr="00182113">
        <w:rPr>
          <w:rFonts w:ascii="Cambria Math" w:hAnsi="Cambria Math"/>
        </w:rPr>
        <w:t>rdp</w:t>
      </w:r>
      <w:proofErr w:type="spellEnd"/>
      <w:r w:rsidRPr="00182113">
        <w:rPr>
          <w:rFonts w:ascii="Cambria Math" w:hAnsi="Cambria Math"/>
        </w:rPr>
        <w:t xml:space="preserve">’) and SILVA version 138 (reference = SILVA 138; species = SILVA 138) </w:t>
      </w:r>
      <w:r w:rsidRPr="00182113">
        <w:rPr>
          <w:rFonts w:ascii="Cambria Math" w:hAnsi="Cambria Math"/>
        </w:rPr>
        <w:fldChar w:fldCharType="begin" w:fldLock="1"/>
      </w:r>
      <w:r w:rsidR="00760B7A">
        <w:rPr>
          <w:rFonts w:ascii="Cambria Math" w:hAnsi="Cambria Math"/>
        </w:rPr>
        <w:instrText>ADDIN CSL_CITATION {"citationItems":[{"id":"ITEM-1","itemData":{"DOI":"10.1093/nar/gks1219","ISSN":"1362-4962","PMID":"23193283","abstract":"SILVA (from Latin silva, forest, http://www.arb-silva.de) is a comprehensive web resource for up to date, quality-controlled databases of aligned ribosomal RNA (rRNA) gene sequences from the Bacteria, Archaea and Eukaryota domains and supplementary online services. The referred database release 111 (July 2012) contains 3 194 778 small subunit and 288 717 large subunit rRNA gene sequences. Since the initial description of the project, substantial new features have been introduced, including advanced quality control procedures, an improved rRNA gene aligner, online tools for probe and primer evaluation and optimized browsing, searching and downloading on the website. Furthermore, the extensively curated SILVA taxonomy and the new non-redundant SILVA datasets provide an ideal reference for high-throughput classification of data from next-generation sequencing approaches.","author":[{"dropping-particle":"","family":"Quast","given":"Christian","non-dropping-particle":"","parse-names":false,"suffix":""},{"dropping-particle":"","family":"Pruesse","given":"Elmar","non-dropping-particle":"","parse-names":false,"suffix":""},{"dropping-particle":"","family":"Yilmaz","given":"Pelin","non-dropping-particle":"","parse-names":false,"suffix":""},{"dropping-particle":"","family":"Gerken","given":"Jan","non-dropping-particle":"","parse-names":false,"suffix":""},{"dropping-particle":"","family":"Schweer","given":"Timmy","non-dropping-particle":"","parse-names":false,"suffix":""},{"dropping-particle":"","family":"Yarza","given":"Pablo","non-dropping-particle":"","parse-names":false,"suffix":""},{"dropping-particle":"","family":"Peplies","given":"Jörg","non-dropping-particle":"","parse-names":false,"suffix":""},{"dropping-particle":"","family":"Glöckner","given":"Frank Oliver","non-dropping-particle":"","parse-names":false,"suffix":""}],"container-title":"Nucleic acids research","id":"ITEM-1","issue":"Database issue","issued":{"date-parts":[["2013","1"]]},"page":"D590-6","title":"The SILVA ribosomal RNA gene database project: improved data processing and web-based tools.","type":"article-journal","volume":"41"},"uris":["http://www.mendeley.com/documents/?uuid=fb6d27d6-02d0-422e-ad2c-6dd9fe6625cc"]}],"mendeley":{"formattedCitation":"[11]","plainTextFormattedCitation":"[11]","previouslyFormattedCitation":"[11]"},"properties":{"noteIndex":0},"schema":"https://github.com/citation-style-language/schema/raw/master/csl-citation.json"}</w:instrText>
      </w:r>
      <w:r w:rsidRPr="00182113">
        <w:rPr>
          <w:rFonts w:ascii="Cambria Math" w:hAnsi="Cambria Math"/>
        </w:rPr>
        <w:fldChar w:fldCharType="separate"/>
      </w:r>
      <w:r w:rsidR="000F55E8" w:rsidRPr="000F55E8">
        <w:rPr>
          <w:rFonts w:ascii="Cambria Math" w:hAnsi="Cambria Math"/>
          <w:noProof/>
        </w:rPr>
        <w:t>[11]</w:t>
      </w:r>
      <w:r w:rsidRPr="00182113">
        <w:rPr>
          <w:rFonts w:ascii="Cambria Math" w:hAnsi="Cambria Math"/>
        </w:rPr>
        <w:fldChar w:fldCharType="end"/>
      </w:r>
      <w:r w:rsidRPr="00182113">
        <w:rPr>
          <w:rFonts w:ascii="Cambria Math" w:hAnsi="Cambria Math"/>
        </w:rPr>
        <w:t xml:space="preserve">. We removed ASVs classified as </w:t>
      </w:r>
      <w:proofErr w:type="spellStart"/>
      <w:r w:rsidRPr="00182113">
        <w:rPr>
          <w:rFonts w:ascii="Cambria Math" w:hAnsi="Cambria Math"/>
        </w:rPr>
        <w:t>Eukaryota</w:t>
      </w:r>
      <w:proofErr w:type="spellEnd"/>
      <w:r w:rsidRPr="00182113">
        <w:rPr>
          <w:rFonts w:ascii="Cambria Math" w:hAnsi="Cambria Math"/>
        </w:rPr>
        <w:t xml:space="preserve"> and ASVs with unassigned taxonomy at Kingdom-level from the dataset.</w:t>
      </w:r>
    </w:p>
    <w:p w14:paraId="7D36AC25" w14:textId="77777777" w:rsidR="00B24D16" w:rsidRPr="00806C87" w:rsidRDefault="00B24D16" w:rsidP="00B24D16">
      <w:pPr>
        <w:spacing w:after="0" w:line="480" w:lineRule="auto"/>
        <w:contextualSpacing/>
        <w:jc w:val="both"/>
        <w:rPr>
          <w:rFonts w:ascii="Cambria Math" w:hAnsi="Cambria Math"/>
          <w:color w:val="00B050"/>
        </w:rPr>
      </w:pPr>
    </w:p>
    <w:p w14:paraId="3576FBF5" w14:textId="5D75779A" w:rsidR="00B24D16" w:rsidRPr="00182113" w:rsidRDefault="00B24D16" w:rsidP="00B24D16">
      <w:pPr>
        <w:spacing w:after="0" w:line="480" w:lineRule="auto"/>
        <w:jc w:val="both"/>
        <w:rPr>
          <w:rFonts w:ascii="Cambria Math" w:hAnsi="Cambria Math"/>
          <w:b/>
          <w:bCs/>
        </w:rPr>
      </w:pPr>
      <w:r w:rsidRPr="00182113">
        <w:rPr>
          <w:rFonts w:ascii="Cambria Math" w:hAnsi="Cambria Math"/>
          <w:b/>
          <w:bCs/>
        </w:rPr>
        <w:t>In-silico quality control approach for high quality 16S rRNA gene amplicon sequencing data</w:t>
      </w:r>
    </w:p>
    <w:p w14:paraId="6347B079" w14:textId="29504F9E" w:rsidR="003A02BE" w:rsidRDefault="00B24D16" w:rsidP="003A02BE">
      <w:pPr>
        <w:spacing w:after="0" w:line="480" w:lineRule="auto"/>
        <w:contextualSpacing/>
        <w:jc w:val="both"/>
        <w:rPr>
          <w:rFonts w:ascii="Cambria Math" w:hAnsi="Cambria Math"/>
          <w:color w:val="00B050"/>
        </w:rPr>
      </w:pPr>
      <w:r w:rsidRPr="00182113">
        <w:rPr>
          <w:rFonts w:ascii="Cambria Math" w:hAnsi="Cambria Math"/>
        </w:rPr>
        <w:t xml:space="preserve">We performed all steps outlined below using R software version 3.6.3 </w:t>
      </w:r>
      <w:r w:rsidRPr="00182113">
        <w:rPr>
          <w:rFonts w:ascii="Cambria Math" w:hAnsi="Cambria Math"/>
        </w:rPr>
        <w:fldChar w:fldCharType="begin" w:fldLock="1"/>
      </w:r>
      <w:r w:rsidR="00760B7A">
        <w:rPr>
          <w:rFonts w:ascii="Cambria Math" w:hAnsi="Cambria Math"/>
        </w:rPr>
        <w:instrText>ADDIN CSL_CITATION {"citationItems":[{"id":"ITEM-1","itemData":{"author":[{"dropping-particle":"","family":"R Core Team. R Foundation for Statistical Computing","given":"","non-dropping-particle":"","parse-names":false,"suffix":""}],"id":"ITEM-1","issued":{"date-parts":[["2020"]]},"number":"3.6.3","publisher-place":"Vienna, Austria","title":"R: A language and environment for statistical computing","type":"article"},"uris":["http://www.mendeley.com/documents/?uuid=018e8a89-497c-41cf-bb1c-46f1568126e6"]}],"mendeley":{"formattedCitation":"[12]","plainTextFormattedCitation":"[12]","previouslyFormattedCitation":"[12]"},"properties":{"noteIndex":0},"schema":"https://github.com/citation-style-language/schema/raw/master/csl-citation.json"}</w:instrText>
      </w:r>
      <w:r w:rsidRPr="00182113">
        <w:rPr>
          <w:rFonts w:ascii="Cambria Math" w:hAnsi="Cambria Math"/>
        </w:rPr>
        <w:fldChar w:fldCharType="separate"/>
      </w:r>
      <w:r w:rsidR="000F55E8" w:rsidRPr="000F55E8">
        <w:rPr>
          <w:rFonts w:ascii="Cambria Math" w:hAnsi="Cambria Math"/>
          <w:noProof/>
        </w:rPr>
        <w:t>[12]</w:t>
      </w:r>
      <w:r w:rsidRPr="00182113">
        <w:rPr>
          <w:rFonts w:ascii="Cambria Math" w:hAnsi="Cambria Math"/>
        </w:rPr>
        <w:fldChar w:fldCharType="end"/>
      </w:r>
      <w:r w:rsidRPr="00182113">
        <w:rPr>
          <w:rFonts w:ascii="Cambria Math" w:hAnsi="Cambria Math"/>
        </w:rPr>
        <w:t xml:space="preserve"> and RStudio version 1.3.1056 </w:t>
      </w:r>
      <w:r w:rsidRPr="00182113">
        <w:rPr>
          <w:rFonts w:ascii="Cambria Math" w:hAnsi="Cambria Math"/>
        </w:rPr>
        <w:fldChar w:fldCharType="begin" w:fldLock="1"/>
      </w:r>
      <w:r w:rsidR="00760B7A">
        <w:rPr>
          <w:rFonts w:ascii="Cambria Math" w:hAnsi="Cambria Math"/>
        </w:rPr>
        <w:instrText>ADDIN CSL_CITATION {"citationItems":[{"id":"ITEM-1","itemData":{"author":[{"dropping-particle":"","family":"RStudio Team","given":"","non-dropping-particle":"","parse-names":false,"suffix":""}],"id":"ITEM-1","issued":{"date-parts":[["2020"]]},"number":"1.3.1056","publisher-place":"Boston, MA","title":"RStudio: Integrated development environment for R","type":"article"},"uris":["http://www.mendeley.com/documents/?uuid=dc1a642b-23d7-40df-ab2d-f019d403b19b"]}],"mendeley":{"formattedCitation":"[13]","plainTextFormattedCitation":"[13]","previouslyFormattedCitation":"[13]"},"properties":{"noteIndex":0},"schema":"https://github.com/citation-style-language/schema/raw/master/csl-citation.json"}</w:instrText>
      </w:r>
      <w:r w:rsidRPr="00182113">
        <w:rPr>
          <w:rFonts w:ascii="Cambria Math" w:hAnsi="Cambria Math"/>
        </w:rPr>
        <w:fldChar w:fldCharType="separate"/>
      </w:r>
      <w:r w:rsidR="000F55E8" w:rsidRPr="000F55E8">
        <w:rPr>
          <w:rFonts w:ascii="Cambria Math" w:hAnsi="Cambria Math"/>
          <w:noProof/>
        </w:rPr>
        <w:t>[13]</w:t>
      </w:r>
      <w:r w:rsidRPr="00182113">
        <w:rPr>
          <w:rFonts w:ascii="Cambria Math" w:hAnsi="Cambria Math"/>
        </w:rPr>
        <w:fldChar w:fldCharType="end"/>
      </w:r>
      <w:r w:rsidRPr="00182113">
        <w:rPr>
          <w:rFonts w:ascii="Cambria Math" w:hAnsi="Cambria Math"/>
        </w:rPr>
        <w:t xml:space="preserve">. We investigated sequencing reproducibility of bacterial mock community DNA controls by plotting manufacturers’ specified compositions alongside compositions generated in our laboratory. </w:t>
      </w:r>
      <w:r w:rsidR="00421190" w:rsidRPr="004012DE">
        <w:rPr>
          <w:rFonts w:ascii="Cambria Math" w:hAnsi="Cambria Math"/>
        </w:rPr>
        <w:t xml:space="preserve">Using within- and between-run repeats we examined sequencing reproducibility of biological specimens in relation to specimen biomass (16S rRNA gene copies/µl), demographic data (participant age at specimen collection) and read counts, as previously described </w:t>
      </w:r>
      <w:r w:rsidR="00421190" w:rsidRPr="004012DE">
        <w:rPr>
          <w:rFonts w:ascii="Cambria Math" w:hAnsi="Cambria Math"/>
        </w:rPr>
        <w:fldChar w:fldCharType="begin" w:fldLock="1"/>
      </w:r>
      <w:r w:rsidR="00760B7A">
        <w:rPr>
          <w:rFonts w:ascii="Cambria Math" w:hAnsi="Cambria Math"/>
        </w:rPr>
        <w:instrText>ADDIN CSL_CITATION {"citationItems":[{"id":"ITEM-1","itemData":{"DOI":"10.1186/s12866-020-01795-7","ISSN":"14712180","PMID":"32397992","abstract":"BACKGROUND: Careful consideration of experimental artefacts is required in order to successfully apply high-throughput 16S ribosomal ribonucleic acid (rRNA) gene sequencing technology. Here we introduce experimental design, quality control and \"denoising\" approaches for sequencing low biomass specimens. RESULTS: We found that bacterial biomass is a key driver of 16S rRNA gene sequencing profiles generated from bacterial mock communities and that the use of different deoxyribonucleic acid (DNA) extraction methods [DSP Virus/Pathogen Mini Kit® (Kit-QS) and ZymoBIOMICS DNA Miniprep Kit (Kit-ZB)] and storage buffers [PrimeStore® Molecular Transport medium (Primestore) and Skim-milk, Tryptone, Glucose and Glycerol (STGG)] further influence these profiles. Kit-QS better represented hard-to-lyse bacteria from bacterial mock communities compared to Kit-ZB. Primestore storage buffer yielded lower levels of background operational taxonomic units (OTUs) from low biomass bacterial mock community controls compared to STGG. In addition to bacterial mock community controls, we used technical repeats (nasopharyngeal and induced sputum processed in duplicate, triplicate or quadruplicate) to further evaluate the effect of specimen biomass and participant age at specimen collection on resultant sequencing profiles. We observed a positive correlation (r = 0.16) between specimen biomass and participant age at specimen collection: low biomass technical repeats (represented by &lt; 500 16S rRNA gene copies/μl) were primarily collected at &lt; 14 days of age. We found that low biomass technical repeats also produced higher alpha diversities (r = - 0.28); 16S rRNA gene profiles similar to no template controls (Primestore); and reduced sequencing reproducibility. Finally, we show that the use of statistical tools for in silico contaminant identification, as implemented through the decontam package in R, provides better representations of indigenous bacteria following decontamination. CONCLUSIONS: We provide insight into experimental design, quality control steps and \"denoising\" approaches for 16S rRNA gene high-throughput sequencing of low biomass specimens. We highlight the need for careful assessment of DNA extraction methods and storage buffers; sequence quality and reproducibility; and in silico identification of contaminant profiles in order to avoid spurious results.","author":[{"dropping-particle":"","family":"Claassen-Weitz","given":"Shantelle","non-dropping-particle":"","parse-names":false,"suffix":""},{"dropping-particle":"","family":"Gardner-Lubbe","given":"Sugnet","non-dropping-particle":"","parse-names":false,"suffix":""},{"dropping-particle":"","family":"Mwaikono","given":"Kilaza S.","non-dropping-particle":"","parse-names":false,"suffix":""},{"dropping-particle":"","family":"Toit","given":"Elloise","non-dropping-particle":"du","parse-names":false,"suffix":""},{"dropping-particle":"","family":"Zar","given":"Heather J.","non-dropping-particle":"","parse-names":false,"suffix":""},{"dropping-particle":"","family":"Nicol","given":"Mark P.","non-dropping-particle":"","parse-names":false,"suffix":""}],"container-title":"BMC microbiology","id":"ITEM-1","issue":"1","issued":{"date-parts":[["2020"]]},"page":"113","publisher":"BMC Microbiology","title":"Optimizing 16S rRNA gene profile analysis from low biomass nasopharyngeal and induced sputum specimens","type":"article-journal","volume":"20"},"uris":["http://www.mendeley.com/documents/?uuid=c9932287-9519-4ad5-be20-08076b9015f9"]}],"mendeley":{"formattedCitation":"[1]","plainTextFormattedCitation":"[1]","previouslyFormattedCitation":"[1]"},"properties":{"noteIndex":0},"schema":"https://github.com/citation-style-language/schema/raw/master/csl-citation.json"}</w:instrText>
      </w:r>
      <w:r w:rsidR="00421190" w:rsidRPr="004012DE">
        <w:rPr>
          <w:rFonts w:ascii="Cambria Math" w:hAnsi="Cambria Math"/>
        </w:rPr>
        <w:fldChar w:fldCharType="separate"/>
      </w:r>
      <w:r w:rsidR="000F55E8" w:rsidRPr="000F55E8">
        <w:rPr>
          <w:rFonts w:ascii="Cambria Math" w:hAnsi="Cambria Math"/>
          <w:noProof/>
        </w:rPr>
        <w:t>[1]</w:t>
      </w:r>
      <w:r w:rsidR="00421190" w:rsidRPr="004012DE">
        <w:rPr>
          <w:rFonts w:ascii="Cambria Math" w:hAnsi="Cambria Math"/>
        </w:rPr>
        <w:fldChar w:fldCharType="end"/>
      </w:r>
      <w:r w:rsidR="00421190" w:rsidRPr="004012DE">
        <w:rPr>
          <w:rFonts w:ascii="Cambria Math" w:hAnsi="Cambria Math"/>
        </w:rPr>
        <w:t xml:space="preserve">. </w:t>
      </w:r>
      <w:r w:rsidR="003A02BE" w:rsidRPr="003A02BE">
        <w:rPr>
          <w:rFonts w:ascii="Cambria Math" w:hAnsi="Cambria Math"/>
        </w:rPr>
        <w:t xml:space="preserve">Next we investigated how profiles from NP specimens compared to profiles from NTCs specimens </w:t>
      </w:r>
      <w:r w:rsidR="003A02BE" w:rsidRPr="004012DE">
        <w:rPr>
          <w:rFonts w:ascii="Cambria Math" w:hAnsi="Cambria Math"/>
        </w:rPr>
        <w:t xml:space="preserve">in </w:t>
      </w:r>
      <w:r w:rsidR="003A02BE" w:rsidRPr="00B82EDE">
        <w:rPr>
          <w:rFonts w:ascii="Cambria Math" w:hAnsi="Cambria Math"/>
        </w:rPr>
        <w:t>relation to specimen biomass</w:t>
      </w:r>
      <w:r w:rsidR="00181675" w:rsidRPr="00B82EDE">
        <w:rPr>
          <w:rFonts w:ascii="Cambria Math" w:hAnsi="Cambria Math"/>
        </w:rPr>
        <w:t xml:space="preserve">, </w:t>
      </w:r>
      <w:r w:rsidR="003A02BE" w:rsidRPr="00B82EDE">
        <w:rPr>
          <w:rFonts w:ascii="Cambria Math" w:hAnsi="Cambria Math"/>
        </w:rPr>
        <w:t xml:space="preserve">age at specimen collection and read counts, as previously described </w:t>
      </w:r>
      <w:r w:rsidR="003A02BE" w:rsidRPr="00B82EDE">
        <w:rPr>
          <w:rFonts w:ascii="Cambria Math" w:hAnsi="Cambria Math"/>
        </w:rPr>
        <w:fldChar w:fldCharType="begin" w:fldLock="1"/>
      </w:r>
      <w:r w:rsidR="00760B7A">
        <w:rPr>
          <w:rFonts w:ascii="Cambria Math" w:hAnsi="Cambria Math"/>
        </w:rPr>
        <w:instrText>ADDIN CSL_CITATION {"citationItems":[{"id":"ITEM-1","itemData":{"DOI":"10.1186/s12866-020-01795-7","ISSN":"14712180","PMID":"32397992","abstract":"BACKGROUND: Careful consideration of experimental artefacts is required in order to successfully apply high-throughput 16S ribosomal ribonucleic acid (rRNA) gene sequencing technology. Here we introduce experimental design, quality control and \"denoising\" approaches for sequencing low biomass specimens. RESULTS: We found that bacterial biomass is a key driver of 16S rRNA gene sequencing profiles generated from bacterial mock communities and that the use of different deoxyribonucleic acid (DNA) extraction methods [DSP Virus/Pathogen Mini Kit® (Kit-QS) and ZymoBIOMICS DNA Miniprep Kit (Kit-ZB)] and storage buffers [PrimeStore® Molecular Transport medium (Primestore) and Skim-milk, Tryptone, Glucose and Glycerol (STGG)] further influence these profiles. Kit-QS better represented hard-to-lyse bacteria from bacterial mock communities compared to Kit-ZB. Primestore storage buffer yielded lower levels of background operational taxonomic units (OTUs) from low biomass bacterial mock community controls compared to STGG. In addition to bacterial mock community controls, we used technical repeats (nasopharyngeal and induced sputum processed in duplicate, triplicate or quadruplicate) to further evaluate the effect of specimen biomass and participant age at specimen collection on resultant sequencing profiles. We observed a positive correlation (r = 0.16) between specimen biomass and participant age at specimen collection: low biomass technical repeats (represented by &lt; 500 16S rRNA gene copies/μl) were primarily collected at &lt; 14 days of age. We found that low biomass technical repeats also produced higher alpha diversities (r = - 0.28); 16S rRNA gene profiles similar to no template controls (Primestore); and reduced sequencing reproducibility. Finally, we show that the use of statistical tools for in silico contaminant identification, as implemented through the decontam package in R, provides better representations of indigenous bacteria following decontamination. CONCLUSIONS: We provide insight into experimental design, quality control steps and \"denoising\" approaches for 16S rRNA gene high-throughput sequencing of low biomass specimens. We highlight the need for careful assessment of DNA extraction methods and storage buffers; sequence quality and reproducibility; and in silico identification of contaminant profiles in order to avoid spurious results.","author":[{"dropping-particle":"","family":"Claassen-Weitz","given":"Shantelle","non-dropping-particle":"","parse-names":false,"suffix":""},{"dropping-particle":"","family":"Gardner-Lubbe","given":"Sugnet","non-dropping-particle":"","parse-names":false,"suffix":""},{"dropping-particle":"","family":"Mwaikono","given":"Kilaza S.","non-dropping-particle":"","parse-names":false,"suffix":""},{"dropping-particle":"","family":"Toit","given":"Elloise","non-dropping-particle":"du","parse-names":false,"suffix":""},{"dropping-particle":"","family":"Zar","given":"Heather J.","non-dropping-particle":"","parse-names":false,"suffix":""},{"dropping-particle":"","family":"Nicol","given":"Mark P.","non-dropping-particle":"","parse-names":false,"suffix":""}],"container-title":"BMC microbiology","id":"ITEM-1","issue":"1","issued":{"date-parts":[["2020"]]},"page":"113","publisher":"BMC Microbiology","title":"Optimizing 16S rRNA gene profile analysis from low biomass nasopharyngeal and induced sputum specimens","type":"article-journal","volume":"20"},"uris":["http://www.mendeley.com/documents/?uuid=c9932287-9519-4ad5-be20-08076b9015f9"]}],"mendeley":{"formattedCitation":"[1]","plainTextFormattedCitation":"[1]","previouslyFormattedCitation":"[1]"},"properties":{"noteIndex":0},"schema":"https://github.com/citation-style-language/schema/raw/master/csl-citation.json"}</w:instrText>
      </w:r>
      <w:r w:rsidR="003A02BE" w:rsidRPr="00B82EDE">
        <w:rPr>
          <w:rFonts w:ascii="Cambria Math" w:hAnsi="Cambria Math"/>
        </w:rPr>
        <w:fldChar w:fldCharType="separate"/>
      </w:r>
      <w:r w:rsidR="000F55E8" w:rsidRPr="000F55E8">
        <w:rPr>
          <w:rFonts w:ascii="Cambria Math" w:hAnsi="Cambria Math"/>
          <w:noProof/>
        </w:rPr>
        <w:t>[1]</w:t>
      </w:r>
      <w:r w:rsidR="003A02BE" w:rsidRPr="00B82EDE">
        <w:rPr>
          <w:rFonts w:ascii="Cambria Math" w:hAnsi="Cambria Math"/>
        </w:rPr>
        <w:fldChar w:fldCharType="end"/>
      </w:r>
      <w:r w:rsidR="003A02BE" w:rsidRPr="00B82EDE">
        <w:rPr>
          <w:rFonts w:ascii="Cambria Math" w:hAnsi="Cambria Math"/>
        </w:rPr>
        <w:t xml:space="preserve">. </w:t>
      </w:r>
      <w:r w:rsidR="0012021E" w:rsidRPr="00B82EDE">
        <w:rPr>
          <w:rFonts w:ascii="Cambria Math" w:hAnsi="Cambria Math"/>
        </w:rPr>
        <w:t xml:space="preserve">We </w:t>
      </w:r>
      <w:r w:rsidR="001735EA" w:rsidRPr="00B82EDE">
        <w:rPr>
          <w:rFonts w:ascii="Cambria Math" w:hAnsi="Cambria Math"/>
        </w:rPr>
        <w:t xml:space="preserve">used this information to set cut-offs for </w:t>
      </w:r>
      <w:r w:rsidR="0012021E" w:rsidRPr="00B82EDE">
        <w:rPr>
          <w:rFonts w:ascii="Cambria Math" w:hAnsi="Cambria Math"/>
        </w:rPr>
        <w:t>exclud</w:t>
      </w:r>
      <w:r w:rsidR="001735EA" w:rsidRPr="00B82EDE">
        <w:rPr>
          <w:rFonts w:ascii="Cambria Math" w:hAnsi="Cambria Math"/>
        </w:rPr>
        <w:t>ing</w:t>
      </w:r>
      <w:r w:rsidR="0012021E" w:rsidRPr="00B82EDE">
        <w:rPr>
          <w:rFonts w:ascii="Cambria Math" w:hAnsi="Cambria Math"/>
        </w:rPr>
        <w:t xml:space="preserve"> NP specimens</w:t>
      </w:r>
      <w:r w:rsidR="00181675" w:rsidRPr="00B82EDE">
        <w:rPr>
          <w:rFonts w:ascii="Cambria Math" w:hAnsi="Cambria Math"/>
        </w:rPr>
        <w:t xml:space="preserve"> from downstream analyses </w:t>
      </w:r>
      <w:r w:rsidR="001735EA" w:rsidRPr="00B82EDE">
        <w:rPr>
          <w:rFonts w:ascii="Cambria Math" w:hAnsi="Cambria Math"/>
        </w:rPr>
        <w:t>based on</w:t>
      </w:r>
      <w:r w:rsidR="00B82EDE" w:rsidRPr="00B82EDE">
        <w:rPr>
          <w:rFonts w:ascii="Cambria Math" w:hAnsi="Cambria Math"/>
        </w:rPr>
        <w:t xml:space="preserve"> bi</w:t>
      </w:r>
      <w:r w:rsidR="00181675" w:rsidRPr="00B82EDE">
        <w:rPr>
          <w:rFonts w:ascii="Cambria Math" w:hAnsi="Cambria Math"/>
        </w:rPr>
        <w:t>omass, age at specimen collection and read count</w:t>
      </w:r>
      <w:r w:rsidR="00B82EDE" w:rsidRPr="00B82EDE">
        <w:rPr>
          <w:rFonts w:ascii="Cambria Math" w:hAnsi="Cambria Math"/>
        </w:rPr>
        <w:t>s.</w:t>
      </w:r>
    </w:p>
    <w:p w14:paraId="5A6D844D" w14:textId="7C837E7C" w:rsidR="003A02BE" w:rsidRDefault="003A02BE" w:rsidP="003A02BE">
      <w:pPr>
        <w:spacing w:after="0" w:line="480" w:lineRule="auto"/>
        <w:contextualSpacing/>
        <w:jc w:val="both"/>
        <w:rPr>
          <w:rFonts w:ascii="Cambria Math" w:hAnsi="Cambria Math"/>
        </w:rPr>
      </w:pPr>
      <w:r w:rsidRPr="00321D69">
        <w:rPr>
          <w:rFonts w:ascii="Cambria Math" w:hAnsi="Cambria Math"/>
        </w:rPr>
        <w:t xml:space="preserve">We identified and removed potential “contaminant ASVs” from the dataset by implementing the </w:t>
      </w:r>
      <w:proofErr w:type="spellStart"/>
      <w:r w:rsidRPr="00321D69">
        <w:rPr>
          <w:rFonts w:ascii="Cambria Math" w:hAnsi="Cambria Math"/>
        </w:rPr>
        <w:t>isContaminant</w:t>
      </w:r>
      <w:proofErr w:type="spellEnd"/>
      <w:r w:rsidRPr="00321D69">
        <w:rPr>
          <w:rFonts w:ascii="Cambria Math" w:hAnsi="Cambria Math"/>
        </w:rPr>
        <w:t xml:space="preserve"> function </w:t>
      </w:r>
      <w:r w:rsidRPr="00321D69">
        <w:rPr>
          <w:rFonts w:ascii="Cambria Math" w:hAnsi="Cambria Math"/>
        </w:rPr>
        <w:fldChar w:fldCharType="begin" w:fldLock="1"/>
      </w:r>
      <w:r w:rsidR="00760B7A">
        <w:rPr>
          <w:rFonts w:ascii="Cambria Math" w:hAnsi="Cambria Math"/>
        </w:rPr>
        <w:instrText>ADDIN CSL_CITATION {"citationItems":[{"id":"ITEM-1","itemData":{"DOI":"10.1101/221499","abstract":"Background: The accuracy of microbial community surveys based on marker-gene and metagenomic sequencing (MGS) suffers from the presence of contaminants - DNA sequences not truly present in the sample. Contaminants come from various sources, including reagents. Appropriate laboratory practices can reduce contamination, but do not eliminate it. Here we introduce decontam (https://github.com/benjjneb/decontam), an open-source R package that implements a statistical classification procedure that identifies contaminants in MGS data based on two widely reproduced patterns: contaminants appear at higher frequencies in low-concentration samples, and are often found in negative controls. Results: decontam classified amplicon sequence variants (ASVs) in a human oral dataset consistently with prior microscopic observations of the microbial taxa inhabiting that environment and previous reports of contaminant taxa. In metagenomics and marker-gene measurements of a dilution series, decontam substantially reduced technical variation arising from different sequencing protocols. The application of decontam to two recently published datasets corroborated and extended their conclusions that little evidence existed for an indigenous placenta microbiome, and that some low-frequency taxa seemingly associated with preterm birth were contaminants. Conclusions: decontam improves the quality of metagenomic and marker-gene sequencing by identifying and removing contaminant DNA sequences. decontam integrates easily with existing MGS workflows, and allows researchers to generate more accurate profiles of microbial communities at little to no additional cost.","author":[{"dropping-particle":"","family":"Davis","given":"Nicole M","non-dropping-particle":"","parse-names":false,"suffix":""},{"dropping-particle":"","family":"Proctor","given":"Diana","non-dropping-particle":"","parse-names":false,"suffix":""},{"dropping-particle":"","family":"Holmes","given":"Susan P","non-dropping-particle":"","parse-names":false,"suffix":""},{"dropping-particle":"","family":"Relman","given":"David A","non-dropping-particle":"","parse-names":false,"suffix":""},{"dropping-particle":"","family":"Callahan","given":"Benjamin J","non-dropping-particle":"","parse-names":false,"suffix":""}],"container-title":"bioRxiv","id":"ITEM-1","issued":{"date-parts":[["2017"]]},"page":"221499","title":"Simple statistical identification and removal of contaminant sequences in marker-gene and metagenomics data","type":"article-journal"},"uris":["http://www.mendeley.com/documents/?uuid=bb3e3c89-8658-4039-92c9-02f9d89d81fa"]}],"mendeley":{"formattedCitation":"[14]","plainTextFormattedCitation":"[14]","previouslyFormattedCitation":"[14]"},"properties":{"noteIndex":0},"schema":"https://github.com/citation-style-language/schema/raw/master/csl-citation.json"}</w:instrText>
      </w:r>
      <w:r w:rsidRPr="00321D69">
        <w:rPr>
          <w:rFonts w:ascii="Cambria Math" w:hAnsi="Cambria Math"/>
        </w:rPr>
        <w:fldChar w:fldCharType="separate"/>
      </w:r>
      <w:r w:rsidR="000F55E8" w:rsidRPr="000F55E8">
        <w:rPr>
          <w:rFonts w:ascii="Cambria Math" w:hAnsi="Cambria Math"/>
          <w:noProof/>
        </w:rPr>
        <w:t>[14]</w:t>
      </w:r>
      <w:r w:rsidRPr="00321D69">
        <w:rPr>
          <w:rFonts w:ascii="Cambria Math" w:hAnsi="Cambria Math"/>
        </w:rPr>
        <w:fldChar w:fldCharType="end"/>
      </w:r>
      <w:r w:rsidRPr="00321D69">
        <w:rPr>
          <w:rFonts w:ascii="Cambria Math" w:hAnsi="Cambria Math"/>
        </w:rPr>
        <w:t xml:space="preserve"> and a combination of the “frequency- and prevalence-based </w:t>
      </w:r>
      <w:r w:rsidRPr="00321D69">
        <w:rPr>
          <w:rFonts w:ascii="Cambria Math" w:hAnsi="Cambria Math"/>
        </w:rPr>
        <w:lastRenderedPageBreak/>
        <w:t xml:space="preserve">methods” offered by the </w:t>
      </w:r>
      <w:proofErr w:type="spellStart"/>
      <w:r w:rsidRPr="00321D69">
        <w:rPr>
          <w:rFonts w:ascii="Cambria Math" w:hAnsi="Cambria Math"/>
          <w:i/>
        </w:rPr>
        <w:t>decontam</w:t>
      </w:r>
      <w:proofErr w:type="spellEnd"/>
      <w:r w:rsidRPr="00321D69">
        <w:rPr>
          <w:rFonts w:ascii="Cambria Math" w:hAnsi="Cambria Math"/>
        </w:rPr>
        <w:t xml:space="preserve"> </w:t>
      </w:r>
      <w:r w:rsidRPr="00321D69">
        <w:rPr>
          <w:rFonts w:ascii="Cambria Math" w:hAnsi="Cambria Math"/>
          <w:i/>
        </w:rPr>
        <w:t>package</w:t>
      </w:r>
      <w:r w:rsidRPr="00321D69">
        <w:rPr>
          <w:rFonts w:ascii="Cambria Math" w:hAnsi="Cambria Math"/>
        </w:rPr>
        <w:t xml:space="preserve"> in R </w:t>
      </w:r>
      <w:r w:rsidRPr="00321D69">
        <w:rPr>
          <w:rFonts w:ascii="Cambria Math" w:hAnsi="Cambria Math"/>
        </w:rPr>
        <w:fldChar w:fldCharType="begin" w:fldLock="1"/>
      </w:r>
      <w:r w:rsidR="00760B7A">
        <w:rPr>
          <w:rFonts w:ascii="Cambria Math" w:hAnsi="Cambria Math"/>
        </w:rPr>
        <w:instrText>ADDIN CSL_CITATION {"citationItems":[{"id":"ITEM-1","itemData":{"DOI":"10.1101/221499","abstract":"Background: The accuracy of microbial community surveys based on marker-gene and metagenomic sequencing (MGS) suffers from the presence of contaminants - DNA sequences not truly present in the sample. Contaminants come from various sources, including reagents. Appropriate laboratory practices can reduce contamination, but do not eliminate it. Here we introduce decontam (https://github.com/benjjneb/decontam), an open-source R package that implements a statistical classification procedure that identifies contaminants in MGS data based on two widely reproduced patterns: contaminants appear at higher frequencies in low-concentration samples, and are often found in negative controls. Results: decontam classified amplicon sequence variants (ASVs) in a human oral dataset consistently with prior microscopic observations of the microbial taxa inhabiting that environment and previous reports of contaminant taxa. In metagenomics and marker-gene measurements of a dilution series, decontam substantially reduced technical variation arising from different sequencing protocols. The application of decontam to two recently published datasets corroborated and extended their conclusions that little evidence existed for an indigenous placenta microbiome, and that some low-frequency taxa seemingly associated with preterm birth were contaminants. Conclusions: decontam improves the quality of metagenomic and marker-gene sequencing by identifying and removing contaminant DNA sequences. decontam integrates easily with existing MGS workflows, and allows researchers to generate more accurate profiles of microbial communities at little to no additional cost.","author":[{"dropping-particle":"","family":"Davis","given":"Nicole M","non-dropping-particle":"","parse-names":false,"suffix":""},{"dropping-particle":"","family":"Proctor","given":"Diana","non-dropping-particle":"","parse-names":false,"suffix":""},{"dropping-particle":"","family":"Holmes","given":"Susan P","non-dropping-particle":"","parse-names":false,"suffix":""},{"dropping-particle":"","family":"Relman","given":"David A","non-dropping-particle":"","parse-names":false,"suffix":""},{"dropping-particle":"","family":"Callahan","given":"Benjamin J","non-dropping-particle":"","parse-names":false,"suffix":""}],"container-title":"bioRxiv","id":"ITEM-1","issued":{"date-parts":[["2017"]]},"page":"221499","title":"Simple statistical identification and removal of contaminant sequences in marker-gene and metagenomics data","type":"article-journal"},"uris":["http://www.mendeley.com/documents/?uuid=bb3e3c89-8658-4039-92c9-02f9d89d81fa"]}],"mendeley":{"formattedCitation":"[14]","plainTextFormattedCitation":"[14]","previouslyFormattedCitation":"[14]"},"properties":{"noteIndex":0},"schema":"https://github.com/citation-style-language/schema/raw/master/csl-citation.json"}</w:instrText>
      </w:r>
      <w:r w:rsidRPr="00321D69">
        <w:rPr>
          <w:rFonts w:ascii="Cambria Math" w:hAnsi="Cambria Math"/>
        </w:rPr>
        <w:fldChar w:fldCharType="separate"/>
      </w:r>
      <w:r w:rsidR="000F55E8" w:rsidRPr="000F55E8">
        <w:rPr>
          <w:rFonts w:ascii="Cambria Math" w:hAnsi="Cambria Math"/>
          <w:noProof/>
        </w:rPr>
        <w:t>[14]</w:t>
      </w:r>
      <w:r w:rsidRPr="00321D69">
        <w:rPr>
          <w:rFonts w:ascii="Cambria Math" w:hAnsi="Cambria Math"/>
        </w:rPr>
        <w:fldChar w:fldCharType="end"/>
      </w:r>
      <w:r w:rsidRPr="00321D69">
        <w:rPr>
          <w:rFonts w:ascii="Cambria Math" w:hAnsi="Cambria Math"/>
        </w:rPr>
        <w:t xml:space="preserve">. We removed any remaining “spurious ASV” defined as ASVs with </w:t>
      </w:r>
      <w:r w:rsidRPr="00321D69">
        <w:rPr>
          <w:rFonts w:ascii="Cambria Math" w:hAnsi="Cambria Math"/>
          <w:u w:val="single"/>
        </w:rPr>
        <w:t>&lt;</w:t>
      </w:r>
      <w:r w:rsidRPr="00321D69">
        <w:rPr>
          <w:rFonts w:ascii="Cambria Math" w:hAnsi="Cambria Math"/>
        </w:rPr>
        <w:t xml:space="preserve">10 reads across all biological specimens remaining in the dataset </w:t>
      </w:r>
      <w:r w:rsidRPr="00321D69">
        <w:rPr>
          <w:rFonts w:ascii="Cambria Math" w:hAnsi="Cambria Math"/>
        </w:rPr>
        <w:fldChar w:fldCharType="begin" w:fldLock="1"/>
      </w:r>
      <w:r w:rsidR="00760B7A">
        <w:rPr>
          <w:rFonts w:ascii="Cambria Math" w:hAnsi="Cambria Math"/>
        </w:rPr>
        <w:instrText>ADDIN CSL_CITATION {"citationItems":[{"id":"ITEM-1","itemData":{"DOI":"10.1186/s12866-020-01795-7","ISSN":"14712180","PMID":"32397992","abstract":"BACKGROUND: Careful consideration of experimental artefacts is required in order to successfully apply high-throughput 16S ribosomal ribonucleic acid (rRNA) gene sequencing technology. Here we introduce experimental design, quality control and \"denoising\" approaches for sequencing low biomass specimens. RESULTS: We found that bacterial biomass is a key driver of 16S rRNA gene sequencing profiles generated from bacterial mock communities and that the use of different deoxyribonucleic acid (DNA) extraction methods [DSP Virus/Pathogen Mini Kit® (Kit-QS) and ZymoBIOMICS DNA Miniprep Kit (Kit-ZB)] and storage buffers [PrimeStore® Molecular Transport medium (Primestore) and Skim-milk, Tryptone, Glucose and Glycerol (STGG)] further influence these profiles. Kit-QS better represented hard-to-lyse bacteria from bacterial mock communities compared to Kit-ZB. Primestore storage buffer yielded lower levels of background operational taxonomic units (OTUs) from low biomass bacterial mock community controls compared to STGG. In addition to bacterial mock community controls, we used technical repeats (nasopharyngeal and induced sputum processed in duplicate, triplicate or quadruplicate) to further evaluate the effect of specimen biomass and participant age at specimen collection on resultant sequencing profiles. We observed a positive correlation (r = 0.16) between specimen biomass and participant age at specimen collection: low biomass technical repeats (represented by &lt; 500 16S rRNA gene copies/μl) were primarily collected at &lt; 14 days of age. We found that low biomass technical repeats also produced higher alpha diversities (r = - 0.28); 16S rRNA gene profiles similar to no template controls (Primestore); and reduced sequencing reproducibility. Finally, we show that the use of statistical tools for in silico contaminant identification, as implemented through the decontam package in R, provides better representations of indigenous bacteria following decontamination. CONCLUSIONS: We provide insight into experimental design, quality control steps and \"denoising\" approaches for 16S rRNA gene high-throughput sequencing of low biomass specimens. We highlight the need for careful assessment of DNA extraction methods and storage buffers; sequence quality and reproducibility; and in silico identification of contaminant profiles in order to avoid spurious results.","author":[{"dropping-particle":"","family":"Claassen-Weitz","given":"Shantelle","non-dropping-particle":"","parse-names":false,"suffix":""},{"dropping-particle":"","family":"Gardner-Lubbe","given":"Sugnet","non-dropping-particle":"","parse-names":false,"suffix":""},{"dropping-particle":"","family":"Mwaikono","given":"Kilaza S.","non-dropping-particle":"","parse-names":false,"suffix":""},{"dropping-particle":"","family":"Toit","given":"Elloise","non-dropping-particle":"du","parse-names":false,"suffix":""},{"dropping-particle":"","family":"Zar","given":"Heather J.","non-dropping-particle":"","parse-names":false,"suffix":""},{"dropping-particle":"","family":"Nicol","given":"Mark P.","non-dropping-particle":"","parse-names":false,"suffix":""}],"container-title":"BMC microbiology","id":"ITEM-1","issue":"1","issued":{"date-parts":[["2020"]]},"page":"113","publisher":"BMC Microbiology","title":"Optimizing 16S rRNA gene profile analysis from low biomass nasopharyngeal and induced sputum specimens","type":"article-journal","volume":"20"},"uris":["http://www.mendeley.com/documents/?uuid=c9932287-9519-4ad5-be20-08076b9015f9"]}],"mendeley":{"formattedCitation":"[1]","plainTextFormattedCitation":"[1]","previouslyFormattedCitation":"[1]"},"properties":{"noteIndex":0},"schema":"https://github.com/citation-style-language/schema/raw/master/csl-citation.json"}</w:instrText>
      </w:r>
      <w:r w:rsidRPr="00321D69">
        <w:rPr>
          <w:rFonts w:ascii="Cambria Math" w:hAnsi="Cambria Math"/>
        </w:rPr>
        <w:fldChar w:fldCharType="separate"/>
      </w:r>
      <w:r w:rsidR="000F55E8" w:rsidRPr="000F55E8">
        <w:rPr>
          <w:rFonts w:ascii="Cambria Math" w:hAnsi="Cambria Math"/>
          <w:noProof/>
        </w:rPr>
        <w:t>[1]</w:t>
      </w:r>
      <w:r w:rsidRPr="00321D69">
        <w:rPr>
          <w:rFonts w:ascii="Cambria Math" w:hAnsi="Cambria Math"/>
        </w:rPr>
        <w:fldChar w:fldCharType="end"/>
      </w:r>
      <w:r w:rsidRPr="00321D69">
        <w:rPr>
          <w:rFonts w:ascii="Cambria Math" w:hAnsi="Cambria Math"/>
        </w:rPr>
        <w:t xml:space="preserve">. </w:t>
      </w:r>
    </w:p>
    <w:p w14:paraId="20CE52A7" w14:textId="77777777" w:rsidR="00321D69" w:rsidRDefault="00321D69" w:rsidP="003A02BE">
      <w:pPr>
        <w:spacing w:after="0" w:line="480" w:lineRule="auto"/>
        <w:contextualSpacing/>
        <w:jc w:val="both"/>
        <w:rPr>
          <w:rFonts w:ascii="Cambria Math" w:hAnsi="Cambria Math"/>
        </w:rPr>
      </w:pPr>
    </w:p>
    <w:p w14:paraId="4D09BCFE" w14:textId="18E49F42" w:rsidR="00321D69" w:rsidRPr="00C64EBE" w:rsidRDefault="00321D69" w:rsidP="00321D69">
      <w:pPr>
        <w:spacing w:after="0" w:line="480" w:lineRule="auto"/>
        <w:contextualSpacing/>
        <w:jc w:val="both"/>
        <w:rPr>
          <w:rFonts w:ascii="Cambria Math" w:hAnsi="Cambria Math"/>
          <w:b/>
          <w:bCs/>
        </w:rPr>
      </w:pPr>
      <w:r w:rsidRPr="00C64EBE">
        <w:rPr>
          <w:rFonts w:ascii="Cambria Math" w:hAnsi="Cambria Math"/>
          <w:b/>
          <w:bCs/>
        </w:rPr>
        <w:t>Construction of phylogenetic trees</w:t>
      </w:r>
    </w:p>
    <w:p w14:paraId="09A44062" w14:textId="596489B3" w:rsidR="00321D69" w:rsidRDefault="00321D69" w:rsidP="00321D69">
      <w:pPr>
        <w:spacing w:after="0" w:line="480" w:lineRule="auto"/>
        <w:jc w:val="both"/>
        <w:rPr>
          <w:rFonts w:ascii="Cambria Math" w:hAnsi="Cambria Math"/>
        </w:rPr>
      </w:pPr>
      <w:r w:rsidRPr="00C64EBE">
        <w:rPr>
          <w:rFonts w:ascii="Cambria Math" w:hAnsi="Cambria Math"/>
        </w:rPr>
        <w:t>We used full-length 16S rRNA gene sequences to build phylogenetic trees for the six most abundant bacterial genera detected from the “30-month dataset”. ASVs belonging to each of the respective genera and their neighbours were selected to build genus-level trees using the SILVA ACT (Alignment, Classification and Tree Service) tool (https://www.arb-silva.de/aligner/). The “program to use” was set to “</w:t>
      </w:r>
      <w:proofErr w:type="spellStart"/>
      <w:r w:rsidRPr="00C64EBE">
        <w:rPr>
          <w:rFonts w:ascii="Cambria Math" w:hAnsi="Cambria Math"/>
        </w:rPr>
        <w:t>RAxML</w:t>
      </w:r>
      <w:proofErr w:type="spellEnd"/>
      <w:r w:rsidRPr="00C64EBE">
        <w:rPr>
          <w:rFonts w:ascii="Cambria Math" w:hAnsi="Cambria Math"/>
        </w:rPr>
        <w:t xml:space="preserve">” and the “workflow” was set to “add to </w:t>
      </w:r>
      <w:proofErr w:type="gramStart"/>
      <w:r w:rsidRPr="00C64EBE">
        <w:rPr>
          <w:rFonts w:ascii="Cambria Math" w:hAnsi="Cambria Math"/>
        </w:rPr>
        <w:t>neighbours</w:t>
      </w:r>
      <w:proofErr w:type="gramEnd"/>
      <w:r w:rsidRPr="00C64EBE">
        <w:rPr>
          <w:rFonts w:ascii="Cambria Math" w:hAnsi="Cambria Math"/>
        </w:rPr>
        <w:t xml:space="preserve"> tree”. Trees were visualised using Interactive Tree Of Life (</w:t>
      </w:r>
      <w:proofErr w:type="spellStart"/>
      <w:r w:rsidRPr="00C64EBE">
        <w:rPr>
          <w:rFonts w:ascii="Cambria Math" w:hAnsi="Cambria Math"/>
        </w:rPr>
        <w:t>iTOL</w:t>
      </w:r>
      <w:proofErr w:type="spellEnd"/>
      <w:r w:rsidRPr="00C64EBE">
        <w:rPr>
          <w:rFonts w:ascii="Cambria Math" w:hAnsi="Cambria Math"/>
        </w:rPr>
        <w:t xml:space="preserve">) </w:t>
      </w:r>
      <w:r w:rsidRPr="00C64EBE">
        <w:rPr>
          <w:rFonts w:ascii="Cambria Math" w:hAnsi="Cambria Math"/>
        </w:rPr>
        <w:fldChar w:fldCharType="begin" w:fldLock="1"/>
      </w:r>
      <w:r w:rsidR="00760B7A">
        <w:rPr>
          <w:rFonts w:ascii="Cambria Math" w:hAnsi="Cambria Math"/>
        </w:rPr>
        <w:instrText>ADDIN CSL_CITATION {"citationItems":[{"id":"ITEM-1","itemData":{"author":[{"dropping-particle":"","family":"Letunic","given":"Ivica","non-dropping-particle":"","parse-names":false,"suffix":""},{"dropping-particle":"","family":"Bork","given":"Peer","non-dropping-particle":"","parse-names":false,"suffix":""}],"container-title":"Nucleic Acids Research","id":"ITEM-1","issue":"W1","issued":{"date-parts":[["2021"]]},"page":"W293-W296","publisher":"Oxford University Press","title":"Interactive Tree Of Life (iTOL) v5: an online tool for phylogenetic tree display and annotation","type":"article-journal","volume":"49"},"uris":["http://www.mendeley.com/documents/?uuid=f78f811a-1a54-4f4b-9d72-20b73e3520ac"]}],"mendeley":{"formattedCitation":"[15]","plainTextFormattedCitation":"[15]","previouslyFormattedCitation":"[15]"},"properties":{"noteIndex":0},"schema":"https://github.com/citation-style-language/schema/raw/master/csl-citation.json"}</w:instrText>
      </w:r>
      <w:r w:rsidRPr="00C64EBE">
        <w:rPr>
          <w:rFonts w:ascii="Cambria Math" w:hAnsi="Cambria Math"/>
        </w:rPr>
        <w:fldChar w:fldCharType="separate"/>
      </w:r>
      <w:r w:rsidR="000F55E8" w:rsidRPr="000F55E8">
        <w:rPr>
          <w:rFonts w:ascii="Cambria Math" w:hAnsi="Cambria Math"/>
          <w:noProof/>
        </w:rPr>
        <w:t>[15]</w:t>
      </w:r>
      <w:r w:rsidRPr="00C64EBE">
        <w:rPr>
          <w:rFonts w:ascii="Cambria Math" w:hAnsi="Cambria Math"/>
        </w:rPr>
        <w:fldChar w:fldCharType="end"/>
      </w:r>
      <w:r w:rsidRPr="00C64EBE">
        <w:rPr>
          <w:rFonts w:ascii="Cambria Math" w:hAnsi="Cambria Math"/>
        </w:rPr>
        <w:t xml:space="preserve">. Trees were used to verify the species-level taxonomy assignment via RDP </w:t>
      </w:r>
      <w:r w:rsidRPr="00C64EBE">
        <w:rPr>
          <w:rFonts w:ascii="Cambria Math" w:hAnsi="Cambria Math"/>
        </w:rPr>
        <w:fldChar w:fldCharType="begin" w:fldLock="1"/>
      </w:r>
      <w:r w:rsidR="00760B7A">
        <w:rPr>
          <w:rFonts w:ascii="Cambria Math" w:hAnsi="Cambria Math"/>
        </w:rPr>
        <w:instrText>ADDIN CSL_CITATION {"citationItems":[{"id":"ITEM-1","itemData":{"DOI":"10.1093/nar/gkt1244","ISSN":"03051048","PMID":"24288368","abstract":"Ribosomal Database Project (RDP; http://rdp.cme.msu.edu/) provides the research community with aligned and annotated rRNA gene sequence data, along with tools to allow researchers to analyze their own rRNA gene sequences in the RDP framework. RDP data and tools are utilized in fields as diverse as human health, microbial ecology, environmental microbiology, nucleic acid chemistry, taxonomy and phylogenetics. In addition to aligned and annotated collections of bacterial and archaeal small subunit rRNA genes, RDP now includes a collection of fungal large subunit rRNA genes. RDP tools, including Classifier and Aligner, have been updated to work with this new fungal collection. The use of high-throughput sequencing to characterize environmental microbial populations has exploded in the past several years, and as sequence technologies have improved, the sizes of environmental datasets have increased. With release 11, RDP is providing an expanded set of tools to facilitate analysis of high-throughput data, including both single-stranded and paired-end reads. In addition, most tools are now available as open source packages for download and local use by researchers with high-volume needs or who would like to develop custom analysis pipelines. © 2013 The Author(s). Published by Oxford University Press.","author":[{"dropping-particle":"","family":"Cole","given":"James R.","non-dropping-particle":"","parse-names":false,"suffix":""},{"dropping-particle":"","family":"Wang","given":"Qiong","non-dropping-particle":"","parse-names":false,"suffix":""},{"dropping-particle":"","family":"Fish","given":"Jordan A.","non-dropping-particle":"","parse-names":false,"suffix":""},{"dropping-particle":"","family":"Chai","given":"Benli","non-dropping-particle":"","parse-names":false,"suffix":""},{"dropping-particle":"","family":"McGarrell","given":"Donna M.","non-dropping-particle":"","parse-names":false,"suffix":""},{"dropping-particle":"","family":"Sun","given":"Yanni","non-dropping-particle":"","parse-names":false,"suffix":""},{"dropping-particle":"","family":"Brown","given":"C. Titus","non-dropping-particle":"","parse-names":false,"suffix":""},{"dropping-particle":"","family":"Porras-Alfaro","given":"Andrea","non-dropping-particle":"","parse-names":false,"suffix":""},{"dropping-particle":"","family":"Kuske","given":"Cheryl R.","non-dropping-particle":"","parse-names":false,"suffix":""},{"dropping-particle":"","family":"Tiedje","given":"James M.","non-dropping-particle":"","parse-names":false,"suffix":""}],"container-title":"Nucleic Acids Research","id":"ITEM-1","issue":"D1","issued":{"date-parts":[["2014"]]},"page":"633-642","title":"Ribosomal Database Project: Data and tools for high throughput rRNA analysis","type":"article-journal","volume":"42"},"uris":["http://www.mendeley.com/documents/?uuid=89087538-5dae-4d0e-a344-13e5b6bbb2e8"]}],"mendeley":{"formattedCitation":"[9]","plainTextFormattedCitation":"[9]","previouslyFormattedCitation":"[9]"},"properties":{"noteIndex":0},"schema":"https://github.com/citation-style-language/schema/raw/master/csl-citation.json"}</w:instrText>
      </w:r>
      <w:r w:rsidRPr="00C64EBE">
        <w:rPr>
          <w:rFonts w:ascii="Cambria Math" w:hAnsi="Cambria Math"/>
        </w:rPr>
        <w:fldChar w:fldCharType="separate"/>
      </w:r>
      <w:r w:rsidR="000F55E8" w:rsidRPr="000F55E8">
        <w:rPr>
          <w:rFonts w:ascii="Cambria Math" w:hAnsi="Cambria Math"/>
          <w:noProof/>
        </w:rPr>
        <w:t>[9]</w:t>
      </w:r>
      <w:r w:rsidRPr="00C64EBE">
        <w:rPr>
          <w:rFonts w:ascii="Cambria Math" w:hAnsi="Cambria Math"/>
        </w:rPr>
        <w:fldChar w:fldCharType="end"/>
      </w:r>
      <w:r w:rsidRPr="00C64EBE">
        <w:rPr>
          <w:rFonts w:ascii="Cambria Math" w:hAnsi="Cambria Math"/>
        </w:rPr>
        <w:t xml:space="preserve"> classifier implementation for DADA2 </w:t>
      </w:r>
      <w:r w:rsidRPr="00C64EBE">
        <w:rPr>
          <w:rFonts w:ascii="Cambria Math" w:hAnsi="Cambria Math"/>
        </w:rPr>
        <w:fldChar w:fldCharType="begin" w:fldLock="1"/>
      </w:r>
      <w:r w:rsidR="00760B7A">
        <w:rPr>
          <w:rFonts w:ascii="Cambria Math" w:hAnsi="Cambria Math"/>
        </w:rPr>
        <w:instrText>ADDIN CSL_CITATION {"citationItems":[{"id":"ITEM-1","itemData":{"URL":"https://zenodo.org/record/801828#.X7VWKs7itdg","author":[{"dropping-particle":"","family":"Callahan","given":"Benjamin J.","non-dropping-particle":"","parse-names":false,"suffix":""}],"container-title":"Zenodo","id":"ITEM-1","issued":{"date-parts":[["2017"]]},"title":"RDP taxonomic training data formatted for DADA2 (RDP trainset 16/release 11.5)","type":"webpage"},"uris":["http://www.mendeley.com/documents/?uuid=fcdb4c9e-5a2b-4db8-94ce-f04e3fbc61f7"]}],"mendeley":{"formattedCitation":"[10]","plainTextFormattedCitation":"[10]","previouslyFormattedCitation":"[10]"},"properties":{"noteIndex":0},"schema":"https://github.com/citation-style-language/schema/raw/master/csl-citation.json"}</w:instrText>
      </w:r>
      <w:r w:rsidRPr="00C64EBE">
        <w:rPr>
          <w:rFonts w:ascii="Cambria Math" w:hAnsi="Cambria Math"/>
        </w:rPr>
        <w:fldChar w:fldCharType="separate"/>
      </w:r>
      <w:r w:rsidR="000F55E8" w:rsidRPr="000F55E8">
        <w:rPr>
          <w:rFonts w:ascii="Cambria Math" w:hAnsi="Cambria Math"/>
          <w:noProof/>
        </w:rPr>
        <w:t>[10]</w:t>
      </w:r>
      <w:r w:rsidRPr="00C64EBE">
        <w:rPr>
          <w:rFonts w:ascii="Cambria Math" w:hAnsi="Cambria Math"/>
        </w:rPr>
        <w:fldChar w:fldCharType="end"/>
      </w:r>
      <w:r w:rsidRPr="00C64EBE">
        <w:rPr>
          <w:rFonts w:ascii="Cambria Math" w:hAnsi="Cambria Math"/>
        </w:rPr>
        <w:t xml:space="preserve"> (</w:t>
      </w:r>
      <w:proofErr w:type="spellStart"/>
      <w:r w:rsidRPr="00C64EBE">
        <w:rPr>
          <w:rFonts w:ascii="Cambria Math" w:hAnsi="Cambria Math"/>
        </w:rPr>
        <w:t>taxassignment</w:t>
      </w:r>
      <w:proofErr w:type="spellEnd"/>
      <w:r w:rsidRPr="00C64EBE">
        <w:rPr>
          <w:rFonts w:ascii="Cambria Math" w:hAnsi="Cambria Math"/>
        </w:rPr>
        <w:t xml:space="preserve"> = ‘</w:t>
      </w:r>
      <w:proofErr w:type="spellStart"/>
      <w:r w:rsidRPr="00C64EBE">
        <w:rPr>
          <w:rFonts w:ascii="Cambria Math" w:hAnsi="Cambria Math"/>
        </w:rPr>
        <w:t>rdp</w:t>
      </w:r>
      <w:proofErr w:type="spellEnd"/>
      <w:r w:rsidRPr="00C64EBE">
        <w:rPr>
          <w:rFonts w:ascii="Cambria Math" w:hAnsi="Cambria Math"/>
        </w:rPr>
        <w:t xml:space="preserve">’) and SILVA version 138 (reference = SILVA 138 </w:t>
      </w:r>
      <w:r w:rsidRPr="00C64EBE">
        <w:rPr>
          <w:rFonts w:ascii="Cambria Math" w:hAnsi="Cambria Math"/>
        </w:rPr>
        <w:fldChar w:fldCharType="begin" w:fldLock="1"/>
      </w:r>
      <w:r w:rsidR="00760B7A">
        <w:rPr>
          <w:rFonts w:ascii="Cambria Math" w:hAnsi="Cambria Math"/>
        </w:rPr>
        <w:instrText>ADDIN CSL_CITATION {"citationItems":[{"id":"ITEM-1","itemData":{"DOI":"10.1093/nar/gks1219","ISSN":"1362-4962","PMID":"23193283","abstract":"SILVA (from Latin silva, forest, http://www.arb-silva.de) is a comprehensive web resource for up to date, quality-controlled databases of aligned ribosomal RNA (rRNA) gene sequences from the Bacteria, Archaea and Eukaryota domains and supplementary online services. The referred database release 111 (July 2012) contains 3 194 778 small subunit and 288 717 large subunit rRNA gene sequences. Since the initial description of the project, substantial new features have been introduced, including advanced quality control procedures, an improved rRNA gene aligner, online tools for probe and primer evaluation and optimized browsing, searching and downloading on the website. Furthermore, the extensively curated SILVA taxonomy and the new non-redundant SILVA datasets provide an ideal reference for high-throughput classification of data from next-generation sequencing approaches.","author":[{"dropping-particle":"","family":"Quast","given":"Christian","non-dropping-particle":"","parse-names":false,"suffix":""},{"dropping-particle":"","family":"Pruesse","given":"Elmar","non-dropping-particle":"","parse-names":false,"suffix":""},{"dropping-particle":"","family":"Yilmaz","given":"Pelin","non-dropping-particle":"","parse-names":false,"suffix":""},{"dropping-particle":"","family":"Gerken","given":"Jan","non-dropping-particle":"","parse-names":false,"suffix":""},{"dropping-particle":"","family":"Schweer","given":"Timmy","non-dropping-particle":"","parse-names":false,"suffix":""},{"dropping-particle":"","family":"Yarza","given":"Pablo","non-dropping-particle":"","parse-names":false,"suffix":""},{"dropping-particle":"","family":"Peplies","given":"Jörg","non-dropping-particle":"","parse-names":false,"suffix":""},{"dropping-particle":"","family":"Glöckner","given":"Frank Oliver","non-dropping-particle":"","parse-names":false,"suffix":""}],"container-title":"Nucleic acids research","id":"ITEM-1","issue":"Database issue","issued":{"date-parts":[["2013","1"]]},"page":"D590-6","title":"The SILVA ribosomal RNA gene database project: improved data processing and web-based tools.","type":"article-journal","volume":"41"},"uris":["http://www.mendeley.com/documents/?uuid=fb6d27d6-02d0-422e-ad2c-6dd9fe6625cc"]}],"mendeley":{"formattedCitation":"[11]","plainTextFormattedCitation":"[11]","previouslyFormattedCitation":"[11]"},"properties":{"noteIndex":0},"schema":"https://github.com/citation-style-language/schema/raw/master/csl-citation.json"}</w:instrText>
      </w:r>
      <w:r w:rsidRPr="00C64EBE">
        <w:rPr>
          <w:rFonts w:ascii="Cambria Math" w:hAnsi="Cambria Math"/>
        </w:rPr>
        <w:fldChar w:fldCharType="separate"/>
      </w:r>
      <w:r w:rsidR="000F55E8" w:rsidRPr="000F55E8">
        <w:rPr>
          <w:rFonts w:ascii="Cambria Math" w:hAnsi="Cambria Math"/>
          <w:noProof/>
        </w:rPr>
        <w:t>[11]</w:t>
      </w:r>
      <w:r w:rsidRPr="00C64EBE">
        <w:rPr>
          <w:rFonts w:ascii="Cambria Math" w:hAnsi="Cambria Math"/>
        </w:rPr>
        <w:fldChar w:fldCharType="end"/>
      </w:r>
      <w:r w:rsidRPr="00C64EBE">
        <w:rPr>
          <w:rFonts w:ascii="Cambria Math" w:hAnsi="Cambria Math"/>
        </w:rPr>
        <w:t xml:space="preserve">; species = SILVA 138) </w:t>
      </w:r>
      <w:r w:rsidRPr="00C64EBE">
        <w:rPr>
          <w:rFonts w:ascii="Cambria Math" w:hAnsi="Cambria Math"/>
        </w:rPr>
        <w:fldChar w:fldCharType="begin" w:fldLock="1"/>
      </w:r>
      <w:r w:rsidR="00760B7A">
        <w:rPr>
          <w:rFonts w:ascii="Cambria Math" w:hAnsi="Cambria Math"/>
        </w:rPr>
        <w:instrText>ADDIN CSL_CITATION {"citationItems":[{"id":"ITEM-1","itemData":{"DOI":"10.1093/nar/gks1219","ISSN":"1362-4962","PMID":"23193283","abstract":"SILVA (from Latin silva, forest, http://www.arb-silva.de) is a comprehensive web resource for up to date, quality-controlled databases of aligned ribosomal RNA (rRNA) gene sequences from the Bacteria, Archaea and Eukaryota domains and supplementary online services. The referred database release 111 (July 2012) contains 3 194 778 small subunit and 288 717 large subunit rRNA gene sequences. Since the initial description of the project, substantial new features have been introduced, including advanced quality control procedures, an improved rRNA gene aligner, online tools for probe and primer evaluation and optimized browsing, searching and downloading on the website. Furthermore, the extensively curated SILVA taxonomy and the new non-redundant SILVA datasets provide an ideal reference for high-throughput classification of data from next-generation sequencing approaches.","author":[{"dropping-particle":"","family":"Quast","given":"Christian","non-dropping-particle":"","parse-names":false,"suffix":""},{"dropping-particle":"","family":"Pruesse","given":"Elmar","non-dropping-particle":"","parse-names":false,"suffix":""},{"dropping-particle":"","family":"Yilmaz","given":"Pelin","non-dropping-particle":"","parse-names":false,"suffix":""},{"dropping-particle":"","family":"Gerken","given":"Jan","non-dropping-particle":"","parse-names":false,"suffix":""},{"dropping-particle":"","family":"Schweer","given":"Timmy","non-dropping-particle":"","parse-names":false,"suffix":""},{"dropping-particle":"","family":"Yarza","given":"Pablo","non-dropping-particle":"","parse-names":false,"suffix":""},{"dropping-particle":"","family":"Peplies","given":"Jörg","non-dropping-particle":"","parse-names":false,"suffix":""},{"dropping-particle":"","family":"Glöckner","given":"Frank Oliver","non-dropping-particle":"","parse-names":false,"suffix":""}],"container-title":"Nucleic acids research","id":"ITEM-1","issue":"Database issue","issued":{"date-parts":[["2013","1"]]},"page":"D590-6","title":"The SILVA ribosomal RNA gene database project: improved data processing and web-based tools.","type":"article-journal","volume":"41"},"uris":["http://www.mendeley.com/documents/?uuid=fb6d27d6-02d0-422e-ad2c-6dd9fe6625cc"]}],"mendeley":{"formattedCitation":"[11]","plainTextFormattedCitation":"[11]","previouslyFormattedCitation":"[11]"},"properties":{"noteIndex":0},"schema":"https://github.com/citation-style-language/schema/raw/master/csl-citation.json"}</w:instrText>
      </w:r>
      <w:r w:rsidRPr="00C64EBE">
        <w:rPr>
          <w:rFonts w:ascii="Cambria Math" w:hAnsi="Cambria Math"/>
        </w:rPr>
        <w:fldChar w:fldCharType="separate"/>
      </w:r>
      <w:r w:rsidR="000F55E8" w:rsidRPr="000F55E8">
        <w:rPr>
          <w:rFonts w:ascii="Cambria Math" w:hAnsi="Cambria Math"/>
          <w:noProof/>
        </w:rPr>
        <w:t>[11]</w:t>
      </w:r>
      <w:r w:rsidRPr="00C64EBE">
        <w:rPr>
          <w:rFonts w:ascii="Cambria Math" w:hAnsi="Cambria Math"/>
        </w:rPr>
        <w:fldChar w:fldCharType="end"/>
      </w:r>
      <w:r w:rsidRPr="00C64EBE">
        <w:rPr>
          <w:rFonts w:ascii="Cambria Math" w:hAnsi="Cambria Math"/>
        </w:rPr>
        <w:t>.</w:t>
      </w:r>
    </w:p>
    <w:p w14:paraId="45440C1A" w14:textId="77777777" w:rsidR="00D05994" w:rsidRDefault="00D05994" w:rsidP="00321D69">
      <w:pPr>
        <w:spacing w:after="0" w:line="480" w:lineRule="auto"/>
        <w:jc w:val="both"/>
        <w:rPr>
          <w:rFonts w:ascii="Cambria Math" w:hAnsi="Cambria Math"/>
        </w:rPr>
      </w:pPr>
    </w:p>
    <w:p w14:paraId="52093C46" w14:textId="52201341" w:rsidR="005302DD" w:rsidRPr="005302DD" w:rsidRDefault="005302DD" w:rsidP="00321D69">
      <w:pPr>
        <w:spacing w:after="0" w:line="480" w:lineRule="auto"/>
        <w:contextualSpacing/>
        <w:jc w:val="both"/>
        <w:rPr>
          <w:rFonts w:ascii="Cambria Math" w:hAnsi="Cambria Math"/>
          <w:b/>
          <w:bCs/>
        </w:rPr>
      </w:pPr>
      <w:r>
        <w:rPr>
          <w:rFonts w:ascii="Cambria Math" w:hAnsi="Cambria Math"/>
          <w:b/>
          <w:bCs/>
        </w:rPr>
        <w:t xml:space="preserve">Statistical </w:t>
      </w:r>
      <w:r w:rsidR="000C7A81">
        <w:rPr>
          <w:rFonts w:ascii="Cambria Math" w:hAnsi="Cambria Math"/>
          <w:b/>
          <w:bCs/>
        </w:rPr>
        <w:t>analyses</w:t>
      </w:r>
    </w:p>
    <w:p w14:paraId="52CD6F15" w14:textId="50141AC1" w:rsidR="00385C10" w:rsidRDefault="00645FFD" w:rsidP="005F5290">
      <w:pPr>
        <w:spacing w:after="0" w:line="480" w:lineRule="auto"/>
        <w:jc w:val="both"/>
        <w:rPr>
          <w:rFonts w:ascii="Cambria Math" w:hAnsi="Cambria Math"/>
          <w:bCs/>
          <w:color w:val="0D0D0D" w:themeColor="text1" w:themeTint="F2"/>
        </w:rPr>
      </w:pPr>
      <w:r>
        <w:rPr>
          <w:rFonts w:ascii="Cambria Math" w:hAnsi="Cambria Math"/>
        </w:rPr>
        <w:t>We</w:t>
      </w:r>
      <w:r w:rsidRPr="00F96EB1">
        <w:rPr>
          <w:rFonts w:ascii="Cambria Math" w:hAnsi="Cambria Math"/>
        </w:rPr>
        <w:t xml:space="preserve"> investigated </w:t>
      </w:r>
      <w:r>
        <w:rPr>
          <w:rFonts w:ascii="Cambria Math" w:hAnsi="Cambria Math"/>
        </w:rPr>
        <w:t xml:space="preserve">associations between covariates and </w:t>
      </w:r>
      <w:r w:rsidR="002C4708">
        <w:rPr>
          <w:rFonts w:ascii="Cambria Math" w:hAnsi="Cambria Math"/>
        </w:rPr>
        <w:t>within-specimen (</w:t>
      </w:r>
      <w:r>
        <w:rPr>
          <w:rFonts w:ascii="Cambria Math" w:hAnsi="Cambria Math"/>
        </w:rPr>
        <w:t>alpha</w:t>
      </w:r>
      <w:r w:rsidR="002C4708">
        <w:rPr>
          <w:rFonts w:ascii="Cambria Math" w:hAnsi="Cambria Math"/>
        </w:rPr>
        <w:t>)</w:t>
      </w:r>
      <w:r>
        <w:rPr>
          <w:rFonts w:ascii="Cambria Math" w:hAnsi="Cambria Math"/>
        </w:rPr>
        <w:t xml:space="preserve"> diversity </w:t>
      </w:r>
      <w:r w:rsidRPr="00CA7F1D">
        <w:rPr>
          <w:rFonts w:ascii="Cambria Math" w:hAnsi="Cambria Math"/>
        </w:rPr>
        <w:t>a</w:t>
      </w:r>
      <w:r>
        <w:rPr>
          <w:rFonts w:ascii="Cambria Math" w:hAnsi="Cambria Math"/>
        </w:rPr>
        <w:t>cross</w:t>
      </w:r>
      <w:r w:rsidRPr="00CA7F1D">
        <w:rPr>
          <w:rFonts w:ascii="Cambria Math" w:hAnsi="Cambria Math"/>
          <w:color w:val="0D0D0D" w:themeColor="text1" w:themeTint="F2"/>
        </w:rPr>
        <w:t xml:space="preserve"> three specimen collection intervals [interval A: </w:t>
      </w:r>
      <w:r>
        <w:rPr>
          <w:rFonts w:ascii="Cambria Math" w:hAnsi="Cambria Math"/>
          <w:color w:val="0D0D0D" w:themeColor="text1" w:themeTint="F2"/>
        </w:rPr>
        <w:t>1</w:t>
      </w:r>
      <w:r w:rsidRPr="00CA7F1D">
        <w:rPr>
          <w:rFonts w:ascii="Cambria Math" w:hAnsi="Cambria Math"/>
          <w:color w:val="0D0D0D" w:themeColor="text1" w:themeTint="F2"/>
        </w:rPr>
        <w:t xml:space="preserve"> to </w:t>
      </w:r>
      <w:r>
        <w:rPr>
          <w:rFonts w:ascii="Cambria Math" w:hAnsi="Cambria Math"/>
          <w:color w:val="0D0D0D" w:themeColor="text1" w:themeTint="F2"/>
        </w:rPr>
        <w:t>3</w:t>
      </w:r>
      <w:r w:rsidRPr="00CA7F1D">
        <w:rPr>
          <w:rFonts w:ascii="Cambria Math" w:hAnsi="Cambria Math"/>
          <w:color w:val="0D0D0D" w:themeColor="text1" w:themeTint="F2"/>
        </w:rPr>
        <w:t xml:space="preserve"> months (</w:t>
      </w:r>
      <w:r>
        <w:rPr>
          <w:rFonts w:ascii="Cambria Math" w:hAnsi="Cambria Math"/>
          <w:color w:val="0D0D0D" w:themeColor="text1" w:themeTint="F2"/>
        </w:rPr>
        <w:t>M</w:t>
      </w:r>
      <w:r w:rsidRPr="00CA7F1D">
        <w:rPr>
          <w:rFonts w:ascii="Cambria Math" w:hAnsi="Cambria Math"/>
          <w:color w:val="0D0D0D" w:themeColor="text1" w:themeTint="F2"/>
        </w:rPr>
        <w:t>01-</w:t>
      </w:r>
      <w:r>
        <w:rPr>
          <w:rFonts w:ascii="Cambria Math" w:hAnsi="Cambria Math"/>
          <w:color w:val="0D0D0D" w:themeColor="text1" w:themeTint="F2"/>
        </w:rPr>
        <w:t>M</w:t>
      </w:r>
      <w:r w:rsidRPr="00CA7F1D">
        <w:rPr>
          <w:rFonts w:ascii="Cambria Math" w:hAnsi="Cambria Math"/>
          <w:color w:val="0D0D0D" w:themeColor="text1" w:themeTint="F2"/>
        </w:rPr>
        <w:t xml:space="preserve">03), interval B: </w:t>
      </w:r>
      <w:r>
        <w:rPr>
          <w:rFonts w:ascii="Cambria Math" w:hAnsi="Cambria Math"/>
          <w:color w:val="0D0D0D" w:themeColor="text1" w:themeTint="F2"/>
        </w:rPr>
        <w:t>4</w:t>
      </w:r>
      <w:r w:rsidRPr="00CA7F1D">
        <w:rPr>
          <w:rFonts w:ascii="Cambria Math" w:hAnsi="Cambria Math"/>
          <w:color w:val="0D0D0D" w:themeColor="text1" w:themeTint="F2"/>
        </w:rPr>
        <w:t xml:space="preserve"> to </w:t>
      </w:r>
      <w:r>
        <w:rPr>
          <w:rFonts w:ascii="Cambria Math" w:hAnsi="Cambria Math"/>
          <w:color w:val="0D0D0D" w:themeColor="text1" w:themeTint="F2"/>
        </w:rPr>
        <w:t>6</w:t>
      </w:r>
      <w:r w:rsidRPr="00CA7F1D">
        <w:rPr>
          <w:rFonts w:ascii="Cambria Math" w:hAnsi="Cambria Math"/>
          <w:color w:val="0D0D0D" w:themeColor="text1" w:themeTint="F2"/>
        </w:rPr>
        <w:t xml:space="preserve"> months (</w:t>
      </w:r>
      <w:r>
        <w:rPr>
          <w:rFonts w:ascii="Cambria Math" w:hAnsi="Cambria Math"/>
          <w:color w:val="0D0D0D" w:themeColor="text1" w:themeTint="F2"/>
        </w:rPr>
        <w:t>M</w:t>
      </w:r>
      <w:r w:rsidRPr="00CA7F1D">
        <w:rPr>
          <w:rFonts w:ascii="Cambria Math" w:hAnsi="Cambria Math"/>
          <w:color w:val="0D0D0D" w:themeColor="text1" w:themeTint="F2"/>
        </w:rPr>
        <w:t>04-</w:t>
      </w:r>
      <w:r>
        <w:rPr>
          <w:rFonts w:ascii="Cambria Math" w:hAnsi="Cambria Math"/>
          <w:color w:val="0D0D0D" w:themeColor="text1" w:themeTint="F2"/>
        </w:rPr>
        <w:t>M</w:t>
      </w:r>
      <w:r w:rsidRPr="00CA7F1D">
        <w:rPr>
          <w:rFonts w:ascii="Cambria Math" w:hAnsi="Cambria Math"/>
          <w:color w:val="0D0D0D" w:themeColor="text1" w:themeTint="F2"/>
        </w:rPr>
        <w:t xml:space="preserve">06), and interval C: </w:t>
      </w:r>
      <w:r>
        <w:rPr>
          <w:rFonts w:ascii="Cambria Math" w:hAnsi="Cambria Math"/>
          <w:color w:val="0D0D0D" w:themeColor="text1" w:themeTint="F2"/>
        </w:rPr>
        <w:t>7</w:t>
      </w:r>
      <w:r w:rsidRPr="00CA7F1D">
        <w:rPr>
          <w:rFonts w:ascii="Cambria Math" w:hAnsi="Cambria Math"/>
          <w:color w:val="0D0D0D" w:themeColor="text1" w:themeTint="F2"/>
        </w:rPr>
        <w:t xml:space="preserve"> to </w:t>
      </w:r>
      <w:r>
        <w:rPr>
          <w:rFonts w:ascii="Cambria Math" w:hAnsi="Cambria Math"/>
          <w:color w:val="0D0D0D" w:themeColor="text1" w:themeTint="F2"/>
        </w:rPr>
        <w:t>12</w:t>
      </w:r>
      <w:r w:rsidRPr="00CA7F1D">
        <w:rPr>
          <w:rFonts w:ascii="Cambria Math" w:hAnsi="Cambria Math"/>
          <w:color w:val="0D0D0D" w:themeColor="text1" w:themeTint="F2"/>
        </w:rPr>
        <w:t xml:space="preserve"> months (</w:t>
      </w:r>
      <w:r>
        <w:rPr>
          <w:rFonts w:ascii="Cambria Math" w:hAnsi="Cambria Math"/>
          <w:color w:val="0D0D0D" w:themeColor="text1" w:themeTint="F2"/>
        </w:rPr>
        <w:t>M</w:t>
      </w:r>
      <w:r w:rsidRPr="00CA7F1D">
        <w:rPr>
          <w:rFonts w:ascii="Cambria Math" w:hAnsi="Cambria Math"/>
          <w:color w:val="0D0D0D" w:themeColor="text1" w:themeTint="F2"/>
        </w:rPr>
        <w:t>07-</w:t>
      </w:r>
      <w:r>
        <w:rPr>
          <w:rFonts w:ascii="Cambria Math" w:hAnsi="Cambria Math"/>
          <w:color w:val="0D0D0D" w:themeColor="text1" w:themeTint="F2"/>
        </w:rPr>
        <w:t>M</w:t>
      </w:r>
      <w:r w:rsidRPr="00CA7F1D">
        <w:rPr>
          <w:rFonts w:ascii="Cambria Math" w:hAnsi="Cambria Math"/>
          <w:color w:val="0D0D0D" w:themeColor="text1" w:themeTint="F2"/>
        </w:rPr>
        <w:t>12)]</w:t>
      </w:r>
      <w:r w:rsidR="008840F2">
        <w:rPr>
          <w:rFonts w:ascii="Cambria Math" w:hAnsi="Cambria Math"/>
          <w:color w:val="0D0D0D" w:themeColor="text1" w:themeTint="F2"/>
        </w:rPr>
        <w:t xml:space="preserve">. </w:t>
      </w:r>
      <w:r w:rsidR="005F5290" w:rsidRPr="0020261E">
        <w:rPr>
          <w:rFonts w:ascii="Cambria Math" w:hAnsi="Cambria Math"/>
          <w:bCs/>
          <w:color w:val="0D0D0D" w:themeColor="text1" w:themeTint="F2"/>
        </w:rPr>
        <w:t xml:space="preserve">We built Mixed Linear Models (MLMs) to investigate associations between </w:t>
      </w:r>
      <w:r w:rsidR="00A86418">
        <w:rPr>
          <w:rFonts w:ascii="Cambria Math" w:hAnsi="Cambria Math"/>
          <w:bCs/>
          <w:color w:val="0D0D0D" w:themeColor="text1" w:themeTint="F2"/>
        </w:rPr>
        <w:t>alpha</w:t>
      </w:r>
      <w:r w:rsidR="005F5290" w:rsidRPr="0020261E">
        <w:rPr>
          <w:rFonts w:ascii="Cambria Math" w:hAnsi="Cambria Math"/>
          <w:bCs/>
          <w:color w:val="0D0D0D" w:themeColor="text1" w:themeTint="F2"/>
        </w:rPr>
        <w:t xml:space="preserve"> diversity (Shannon diversity index </w:t>
      </w:r>
      <w:r w:rsidR="005F5290" w:rsidRPr="0020261E">
        <w:rPr>
          <w:rFonts w:ascii="Cambria Math" w:hAnsi="Cambria Math"/>
          <w:color w:val="0D0D0D" w:themeColor="text1" w:themeTint="F2"/>
        </w:rPr>
        <w:fldChar w:fldCharType="begin" w:fldLock="1"/>
      </w:r>
      <w:r w:rsidR="00760B7A">
        <w:rPr>
          <w:rFonts w:ascii="Cambria Math" w:hAnsi="Cambria Math"/>
          <w:color w:val="0D0D0D" w:themeColor="text1" w:themeTint="F2"/>
        </w:rPr>
        <w:instrText>ADDIN CSL_CITATION {"citationItems":[{"id":"ITEM-1","itemData":{"author":[{"dropping-particle":"","family":"Shannon","given":"C.E.","non-dropping-particle":"","parse-names":false,"suffix":""}],"container-title":"The Bell System Technical Journal","id":"ITEM-1","issued":{"date-parts":[["1948"]]},"page":"379-423","title":"A Mathematical Theory of Communication","type":"article-journal","volume":"27"},"uris":["http://www.mendeley.com/documents/?uuid=0db2059e-241c-4327-b69c-99dacfd4c4e1"]}],"mendeley":{"formattedCitation":"[16]","plainTextFormattedCitation":"[16]","previouslyFormattedCitation":"[16]"},"properties":{"noteIndex":0},"schema":"https://github.com/citation-style-language/schema/raw/master/csl-citation.json"}</w:instrText>
      </w:r>
      <w:r w:rsidR="005F5290" w:rsidRPr="0020261E">
        <w:rPr>
          <w:rFonts w:ascii="Cambria Math" w:hAnsi="Cambria Math"/>
          <w:color w:val="0D0D0D" w:themeColor="text1" w:themeTint="F2"/>
        </w:rPr>
        <w:fldChar w:fldCharType="separate"/>
      </w:r>
      <w:r w:rsidR="000F55E8" w:rsidRPr="000F55E8">
        <w:rPr>
          <w:rFonts w:ascii="Cambria Math" w:hAnsi="Cambria Math"/>
          <w:noProof/>
          <w:color w:val="0D0D0D" w:themeColor="text1" w:themeTint="F2"/>
        </w:rPr>
        <w:t>[16]</w:t>
      </w:r>
      <w:r w:rsidR="005F5290" w:rsidRPr="0020261E">
        <w:rPr>
          <w:rFonts w:ascii="Cambria Math" w:hAnsi="Cambria Math"/>
          <w:color w:val="0D0D0D" w:themeColor="text1" w:themeTint="F2"/>
        </w:rPr>
        <w:fldChar w:fldCharType="end"/>
      </w:r>
      <w:r w:rsidR="005F5290" w:rsidRPr="0020261E">
        <w:rPr>
          <w:rFonts w:ascii="Cambria Math" w:hAnsi="Cambria Math"/>
          <w:bCs/>
          <w:color w:val="0D0D0D" w:themeColor="text1" w:themeTint="F2"/>
        </w:rPr>
        <w:t xml:space="preserve"> or Chao1 diversity </w:t>
      </w:r>
      <w:r w:rsidR="005F5290" w:rsidRPr="0020261E">
        <w:rPr>
          <w:rFonts w:ascii="Cambria Math" w:hAnsi="Cambria Math"/>
          <w:bCs/>
          <w:color w:val="0D0D0D" w:themeColor="text1" w:themeTint="F2"/>
        </w:rPr>
        <w:fldChar w:fldCharType="begin" w:fldLock="1"/>
      </w:r>
      <w:r w:rsidR="00760B7A">
        <w:rPr>
          <w:rFonts w:ascii="Cambria Math" w:hAnsi="Cambria Math"/>
          <w:bCs/>
          <w:color w:val="0D0D0D" w:themeColor="text1" w:themeTint="F2"/>
        </w:rPr>
        <w:instrText>ADDIN CSL_CITATION {"citationItems":[{"id":"ITEM-1","itemData":{"ISBN":"0006-341X (Print)\\r0006-341X (Linking)","ISSN":"2039-7283","PMID":"3427163","abstract":"We present here a 45-year-old male with no past medical problem who presented with palpitations. He was found to have supraventricular tachycardia intractable to medical therapy. Later his rhythm converted to junctional tachycardia. Further workup revealed hemochromatosis to be primary etiology causing the arrhythmia. The low index of suspicion for additional workup is key to diagnosis and successful outcome.","author":[{"dropping-particle":"","family":"Chao","given":"Anne","non-dropping-particle":"","parse-names":false,"suffix":""}],"container-title":"Biometrics","id":"ITEM-1","issue":"4","issued":{"date-parts":[["1987"]]},"page":"783-791","title":"Estimating the Population Size for Capture-Recapture Data with Unequal Catchability","type":"article-journal","volume":"43"},"uris":["http://www.mendeley.com/documents/?uuid=76ed74bf-131d-4989-b8ab-bfb7c4cd01df"]}],"mendeley":{"formattedCitation":"[17]","plainTextFormattedCitation":"[17]","previouslyFormattedCitation":"[17]"},"properties":{"noteIndex":0},"schema":"https://github.com/citation-style-language/schema/raw/master/csl-citation.json"}</w:instrText>
      </w:r>
      <w:r w:rsidR="005F5290" w:rsidRPr="0020261E">
        <w:rPr>
          <w:rFonts w:ascii="Cambria Math" w:hAnsi="Cambria Math"/>
          <w:bCs/>
          <w:color w:val="0D0D0D" w:themeColor="text1" w:themeTint="F2"/>
        </w:rPr>
        <w:fldChar w:fldCharType="separate"/>
      </w:r>
      <w:r w:rsidR="000F55E8" w:rsidRPr="000F55E8">
        <w:rPr>
          <w:rFonts w:ascii="Cambria Math" w:hAnsi="Cambria Math"/>
          <w:bCs/>
          <w:noProof/>
          <w:color w:val="0D0D0D" w:themeColor="text1" w:themeTint="F2"/>
        </w:rPr>
        <w:t>[17]</w:t>
      </w:r>
      <w:r w:rsidR="005F5290" w:rsidRPr="0020261E">
        <w:rPr>
          <w:rFonts w:ascii="Cambria Math" w:hAnsi="Cambria Math"/>
          <w:bCs/>
          <w:color w:val="0D0D0D" w:themeColor="text1" w:themeTint="F2"/>
        </w:rPr>
        <w:fldChar w:fldCharType="end"/>
      </w:r>
      <w:r w:rsidR="005F5290" w:rsidRPr="0020261E">
        <w:rPr>
          <w:rFonts w:ascii="Cambria Math" w:hAnsi="Cambria Math"/>
          <w:bCs/>
          <w:color w:val="0D0D0D" w:themeColor="text1" w:themeTint="F2"/>
        </w:rPr>
        <w:t xml:space="preserve">) and covariates via the python package </w:t>
      </w:r>
      <w:proofErr w:type="spellStart"/>
      <w:r w:rsidR="005F5290" w:rsidRPr="0020261E">
        <w:rPr>
          <w:rFonts w:ascii="Cambria Math" w:hAnsi="Cambria Math"/>
          <w:bCs/>
          <w:color w:val="0D0D0D" w:themeColor="text1" w:themeTint="F2"/>
        </w:rPr>
        <w:t>statsmodels</w:t>
      </w:r>
      <w:proofErr w:type="spellEnd"/>
      <w:r w:rsidR="005F5290" w:rsidRPr="0020261E">
        <w:rPr>
          <w:rFonts w:ascii="Cambria Math" w:hAnsi="Cambria Math"/>
          <w:bCs/>
          <w:color w:val="0D0D0D" w:themeColor="text1" w:themeTint="F2"/>
        </w:rPr>
        <w:t xml:space="preserve"> version 0.12.2 (https://www.statsmodels.org/stable/index.html). For each target covariate, the fixed effects included the covariate, </w:t>
      </w:r>
      <w:r w:rsidR="007F3322">
        <w:rPr>
          <w:rFonts w:ascii="Cambria Math" w:hAnsi="Cambria Math"/>
          <w:bCs/>
          <w:color w:val="0D0D0D" w:themeColor="text1" w:themeTint="F2"/>
        </w:rPr>
        <w:t>“</w:t>
      </w:r>
      <w:r w:rsidR="007F3322" w:rsidRPr="007F3322">
        <w:rPr>
          <w:rFonts w:ascii="Cambria Math" w:hAnsi="Cambria Math"/>
          <w:bCs/>
          <w:color w:val="0D0D0D" w:themeColor="text1" w:themeTint="F2"/>
        </w:rPr>
        <w:t>timepoint</w:t>
      </w:r>
      <w:r w:rsidR="007F3322">
        <w:rPr>
          <w:rFonts w:ascii="Cambria Math" w:hAnsi="Cambria Math"/>
          <w:bCs/>
          <w:color w:val="0D0D0D" w:themeColor="text1" w:themeTint="F2"/>
        </w:rPr>
        <w:t>”</w:t>
      </w:r>
      <w:r w:rsidR="00A86418">
        <w:rPr>
          <w:rFonts w:ascii="Cambria Math" w:hAnsi="Cambria Math"/>
          <w:bCs/>
          <w:color w:val="0D0D0D" w:themeColor="text1" w:themeTint="F2"/>
        </w:rPr>
        <w:t>,</w:t>
      </w:r>
      <w:r w:rsidR="005F5290" w:rsidRPr="0020261E">
        <w:rPr>
          <w:rFonts w:ascii="Cambria Math" w:hAnsi="Cambria Math"/>
          <w:bCs/>
          <w:color w:val="0D0D0D" w:themeColor="text1" w:themeTint="F2"/>
        </w:rPr>
        <w:t xml:space="preserve"> and confounders (</w:t>
      </w:r>
      <w:r w:rsidR="006110D1">
        <w:rPr>
          <w:rFonts w:ascii="Cambria Math" w:hAnsi="Cambria Math"/>
          <w:bCs/>
          <w:color w:val="0D0D0D" w:themeColor="text1" w:themeTint="F2"/>
        </w:rPr>
        <w:t>“</w:t>
      </w:r>
      <w:proofErr w:type="spellStart"/>
      <w:r w:rsidR="00965C57" w:rsidRPr="00965C57">
        <w:rPr>
          <w:rFonts w:ascii="Cambria Math" w:hAnsi="Cambria Math"/>
          <w:bCs/>
          <w:color w:val="0D0D0D" w:themeColor="text1" w:themeTint="F2"/>
        </w:rPr>
        <w:t>age_days_numeric</w:t>
      </w:r>
      <w:proofErr w:type="spellEnd"/>
      <w:r w:rsidR="00965C57">
        <w:rPr>
          <w:rFonts w:ascii="Cambria Math" w:hAnsi="Cambria Math"/>
          <w:bCs/>
          <w:color w:val="0D0D0D" w:themeColor="text1" w:themeTint="F2"/>
        </w:rPr>
        <w:t>”</w:t>
      </w:r>
      <w:r w:rsidR="005F5290" w:rsidRPr="0020261E">
        <w:rPr>
          <w:rFonts w:ascii="Cambria Math" w:hAnsi="Cambria Math"/>
          <w:bCs/>
          <w:color w:val="0D0D0D" w:themeColor="text1" w:themeTint="F2"/>
        </w:rPr>
        <w:t xml:space="preserve"> and</w:t>
      </w:r>
      <w:r w:rsidR="006110D1">
        <w:rPr>
          <w:rFonts w:ascii="Cambria Math" w:hAnsi="Cambria Math"/>
          <w:bCs/>
          <w:color w:val="0D0D0D" w:themeColor="text1" w:themeTint="F2"/>
        </w:rPr>
        <w:t xml:space="preserve"> “</w:t>
      </w:r>
      <w:r w:rsidR="006110D1" w:rsidRPr="006110D1">
        <w:rPr>
          <w:rFonts w:ascii="Cambria Math" w:hAnsi="Cambria Math"/>
          <w:bCs/>
          <w:color w:val="0D0D0D" w:themeColor="text1" w:themeTint="F2"/>
        </w:rPr>
        <w:t>collection_season2</w:t>
      </w:r>
      <w:r w:rsidR="006110D1">
        <w:rPr>
          <w:rFonts w:ascii="Cambria Math" w:hAnsi="Cambria Math"/>
          <w:bCs/>
          <w:color w:val="0D0D0D" w:themeColor="text1" w:themeTint="F2"/>
        </w:rPr>
        <w:t>”</w:t>
      </w:r>
      <w:r w:rsidR="005F5290" w:rsidRPr="0020261E">
        <w:rPr>
          <w:rFonts w:ascii="Cambria Math" w:hAnsi="Cambria Math"/>
          <w:bCs/>
          <w:color w:val="0D0D0D" w:themeColor="text1" w:themeTint="F2"/>
        </w:rPr>
        <w:t xml:space="preserve">). The random effect (i.e., the “groups” parameter) </w:t>
      </w:r>
      <w:r w:rsidR="004A1B69">
        <w:rPr>
          <w:rFonts w:ascii="Cambria Math" w:hAnsi="Cambria Math"/>
          <w:bCs/>
          <w:color w:val="0D0D0D" w:themeColor="text1" w:themeTint="F2"/>
        </w:rPr>
        <w:t>was</w:t>
      </w:r>
      <w:r w:rsidR="004A1B69" w:rsidRPr="0020261E">
        <w:rPr>
          <w:rFonts w:ascii="Cambria Math" w:hAnsi="Cambria Math"/>
          <w:bCs/>
          <w:color w:val="0D0D0D" w:themeColor="text1" w:themeTint="F2"/>
        </w:rPr>
        <w:t xml:space="preserve"> </w:t>
      </w:r>
      <w:r w:rsidR="005F5290" w:rsidRPr="0020261E">
        <w:rPr>
          <w:rFonts w:ascii="Cambria Math" w:hAnsi="Cambria Math"/>
          <w:bCs/>
          <w:color w:val="0D0D0D" w:themeColor="text1" w:themeTint="F2"/>
        </w:rPr>
        <w:t xml:space="preserve">the individual participants. </w:t>
      </w:r>
      <w:r w:rsidR="00385C10" w:rsidRPr="00385C10">
        <w:rPr>
          <w:rFonts w:ascii="Cambria Math" w:hAnsi="Cambria Math"/>
          <w:bCs/>
          <w:color w:val="0D0D0D" w:themeColor="text1" w:themeTint="F2"/>
        </w:rPr>
        <w:t xml:space="preserve"> </w:t>
      </w:r>
    </w:p>
    <w:p w14:paraId="7622EB71" w14:textId="67563DAB" w:rsidR="005F5290" w:rsidRPr="00385C10" w:rsidRDefault="00385C10" w:rsidP="005F5290">
      <w:pPr>
        <w:spacing w:after="0" w:line="480" w:lineRule="auto"/>
        <w:jc w:val="both"/>
        <w:rPr>
          <w:rFonts w:ascii="Cambria Math" w:hAnsi="Cambria Math"/>
          <w:color w:val="0D0D0D" w:themeColor="text1" w:themeTint="F2"/>
        </w:rPr>
      </w:pPr>
      <w:r>
        <w:rPr>
          <w:rFonts w:ascii="Cambria Math" w:hAnsi="Cambria Math"/>
          <w:bCs/>
          <w:color w:val="0D0D0D" w:themeColor="text1" w:themeTint="F2"/>
        </w:rPr>
        <w:t xml:space="preserve">We investigated associations between covariates and </w:t>
      </w:r>
      <w:r w:rsidR="00B4389F">
        <w:rPr>
          <w:rFonts w:ascii="Cambria Math" w:hAnsi="Cambria Math"/>
          <w:bCs/>
          <w:color w:val="0D0D0D" w:themeColor="text1" w:themeTint="F2"/>
        </w:rPr>
        <w:t>between-specimen (</w:t>
      </w:r>
      <w:r>
        <w:rPr>
          <w:rFonts w:ascii="Cambria Math" w:hAnsi="Cambria Math"/>
          <w:bCs/>
          <w:color w:val="0D0D0D" w:themeColor="text1" w:themeTint="F2"/>
        </w:rPr>
        <w:t>beta</w:t>
      </w:r>
      <w:r w:rsidR="00B4389F">
        <w:rPr>
          <w:rFonts w:ascii="Cambria Math" w:hAnsi="Cambria Math"/>
          <w:bCs/>
          <w:color w:val="0D0D0D" w:themeColor="text1" w:themeTint="F2"/>
        </w:rPr>
        <w:t>)</w:t>
      </w:r>
      <w:r>
        <w:rPr>
          <w:rFonts w:ascii="Cambria Math" w:hAnsi="Cambria Math"/>
          <w:bCs/>
          <w:color w:val="0D0D0D" w:themeColor="text1" w:themeTint="F2"/>
        </w:rPr>
        <w:t xml:space="preserve"> diversity at five timepoints (M01, M03, M06, M09 and M12)</w:t>
      </w:r>
      <w:r w:rsidR="00635CB1">
        <w:rPr>
          <w:rFonts w:ascii="Cambria Math" w:hAnsi="Cambria Math"/>
          <w:color w:val="0D0D0D" w:themeColor="text1" w:themeTint="F2"/>
        </w:rPr>
        <w:t xml:space="preserve">. </w:t>
      </w:r>
      <w:r w:rsidR="005F5290" w:rsidRPr="00695AAB">
        <w:rPr>
          <w:rFonts w:ascii="Cambria Math" w:hAnsi="Cambria Math"/>
          <w:bCs/>
          <w:color w:val="0D0D0D" w:themeColor="text1" w:themeTint="F2"/>
        </w:rPr>
        <w:t xml:space="preserve">We used models described by Liu and colleagues </w:t>
      </w:r>
      <w:r w:rsidR="005F5290" w:rsidRPr="00695AAB">
        <w:rPr>
          <w:rFonts w:ascii="Cambria Math" w:hAnsi="Cambria Math"/>
          <w:bCs/>
          <w:color w:val="0D0D0D" w:themeColor="text1" w:themeTint="F2"/>
        </w:rPr>
        <w:fldChar w:fldCharType="begin" w:fldLock="1"/>
      </w:r>
      <w:r w:rsidR="00760B7A">
        <w:rPr>
          <w:rFonts w:ascii="Cambria Math" w:hAnsi="Cambria Math"/>
          <w:bCs/>
          <w:color w:val="0D0D0D" w:themeColor="text1" w:themeTint="F2"/>
        </w:rPr>
        <w:instrText>ADDIN CSL_CITATION {"citationItems":[{"id":"ITEM-1","itemData":{"DOI":"10.1111/biom.13487","ISSN":"15410420","abstract":"The human microbiome plays an important role in our health and identifying factors associated with microbiome composition provides insights into inherent disease mechanisms. By amplifying and sequencing the marker genes in high-throughput sequencing, with highly similar sequences binned together, we obtain operational taxonomic units (OTUs) profiles for each subject. Due to the high-dimensionality and nonnormality features of the OTUs, the measure of diversity is introduced as a summarization at the microbial community level, including the distance-based beta-diversity between individuals. Analyses of such between-subject attributes are not amenable to the predominant within-subject-based statistical paradigm, such as t-tests and linear regression. In this paper, we propose a new approach to model beta-diversity as a response within a regression setting by utilizing the functional response models (FRMs), a class of semiparametric models for between- as well as within-subject attributes. The new approach not only addresses limitations of current methods for beta-diversity with cross-sectional data, but also provides a premise for extending the approach to longitudinal and other clustered data in the future. The proposed approach is illustrated with both real and simulated data.","author":[{"dropping-particle":"","family":"Liu","given":"J.","non-dropping-particle":"","parse-names":false,"suffix":""},{"dropping-particle":"","family":"Zhang","given":"Xinlian","non-dropping-particle":"","parse-names":false,"suffix":""},{"dropping-particle":"","family":"Chen","given":"T.","non-dropping-particle":"","parse-names":false,"suffix":""},{"dropping-particle":"","family":"Wu","given":"T.","non-dropping-particle":"","parse-names":false,"suffix":""},{"dropping-particle":"","family":"Lin","given":"T.","non-dropping-particle":"","parse-names":false,"suffix":""},{"dropping-particle":"","family":"Jiang","given":"L.","non-dropping-particle":"","parse-names":false,"suffix":""},{"dropping-particle":"","family":"Lang","given":"S.","non-dropping-particle":"","parse-names":false,"suffix":""},{"dropping-particle":"","family":"Liu","given":"L.","non-dropping-particle":"","parse-names":false,"suffix":""},{"dropping-particle":"","family":"Natarajan","given":"L.","non-dropping-particle":"","parse-names":false,"suffix":""},{"dropping-particle":"","family":"Tu","given":"J. X.","non-dropping-particle":"","parse-names":false,"suffix":""},{"dropping-particle":"","family":"Kosciolek","given":"T.","non-dropping-particle":"","parse-names":false,"suffix":""},{"dropping-particle":"","family":"Morton","given":"J.","non-dropping-particle":"","parse-names":false,"suffix":""},{"dropping-particle":"","family":"Nguyen","given":"T. T.","non-dropping-particle":"","parse-names":false,"suffix":""},{"dropping-particle":"","family":"Schnabl","given":"B.","non-dropping-particle":"","parse-names":false,"suffix":""},{"dropping-particle":"","family":"Knight","given":"R.","non-dropping-particle":"","parse-names":false,"suffix":""},{"dropping-particle":"","family":"Feng","given":"C.","non-dropping-particle":"","parse-names":false,"suffix":""},{"dropping-particle":"","family":"Zhong","given":"Y.","non-dropping-particle":"","parse-names":false,"suffix":""},{"dropping-particle":"","family":"Tu","given":"X. M.","non-dropping-particle":"","parse-names":false,"suffix":""}],"container-title":"Biometrics","id":"ITEM-1","issue":"May","issued":{"date-parts":[["2021"]]},"page":"1-13","title":"A semiparametric model for between-subject attributes: Applications to beta-diversity of microbiome data","type":"article-journal"},"uris":["http://www.mendeley.com/documents/?uuid=6a81b9b0-2403-428f-96e3-f8ff603b315e"]}],"mendeley":{"formattedCitation":"[18]","plainTextFormattedCitation":"[18]","previouslyFormattedCitation":"[18]"},"properties":{"noteIndex":0},"schema":"https://github.com/citation-style-language/schema/raw/master/csl-citation.json"}</w:instrText>
      </w:r>
      <w:r w:rsidR="005F5290" w:rsidRPr="00695AAB">
        <w:rPr>
          <w:rFonts w:ascii="Cambria Math" w:hAnsi="Cambria Math"/>
          <w:bCs/>
          <w:color w:val="0D0D0D" w:themeColor="text1" w:themeTint="F2"/>
        </w:rPr>
        <w:fldChar w:fldCharType="separate"/>
      </w:r>
      <w:r w:rsidR="000F55E8" w:rsidRPr="000F55E8">
        <w:rPr>
          <w:rFonts w:ascii="Cambria Math" w:hAnsi="Cambria Math"/>
          <w:bCs/>
          <w:noProof/>
          <w:color w:val="0D0D0D" w:themeColor="text1" w:themeTint="F2"/>
        </w:rPr>
        <w:t>[18]</w:t>
      </w:r>
      <w:r w:rsidR="005F5290" w:rsidRPr="00695AAB">
        <w:rPr>
          <w:rFonts w:ascii="Cambria Math" w:hAnsi="Cambria Math"/>
          <w:bCs/>
          <w:color w:val="0D0D0D" w:themeColor="text1" w:themeTint="F2"/>
        </w:rPr>
        <w:fldChar w:fldCharType="end"/>
      </w:r>
      <w:r w:rsidR="005F5290" w:rsidRPr="00695AAB">
        <w:rPr>
          <w:rFonts w:ascii="Cambria Math" w:hAnsi="Cambria Math"/>
          <w:bCs/>
          <w:color w:val="0D0D0D" w:themeColor="text1" w:themeTint="F2"/>
        </w:rPr>
        <w:t xml:space="preserve"> to test for differences in beta diversity (Aitchison distance </w:t>
      </w:r>
      <w:r w:rsidR="005F5290" w:rsidRPr="00695AAB">
        <w:rPr>
          <w:rFonts w:ascii="Cambria Math" w:hAnsi="Cambria Math"/>
          <w:color w:val="0D0D0D" w:themeColor="text1" w:themeTint="F2"/>
        </w:rPr>
        <w:fldChar w:fldCharType="begin" w:fldLock="1"/>
      </w:r>
      <w:r w:rsidR="00760B7A">
        <w:rPr>
          <w:rFonts w:ascii="Cambria Math" w:hAnsi="Cambria Math"/>
          <w:color w:val="0D0D0D" w:themeColor="text1" w:themeTint="F2"/>
        </w:rPr>
        <w:instrText>ADDIN CSL_CITATION {"citationItems":[{"id":"ITEM-1","itemData":{"author":[{"dropping-particle":"","family":"Aitchison","given":"J","non-dropping-particle":"","parse-names":false,"suffix":""}],"container-title":"Journal of Royal Statistical Society","id":"ITEM-1","issued":{"date-parts":[["1982"]]},"page":"139-160","title":"The Statistical Analysis of Compositional Data","type":"article-journal","volume":"44"},"uris":["http://www.mendeley.com/documents/?uuid=fd57cee0-bb4d-43a4-9f6e-d5469f73f110"]},{"id":"ITEM-2","itemData":{"author":[{"dropping-particle":"","family":"Aitchison","given":"J","non-dropping-particle":"","parse-names":false,"suffix":""},{"dropping-particle":"","family":"Greenacre","given":"M.J","non-dropping-particle":"","parse-names":false,"suffix":""}],"container-title":"Journal of the Royal Statistical Society. Series C (Applied Statistics)","id":"ITEM-2","issue":"4","issued":{"date-parts":[["2002"]]},"page":"375-392","title":"Biplots of compositional data","type":"article-journal","volume":"51"},"uris":["http://www.mendeley.com/documents/?uuid=a680cf4f-86fb-47a3-9491-901089b3d19e"]}],"mendeley":{"formattedCitation":"[19, 20]","plainTextFormattedCitation":"[19, 20]","previouslyFormattedCitation":"[19, 20]"},"properties":{"noteIndex":0},"schema":"https://github.com/citation-style-language/schema/raw/master/csl-citation.json"}</w:instrText>
      </w:r>
      <w:r w:rsidR="005F5290" w:rsidRPr="00695AAB">
        <w:rPr>
          <w:rFonts w:ascii="Cambria Math" w:hAnsi="Cambria Math"/>
          <w:color w:val="0D0D0D" w:themeColor="text1" w:themeTint="F2"/>
        </w:rPr>
        <w:fldChar w:fldCharType="separate"/>
      </w:r>
      <w:r w:rsidR="000F55E8" w:rsidRPr="000F55E8">
        <w:rPr>
          <w:rFonts w:ascii="Cambria Math" w:hAnsi="Cambria Math"/>
          <w:noProof/>
          <w:color w:val="0D0D0D" w:themeColor="text1" w:themeTint="F2"/>
        </w:rPr>
        <w:t>[19, 20]</w:t>
      </w:r>
      <w:r w:rsidR="005F5290" w:rsidRPr="00695AAB">
        <w:rPr>
          <w:rFonts w:ascii="Cambria Math" w:hAnsi="Cambria Math"/>
          <w:color w:val="0D0D0D" w:themeColor="text1" w:themeTint="F2"/>
        </w:rPr>
        <w:fldChar w:fldCharType="end"/>
      </w:r>
      <w:r w:rsidR="005F5290" w:rsidRPr="00695AAB">
        <w:rPr>
          <w:rFonts w:ascii="Cambria Math" w:hAnsi="Cambria Math"/>
          <w:bCs/>
          <w:color w:val="0D0D0D" w:themeColor="text1" w:themeTint="F2"/>
        </w:rPr>
        <w:t xml:space="preserve"> or Bray-Curtis </w:t>
      </w:r>
      <w:r w:rsidR="005F5290" w:rsidRPr="00695AAB">
        <w:rPr>
          <w:rFonts w:ascii="Cambria Math" w:hAnsi="Cambria Math"/>
          <w:bCs/>
          <w:color w:val="0D0D0D" w:themeColor="text1" w:themeTint="F2"/>
        </w:rPr>
        <w:lastRenderedPageBreak/>
        <w:t xml:space="preserve">dissimilarity </w:t>
      </w:r>
      <w:r w:rsidR="005F5290" w:rsidRPr="00695AAB">
        <w:rPr>
          <w:rFonts w:ascii="Cambria Math" w:hAnsi="Cambria Math"/>
          <w:color w:val="0D0D0D" w:themeColor="text1" w:themeTint="F2"/>
        </w:rPr>
        <w:fldChar w:fldCharType="begin" w:fldLock="1"/>
      </w:r>
      <w:r w:rsidR="00760B7A">
        <w:rPr>
          <w:rFonts w:ascii="Cambria Math" w:hAnsi="Cambria Math"/>
          <w:color w:val="0D0D0D" w:themeColor="text1" w:themeTint="F2"/>
        </w:rPr>
        <w:instrText>ADDIN CSL_CITATION {"citationItems":[{"id":"ITEM-1","itemData":{"author":[{"dropping-particle":"","family":"Bray","given":"J Roger","non-dropping-particle":"","parse-names":false,"suffix":""},{"dropping-particle":"","family":"Curtis","given":"J T","non-dropping-particle":"","parse-names":false,"suffix":""}],"container-title":"Ecological Monographs","id":"ITEM-1","issue":"4","issued":{"date-parts":[["1957"]]},"page":"325-349","title":"An Ordination of the Upland Forest Communities of Southern Wisconsin","type":"article-journal","volume":"27"},"uris":["http://www.mendeley.com/documents/?uuid=38c212f3-8181-4d60-a535-b51010b9680f"]}],"mendeley":{"formattedCitation":"[21]","plainTextFormattedCitation":"[21]","previouslyFormattedCitation":"[21]"},"properties":{"noteIndex":0},"schema":"https://github.com/citation-style-language/schema/raw/master/csl-citation.json"}</w:instrText>
      </w:r>
      <w:r w:rsidR="005F5290" w:rsidRPr="00695AAB">
        <w:rPr>
          <w:rFonts w:ascii="Cambria Math" w:hAnsi="Cambria Math"/>
          <w:color w:val="0D0D0D" w:themeColor="text1" w:themeTint="F2"/>
        </w:rPr>
        <w:fldChar w:fldCharType="separate"/>
      </w:r>
      <w:r w:rsidR="000F55E8" w:rsidRPr="000F55E8">
        <w:rPr>
          <w:rFonts w:ascii="Cambria Math" w:hAnsi="Cambria Math"/>
          <w:noProof/>
          <w:color w:val="0D0D0D" w:themeColor="text1" w:themeTint="F2"/>
        </w:rPr>
        <w:t>[21]</w:t>
      </w:r>
      <w:r w:rsidR="005F5290" w:rsidRPr="00695AAB">
        <w:rPr>
          <w:rFonts w:ascii="Cambria Math" w:hAnsi="Cambria Math"/>
          <w:color w:val="0D0D0D" w:themeColor="text1" w:themeTint="F2"/>
        </w:rPr>
        <w:fldChar w:fldCharType="end"/>
      </w:r>
      <w:r w:rsidR="005F5290" w:rsidRPr="00695AAB">
        <w:rPr>
          <w:rFonts w:ascii="Cambria Math" w:hAnsi="Cambria Math"/>
          <w:bCs/>
          <w:color w:val="0D0D0D" w:themeColor="text1" w:themeTint="F2"/>
        </w:rPr>
        <w:t xml:space="preserve">) by covariate. At each timepoint, beta diversity was calculated within each comparison group and between comparison groups for each covariate. All analyses were adjusted for specimen collection season. All p-values were </w:t>
      </w:r>
      <w:proofErr w:type="spellStart"/>
      <w:r w:rsidR="005F5290" w:rsidRPr="00695AAB">
        <w:rPr>
          <w:rFonts w:ascii="Cambria Math" w:hAnsi="Cambria Math"/>
          <w:bCs/>
          <w:color w:val="0D0D0D" w:themeColor="text1" w:themeTint="F2"/>
        </w:rPr>
        <w:t>Benjamini</w:t>
      </w:r>
      <w:proofErr w:type="spellEnd"/>
      <w:r w:rsidR="005F5290" w:rsidRPr="00695AAB">
        <w:rPr>
          <w:rFonts w:ascii="Cambria Math" w:hAnsi="Cambria Math"/>
          <w:bCs/>
          <w:color w:val="0D0D0D" w:themeColor="text1" w:themeTint="F2"/>
        </w:rPr>
        <w:t xml:space="preserve">-Hochberg (BH) adjusted for false discovery. </w:t>
      </w:r>
    </w:p>
    <w:p w14:paraId="4448A623" w14:textId="77777777" w:rsidR="005F5290" w:rsidRPr="00FC45D2" w:rsidRDefault="005F5290" w:rsidP="005F5290">
      <w:pPr>
        <w:spacing w:after="0" w:line="480" w:lineRule="auto"/>
        <w:jc w:val="both"/>
        <w:rPr>
          <w:rFonts w:ascii="Cambria Math" w:hAnsi="Cambria Math"/>
          <w:b/>
          <w:bCs/>
          <w:color w:val="0D0D0D" w:themeColor="text1" w:themeTint="F2"/>
          <w:sz w:val="18"/>
          <w:szCs w:val="18"/>
          <w:highlight w:val="yellow"/>
          <w:lang w:val="en-US"/>
        </w:rPr>
      </w:pPr>
    </w:p>
    <w:p w14:paraId="321A5F70" w14:textId="0CD0FEC2" w:rsidR="005F5290" w:rsidRPr="00CA7F1D" w:rsidRDefault="005E0D12" w:rsidP="005F5290">
      <w:pPr>
        <w:spacing w:after="0" w:line="480" w:lineRule="auto"/>
        <w:jc w:val="both"/>
        <w:rPr>
          <w:rFonts w:ascii="Cambria Math" w:hAnsi="Cambria Math"/>
          <w:color w:val="0D0D0D" w:themeColor="text1" w:themeTint="F2"/>
        </w:rPr>
      </w:pPr>
      <w:r>
        <w:rPr>
          <w:rFonts w:ascii="Cambria Math" w:hAnsi="Cambria Math"/>
        </w:rPr>
        <w:t>We</w:t>
      </w:r>
      <w:r w:rsidRPr="00F96EB1">
        <w:rPr>
          <w:rFonts w:ascii="Cambria Math" w:hAnsi="Cambria Math"/>
        </w:rPr>
        <w:t xml:space="preserve"> investigated </w:t>
      </w:r>
      <w:r>
        <w:rPr>
          <w:rFonts w:ascii="Cambria Math" w:hAnsi="Cambria Math"/>
        </w:rPr>
        <w:t xml:space="preserve">associations between covariates and differential abundance of bacterial genera and amplicon sequence variants (ASVs) </w:t>
      </w:r>
      <w:r w:rsidRPr="00CA7F1D">
        <w:rPr>
          <w:rFonts w:ascii="Cambria Math" w:hAnsi="Cambria Math"/>
        </w:rPr>
        <w:t>a</w:t>
      </w:r>
      <w:r>
        <w:rPr>
          <w:rFonts w:ascii="Cambria Math" w:hAnsi="Cambria Math"/>
        </w:rPr>
        <w:t>cross</w:t>
      </w:r>
      <w:r w:rsidRPr="00CA7F1D">
        <w:rPr>
          <w:rFonts w:ascii="Cambria Math" w:hAnsi="Cambria Math"/>
          <w:color w:val="0D0D0D" w:themeColor="text1" w:themeTint="F2"/>
        </w:rPr>
        <w:t xml:space="preserve"> three specimen collection intervals [interval A: </w:t>
      </w:r>
      <w:r>
        <w:rPr>
          <w:rFonts w:ascii="Cambria Math" w:hAnsi="Cambria Math"/>
          <w:color w:val="0D0D0D" w:themeColor="text1" w:themeTint="F2"/>
        </w:rPr>
        <w:t>1</w:t>
      </w:r>
      <w:r w:rsidRPr="00CA7F1D">
        <w:rPr>
          <w:rFonts w:ascii="Cambria Math" w:hAnsi="Cambria Math"/>
          <w:color w:val="0D0D0D" w:themeColor="text1" w:themeTint="F2"/>
        </w:rPr>
        <w:t xml:space="preserve"> to </w:t>
      </w:r>
      <w:r>
        <w:rPr>
          <w:rFonts w:ascii="Cambria Math" w:hAnsi="Cambria Math"/>
          <w:color w:val="0D0D0D" w:themeColor="text1" w:themeTint="F2"/>
        </w:rPr>
        <w:t>3</w:t>
      </w:r>
      <w:r w:rsidRPr="00CA7F1D">
        <w:rPr>
          <w:rFonts w:ascii="Cambria Math" w:hAnsi="Cambria Math"/>
          <w:color w:val="0D0D0D" w:themeColor="text1" w:themeTint="F2"/>
        </w:rPr>
        <w:t xml:space="preserve"> months (</w:t>
      </w:r>
      <w:r>
        <w:rPr>
          <w:rFonts w:ascii="Cambria Math" w:hAnsi="Cambria Math"/>
          <w:color w:val="0D0D0D" w:themeColor="text1" w:themeTint="F2"/>
        </w:rPr>
        <w:t>M</w:t>
      </w:r>
      <w:r w:rsidRPr="00CA7F1D">
        <w:rPr>
          <w:rFonts w:ascii="Cambria Math" w:hAnsi="Cambria Math"/>
          <w:color w:val="0D0D0D" w:themeColor="text1" w:themeTint="F2"/>
        </w:rPr>
        <w:t>01-</w:t>
      </w:r>
      <w:r>
        <w:rPr>
          <w:rFonts w:ascii="Cambria Math" w:hAnsi="Cambria Math"/>
          <w:color w:val="0D0D0D" w:themeColor="text1" w:themeTint="F2"/>
        </w:rPr>
        <w:t>M</w:t>
      </w:r>
      <w:r w:rsidRPr="00CA7F1D">
        <w:rPr>
          <w:rFonts w:ascii="Cambria Math" w:hAnsi="Cambria Math"/>
          <w:color w:val="0D0D0D" w:themeColor="text1" w:themeTint="F2"/>
        </w:rPr>
        <w:t xml:space="preserve">03), interval B: </w:t>
      </w:r>
      <w:r>
        <w:rPr>
          <w:rFonts w:ascii="Cambria Math" w:hAnsi="Cambria Math"/>
          <w:color w:val="0D0D0D" w:themeColor="text1" w:themeTint="F2"/>
        </w:rPr>
        <w:t>4</w:t>
      </w:r>
      <w:r w:rsidRPr="00CA7F1D">
        <w:rPr>
          <w:rFonts w:ascii="Cambria Math" w:hAnsi="Cambria Math"/>
          <w:color w:val="0D0D0D" w:themeColor="text1" w:themeTint="F2"/>
        </w:rPr>
        <w:t xml:space="preserve"> to </w:t>
      </w:r>
      <w:r>
        <w:rPr>
          <w:rFonts w:ascii="Cambria Math" w:hAnsi="Cambria Math"/>
          <w:color w:val="0D0D0D" w:themeColor="text1" w:themeTint="F2"/>
        </w:rPr>
        <w:t>6</w:t>
      </w:r>
      <w:r w:rsidRPr="00CA7F1D">
        <w:rPr>
          <w:rFonts w:ascii="Cambria Math" w:hAnsi="Cambria Math"/>
          <w:color w:val="0D0D0D" w:themeColor="text1" w:themeTint="F2"/>
        </w:rPr>
        <w:t xml:space="preserve"> months (</w:t>
      </w:r>
      <w:r>
        <w:rPr>
          <w:rFonts w:ascii="Cambria Math" w:hAnsi="Cambria Math"/>
          <w:color w:val="0D0D0D" w:themeColor="text1" w:themeTint="F2"/>
        </w:rPr>
        <w:t>M</w:t>
      </w:r>
      <w:r w:rsidRPr="00CA7F1D">
        <w:rPr>
          <w:rFonts w:ascii="Cambria Math" w:hAnsi="Cambria Math"/>
          <w:color w:val="0D0D0D" w:themeColor="text1" w:themeTint="F2"/>
        </w:rPr>
        <w:t>04-</w:t>
      </w:r>
      <w:r>
        <w:rPr>
          <w:rFonts w:ascii="Cambria Math" w:hAnsi="Cambria Math"/>
          <w:color w:val="0D0D0D" w:themeColor="text1" w:themeTint="F2"/>
        </w:rPr>
        <w:t>M</w:t>
      </w:r>
      <w:r w:rsidRPr="00CA7F1D">
        <w:rPr>
          <w:rFonts w:ascii="Cambria Math" w:hAnsi="Cambria Math"/>
          <w:color w:val="0D0D0D" w:themeColor="text1" w:themeTint="F2"/>
        </w:rPr>
        <w:t xml:space="preserve">06), and interval C: </w:t>
      </w:r>
      <w:r>
        <w:rPr>
          <w:rFonts w:ascii="Cambria Math" w:hAnsi="Cambria Math"/>
          <w:color w:val="0D0D0D" w:themeColor="text1" w:themeTint="F2"/>
        </w:rPr>
        <w:t>7</w:t>
      </w:r>
      <w:r w:rsidRPr="00CA7F1D">
        <w:rPr>
          <w:rFonts w:ascii="Cambria Math" w:hAnsi="Cambria Math"/>
          <w:color w:val="0D0D0D" w:themeColor="text1" w:themeTint="F2"/>
        </w:rPr>
        <w:t xml:space="preserve"> to </w:t>
      </w:r>
      <w:r>
        <w:rPr>
          <w:rFonts w:ascii="Cambria Math" w:hAnsi="Cambria Math"/>
          <w:color w:val="0D0D0D" w:themeColor="text1" w:themeTint="F2"/>
        </w:rPr>
        <w:t>12</w:t>
      </w:r>
      <w:r w:rsidRPr="00CA7F1D">
        <w:rPr>
          <w:rFonts w:ascii="Cambria Math" w:hAnsi="Cambria Math"/>
          <w:color w:val="0D0D0D" w:themeColor="text1" w:themeTint="F2"/>
        </w:rPr>
        <w:t xml:space="preserve"> months (</w:t>
      </w:r>
      <w:r>
        <w:rPr>
          <w:rFonts w:ascii="Cambria Math" w:hAnsi="Cambria Math"/>
          <w:color w:val="0D0D0D" w:themeColor="text1" w:themeTint="F2"/>
        </w:rPr>
        <w:t>M</w:t>
      </w:r>
      <w:r w:rsidRPr="00CA7F1D">
        <w:rPr>
          <w:rFonts w:ascii="Cambria Math" w:hAnsi="Cambria Math"/>
          <w:color w:val="0D0D0D" w:themeColor="text1" w:themeTint="F2"/>
        </w:rPr>
        <w:t>07-</w:t>
      </w:r>
      <w:r>
        <w:rPr>
          <w:rFonts w:ascii="Cambria Math" w:hAnsi="Cambria Math"/>
          <w:color w:val="0D0D0D" w:themeColor="text1" w:themeTint="F2"/>
        </w:rPr>
        <w:t>M</w:t>
      </w:r>
      <w:r w:rsidRPr="00CA7F1D">
        <w:rPr>
          <w:rFonts w:ascii="Cambria Math" w:hAnsi="Cambria Math"/>
          <w:color w:val="0D0D0D" w:themeColor="text1" w:themeTint="F2"/>
        </w:rPr>
        <w:t>12)]</w:t>
      </w:r>
      <w:r>
        <w:rPr>
          <w:rFonts w:ascii="Cambria Math" w:hAnsi="Cambria Math"/>
          <w:color w:val="0D0D0D" w:themeColor="text1" w:themeTint="F2"/>
        </w:rPr>
        <w:t xml:space="preserve">. </w:t>
      </w:r>
      <w:r w:rsidR="00045AA4">
        <w:rPr>
          <w:rFonts w:ascii="Cambria Math" w:hAnsi="Cambria Math"/>
          <w:color w:val="0D0D0D" w:themeColor="text1" w:themeTint="F2"/>
        </w:rPr>
        <w:t>Only</w:t>
      </w:r>
      <w:r w:rsidR="00045AA4" w:rsidRPr="00045AA4">
        <w:rPr>
          <w:rFonts w:ascii="Cambria Math" w:hAnsi="Cambria Math"/>
          <w:color w:val="0D0D0D" w:themeColor="text1" w:themeTint="F2"/>
        </w:rPr>
        <w:t xml:space="preserve"> taxa </w:t>
      </w:r>
      <w:r w:rsidR="00FB6E2C">
        <w:rPr>
          <w:rFonts w:ascii="Cambria Math" w:hAnsi="Cambria Math"/>
          <w:color w:val="0D0D0D" w:themeColor="text1" w:themeTint="F2"/>
        </w:rPr>
        <w:t>present in more than 90% of the</w:t>
      </w:r>
      <w:r w:rsidR="00045AA4" w:rsidRPr="00045AA4">
        <w:rPr>
          <w:rFonts w:ascii="Cambria Math" w:hAnsi="Cambria Math"/>
          <w:color w:val="0D0D0D" w:themeColor="text1" w:themeTint="F2"/>
        </w:rPr>
        <w:t xml:space="preserve"> </w:t>
      </w:r>
      <w:r w:rsidR="00D00301">
        <w:rPr>
          <w:rFonts w:ascii="Cambria Math" w:hAnsi="Cambria Math"/>
          <w:color w:val="0D0D0D" w:themeColor="text1" w:themeTint="F2"/>
        </w:rPr>
        <w:t>specimens</w:t>
      </w:r>
      <w:r w:rsidR="00045AA4" w:rsidRPr="00045AA4">
        <w:rPr>
          <w:rFonts w:ascii="Cambria Math" w:hAnsi="Cambria Math"/>
          <w:color w:val="0D0D0D" w:themeColor="text1" w:themeTint="F2"/>
        </w:rPr>
        <w:t xml:space="preserve"> </w:t>
      </w:r>
      <w:r w:rsidR="00FB6E2C" w:rsidRPr="00695AAB">
        <w:rPr>
          <w:rFonts w:ascii="Cambria Math" w:hAnsi="Cambria Math"/>
          <w:bCs/>
          <w:color w:val="0D0D0D" w:themeColor="text1" w:themeTint="F2"/>
        </w:rPr>
        <w:t xml:space="preserve">included per specimen collection </w:t>
      </w:r>
      <w:r w:rsidR="00FB6E2C" w:rsidRPr="00695AAB">
        <w:rPr>
          <w:rFonts w:ascii="Cambria Math" w:hAnsi="Cambria Math"/>
          <w:bCs/>
          <w:color w:val="0D0D0D" w:themeColor="text1" w:themeTint="F2"/>
        </w:rPr>
        <w:t>interval (A, B, or C)</w:t>
      </w:r>
      <w:r w:rsidR="00FB6E2C">
        <w:rPr>
          <w:rFonts w:ascii="Cambria Math" w:hAnsi="Cambria Math"/>
          <w:bCs/>
          <w:color w:val="0D0D0D" w:themeColor="text1" w:themeTint="F2"/>
        </w:rPr>
        <w:t xml:space="preserve"> </w:t>
      </w:r>
      <w:r w:rsidR="00D00301">
        <w:rPr>
          <w:rFonts w:ascii="Cambria Math" w:hAnsi="Cambria Math"/>
          <w:color w:val="0D0D0D" w:themeColor="text1" w:themeTint="F2"/>
        </w:rPr>
        <w:t>were</w:t>
      </w:r>
      <w:r w:rsidR="00045AA4" w:rsidRPr="00045AA4">
        <w:rPr>
          <w:rFonts w:ascii="Cambria Math" w:hAnsi="Cambria Math"/>
          <w:color w:val="0D0D0D" w:themeColor="text1" w:themeTint="F2"/>
        </w:rPr>
        <w:t xml:space="preserve"> </w:t>
      </w:r>
      <w:r w:rsidR="00FB6E2C">
        <w:rPr>
          <w:rFonts w:ascii="Cambria Math" w:hAnsi="Cambria Math"/>
          <w:color w:val="0D0D0D" w:themeColor="text1" w:themeTint="F2"/>
        </w:rPr>
        <w:t>analysed</w:t>
      </w:r>
      <w:r w:rsidR="00045AA4" w:rsidRPr="00045AA4">
        <w:rPr>
          <w:rFonts w:ascii="Cambria Math" w:hAnsi="Cambria Math"/>
          <w:color w:val="0D0D0D" w:themeColor="text1" w:themeTint="F2"/>
        </w:rPr>
        <w:t>.</w:t>
      </w:r>
      <w:r w:rsidR="00F14A23">
        <w:rPr>
          <w:rFonts w:ascii="Cambria Math" w:hAnsi="Cambria Math"/>
          <w:color w:val="0D0D0D" w:themeColor="text1" w:themeTint="F2"/>
        </w:rPr>
        <w:t xml:space="preserve"> </w:t>
      </w:r>
      <w:r w:rsidR="005F5290" w:rsidRPr="00695AAB">
        <w:rPr>
          <w:rFonts w:ascii="Cambria Math" w:hAnsi="Cambria Math"/>
          <w:bCs/>
          <w:color w:val="0D0D0D" w:themeColor="text1" w:themeTint="F2"/>
        </w:rPr>
        <w:t xml:space="preserve">We performed differential abundance testing using </w:t>
      </w:r>
      <w:r w:rsidR="0015140E" w:rsidRPr="0015140E">
        <w:rPr>
          <w:rFonts w:ascii="Cambria Math" w:hAnsi="Cambria Math"/>
          <w:bCs/>
          <w:color w:val="0D0D0D" w:themeColor="text1" w:themeTint="F2"/>
        </w:rPr>
        <w:t>Microbiome Multivariable Associations with Linear Models</w:t>
      </w:r>
      <w:r w:rsidR="0015140E">
        <w:rPr>
          <w:rFonts w:ascii="Cambria Math" w:hAnsi="Cambria Math"/>
          <w:bCs/>
          <w:color w:val="0D0D0D" w:themeColor="text1" w:themeTint="F2"/>
        </w:rPr>
        <w:t xml:space="preserve"> (</w:t>
      </w:r>
      <w:r w:rsidR="0015140E" w:rsidRPr="0015140E">
        <w:rPr>
          <w:rFonts w:ascii="Cambria Math" w:hAnsi="Cambria Math"/>
          <w:bCs/>
          <w:color w:val="0D0D0D" w:themeColor="text1" w:themeTint="F2"/>
        </w:rPr>
        <w:t>MaAsLin2</w:t>
      </w:r>
      <w:r w:rsidR="0015140E">
        <w:rPr>
          <w:rFonts w:ascii="Cambria Math" w:hAnsi="Cambria Math"/>
          <w:bCs/>
          <w:color w:val="0D0D0D" w:themeColor="text1" w:themeTint="F2"/>
        </w:rPr>
        <w:t xml:space="preserve">) </w:t>
      </w:r>
      <w:r w:rsidR="000F55E8">
        <w:rPr>
          <w:rFonts w:ascii="Cambria Math" w:hAnsi="Cambria Math"/>
          <w:bCs/>
          <w:color w:val="0D0D0D" w:themeColor="text1" w:themeTint="F2"/>
        </w:rPr>
        <w:fldChar w:fldCharType="begin" w:fldLock="1"/>
      </w:r>
      <w:r w:rsidR="00760B7A">
        <w:rPr>
          <w:rFonts w:ascii="Cambria Math" w:hAnsi="Cambria Math"/>
          <w:bCs/>
          <w:color w:val="0D0D0D" w:themeColor="text1" w:themeTint="F2"/>
        </w:rPr>
        <w:instrText>ADDIN CSL_CITATION {"citationItems":[{"id":"ITEM-1","itemData":{"DOI":"10.1371/journal.pcbi.1009442","ISBN":"1111111111","ISSN":"15537358","PMID":"34784344","abstract":"It is challenging to associate features such as human health outcomes, diet, environmental conditions, or other metadata to microbial community measurements, due in part to their quantitative properties. Microbiome multi-omics are typically noisy, sparse (zeroinflated), high-dimensional, extremely non-normal, and often in the form of count or compositional measurements. Here we introduce an optimized combination of novel and established methodology to assess multivariable association of microbial community features with complex metadata in population-scale observational studies. Our approach, MaAsLin 2 (Microbiome Multivariable Associations with Linear Models), uses generalized linear and mixed models to accommodate a wide variety of modern epidemiological studies, including cross-sectional and longitudinal designs, as well as a variety of data types (e.g., counts and relative abundances) with or without covariates and repeated measurements. To construct this method, we conducted a large-scale evaluation of a broad range of scenarios under which straightforward identification of meta-omics associations can be challenging. These simulation studies reveal that MaAsLin 2's linear model preserves statistical power in the presence of repeated measures and multiple covariates, while accounting for the nuances of meta-omics features and controlling false discovery. We also applied MaAsLin 2 to a microbial multi-omics dataset from the Integrative Human Microbiome (HMP2) project which, in addition to reproducing established results, revealed a unique, integrated landscape of inflammatory bowel diseases (IBD) across multiple time points and omics profiles.","author":[{"dropping-particle":"","family":"Mallick","given":"Himel","non-dropping-particle":"","parse-names":false,"suffix":""},{"dropping-particle":"","family":"Rahnavard","given":"Ali","non-dropping-particle":"","parse-names":false,"suffix":""},{"dropping-particle":"","family":"McIver","given":"Lauren J.","non-dropping-particle":"","parse-names":false,"suffix":""},{"dropping-particle":"","family":"Ma","given":"Siyuan","non-dropping-particle":"","parse-names":false,"suffix":""},{"dropping-particle":"","family":"Zhang","given":"Yancong","non-dropping-particle":"","parse-names":false,"suffix":""},{"dropping-particle":"","family":"Nguyen","given":"Long H.","non-dropping-particle":"","parse-names":false,"suffix":""},{"dropping-particle":"","family":"Tickle","given":"Timothy L.","non-dropping-particle":"","parse-names":false,"suffix":""},{"dropping-particle":"","family":"Weingart","given":"George","non-dropping-particle":"","parse-names":false,"suffix":""},{"dropping-particle":"","family":"Ren","given":"Boyu","non-dropping-particle":"","parse-names":false,"suffix":""},{"dropping-particle":"","family":"Schwager","given":"Emma H.","non-dropping-particle":"","parse-names":false,"suffix":""},{"dropping-particle":"","family":"Chatterjee","given":"Suvo","non-dropping-particle":"","parse-names":false,"suffix":""},{"dropping-particle":"","family":"Thompson","given":"Kelsey N.","non-dropping-particle":"","parse-names":false,"suffix":""},{"dropping-particle":"","family":"Wilkinson","given":"Jeremy E.","non-dropping-particle":"","parse-names":false,"suffix":""},{"dropping-particle":"","family":"Subramanian","given":"Ayshwarya","non-dropping-particle":"","parse-names":false,"suffix":""},{"dropping-particle":"","family":"Lu","given":"Yiren","non-dropping-particle":"","parse-names":false,"suffix":""},{"dropping-particle":"","family":"Waldron","given":"Levi","non-dropping-particle":"","parse-names":false,"suffix":""},{"dropping-particle":"","family":"Paulson","given":"Joseph N.","non-dropping-particle":"","parse-names":false,"suffix":""},{"dropping-particle":"","family":"Franzosa","given":"Eric A.","non-dropping-particle":"","parse-names":false,"suffix":""},{"dropping-particle":"","family":"Bravo","given":"Hector Corrada","non-dropping-particle":"","parse-names":false,"suffix":""},{"dropping-particle":"","family":"Huttenhower","given":"Curtis","non-dropping-particle":"","parse-names":false,"suffix":""}],"container-title":"PLoS Computational Biology","id":"ITEM-1","issue":"11","issued":{"date-parts":[["2021"]]},"page":"1-27","title":"Multivariable association discovery in population-scale meta-omics studies","type":"article-journal","volume":"17"},"uris":["http://www.mendeley.com/documents/?uuid=bcf31c97-9342-4a81-a134-6e369779848d"]}],"mendeley":{"formattedCitation":"[22]","plainTextFormattedCitation":"[22]","previouslyFormattedCitation":"[22]"},"properties":{"noteIndex":0},"schema":"https://github.com/citation-style-language/schema/raw/master/csl-citation.json"}</w:instrText>
      </w:r>
      <w:r w:rsidR="000F55E8">
        <w:rPr>
          <w:rFonts w:ascii="Cambria Math" w:hAnsi="Cambria Math"/>
          <w:bCs/>
          <w:color w:val="0D0D0D" w:themeColor="text1" w:themeTint="F2"/>
        </w:rPr>
        <w:fldChar w:fldCharType="separate"/>
      </w:r>
      <w:r w:rsidR="000F55E8" w:rsidRPr="000F55E8">
        <w:rPr>
          <w:rFonts w:ascii="Cambria Math" w:hAnsi="Cambria Math"/>
          <w:bCs/>
          <w:noProof/>
          <w:color w:val="0D0D0D" w:themeColor="text1" w:themeTint="F2"/>
        </w:rPr>
        <w:t>[22]</w:t>
      </w:r>
      <w:r w:rsidR="000F55E8">
        <w:rPr>
          <w:rFonts w:ascii="Cambria Math" w:hAnsi="Cambria Math"/>
          <w:bCs/>
          <w:color w:val="0D0D0D" w:themeColor="text1" w:themeTint="F2"/>
        </w:rPr>
        <w:fldChar w:fldCharType="end"/>
      </w:r>
      <w:r w:rsidR="00117DFD">
        <w:rPr>
          <w:rFonts w:ascii="Cambria Math" w:hAnsi="Cambria Math"/>
          <w:bCs/>
          <w:color w:val="0D0D0D" w:themeColor="text1" w:themeTint="F2"/>
        </w:rPr>
        <w:t xml:space="preserve">. </w:t>
      </w:r>
      <w:r w:rsidR="00771CD8">
        <w:rPr>
          <w:rFonts w:ascii="Cambria Math" w:hAnsi="Cambria Math"/>
          <w:bCs/>
          <w:color w:val="0D0D0D" w:themeColor="text1" w:themeTint="F2"/>
        </w:rPr>
        <w:t>W</w:t>
      </w:r>
      <w:r w:rsidR="00E63E47">
        <w:rPr>
          <w:rFonts w:ascii="Cambria Math" w:hAnsi="Cambria Math"/>
          <w:bCs/>
          <w:color w:val="0D0D0D" w:themeColor="text1" w:themeTint="F2"/>
        </w:rPr>
        <w:t>e</w:t>
      </w:r>
      <w:r w:rsidR="00674725">
        <w:rPr>
          <w:rFonts w:ascii="Cambria Math" w:hAnsi="Cambria Math"/>
          <w:bCs/>
          <w:color w:val="0D0D0D" w:themeColor="text1" w:themeTint="F2"/>
        </w:rPr>
        <w:t xml:space="preserve"> </w:t>
      </w:r>
      <w:r w:rsidR="00461E32">
        <w:rPr>
          <w:rFonts w:ascii="Cambria Math" w:hAnsi="Cambria Math"/>
          <w:bCs/>
          <w:color w:val="0D0D0D" w:themeColor="text1" w:themeTint="F2"/>
        </w:rPr>
        <w:t xml:space="preserve">applied </w:t>
      </w:r>
      <w:r w:rsidR="00D7779A" w:rsidRPr="00D7779A">
        <w:rPr>
          <w:rFonts w:ascii="Cambria Math" w:hAnsi="Cambria Math"/>
          <w:bCs/>
          <w:color w:val="0D0D0D" w:themeColor="text1" w:themeTint="F2"/>
        </w:rPr>
        <w:t xml:space="preserve">a </w:t>
      </w:r>
      <w:r w:rsidR="004A1B69">
        <w:rPr>
          <w:rFonts w:ascii="Cambria Math" w:hAnsi="Cambria Math"/>
          <w:bCs/>
          <w:color w:val="0D0D0D" w:themeColor="text1" w:themeTint="F2"/>
          <w:lang w:eastAsia="zh-CN"/>
        </w:rPr>
        <w:t xml:space="preserve">Mixed </w:t>
      </w:r>
      <w:r w:rsidR="00D7779A" w:rsidRPr="00D7779A">
        <w:rPr>
          <w:rFonts w:ascii="Cambria Math" w:hAnsi="Cambria Math"/>
          <w:bCs/>
          <w:color w:val="0D0D0D" w:themeColor="text1" w:themeTint="F2"/>
        </w:rPr>
        <w:t xml:space="preserve">linear model </w:t>
      </w:r>
      <w:r w:rsidR="00D7779A">
        <w:rPr>
          <w:rFonts w:ascii="Cambria Math" w:hAnsi="Cambria Math"/>
          <w:bCs/>
          <w:color w:val="0D0D0D" w:themeColor="text1" w:themeTint="F2"/>
        </w:rPr>
        <w:t>(</w:t>
      </w:r>
      <w:proofErr w:type="spellStart"/>
      <w:r w:rsidR="004A1B69">
        <w:rPr>
          <w:rFonts w:ascii="Cambria Math" w:hAnsi="Cambria Math"/>
          <w:bCs/>
          <w:color w:val="0D0D0D" w:themeColor="text1" w:themeTint="F2"/>
        </w:rPr>
        <w:t>m</w:t>
      </w:r>
      <w:r w:rsidR="00D7779A">
        <w:rPr>
          <w:rFonts w:ascii="Cambria Math" w:hAnsi="Cambria Math"/>
          <w:bCs/>
          <w:color w:val="0D0D0D" w:themeColor="text1" w:themeTint="F2"/>
        </w:rPr>
        <w:t>lm</w:t>
      </w:r>
      <w:proofErr w:type="spellEnd"/>
      <w:r w:rsidR="00D7779A">
        <w:rPr>
          <w:rFonts w:ascii="Cambria Math" w:hAnsi="Cambria Math"/>
          <w:bCs/>
          <w:color w:val="0D0D0D" w:themeColor="text1" w:themeTint="F2"/>
        </w:rPr>
        <w:t xml:space="preserve">) </w:t>
      </w:r>
      <w:r w:rsidR="00D7779A" w:rsidRPr="00D7779A">
        <w:rPr>
          <w:rFonts w:ascii="Cambria Math" w:hAnsi="Cambria Math"/>
          <w:bCs/>
          <w:color w:val="0D0D0D" w:themeColor="text1" w:themeTint="F2"/>
        </w:rPr>
        <w:t xml:space="preserve">with </w:t>
      </w:r>
      <w:r w:rsidR="00D7779A">
        <w:rPr>
          <w:rFonts w:ascii="Cambria Math" w:hAnsi="Cambria Math"/>
          <w:bCs/>
          <w:color w:val="0D0D0D" w:themeColor="text1" w:themeTint="F2"/>
        </w:rPr>
        <w:t>total sum scaling (</w:t>
      </w:r>
      <w:r w:rsidR="00D7779A" w:rsidRPr="00D7779A">
        <w:rPr>
          <w:rFonts w:ascii="Cambria Math" w:hAnsi="Cambria Math"/>
          <w:bCs/>
          <w:color w:val="0D0D0D" w:themeColor="text1" w:themeTint="F2"/>
        </w:rPr>
        <w:t>TSS</w:t>
      </w:r>
      <w:r w:rsidR="00D7779A">
        <w:rPr>
          <w:rFonts w:ascii="Cambria Math" w:hAnsi="Cambria Math"/>
          <w:bCs/>
          <w:color w:val="0D0D0D" w:themeColor="text1" w:themeTint="F2"/>
        </w:rPr>
        <w:t>)</w:t>
      </w:r>
      <w:r w:rsidR="00D7779A" w:rsidRPr="00D7779A">
        <w:rPr>
          <w:rFonts w:ascii="Cambria Math" w:hAnsi="Cambria Math"/>
          <w:bCs/>
          <w:color w:val="0D0D0D" w:themeColor="text1" w:themeTint="F2"/>
        </w:rPr>
        <w:t xml:space="preserve"> normalization and log transformation</w:t>
      </w:r>
      <w:r w:rsidR="00904834">
        <w:rPr>
          <w:rFonts w:ascii="Cambria Math" w:hAnsi="Cambria Math"/>
          <w:bCs/>
          <w:color w:val="0D0D0D" w:themeColor="text1" w:themeTint="F2"/>
        </w:rPr>
        <w:t>, whilst all other parameters set to default</w:t>
      </w:r>
      <w:r w:rsidR="00E63E47">
        <w:rPr>
          <w:rFonts w:ascii="Cambria Math" w:hAnsi="Cambria Math"/>
          <w:bCs/>
          <w:color w:val="0D0D0D" w:themeColor="text1" w:themeTint="F2"/>
        </w:rPr>
        <w:t>.</w:t>
      </w:r>
      <w:r w:rsidR="004A1B69">
        <w:rPr>
          <w:rFonts w:ascii="Cambria Math" w:hAnsi="Cambria Math"/>
          <w:bCs/>
          <w:color w:val="0D0D0D" w:themeColor="text1" w:themeTint="F2"/>
        </w:rPr>
        <w:t xml:space="preserve"> </w:t>
      </w:r>
      <w:r w:rsidR="006A53BC">
        <w:rPr>
          <w:rFonts w:ascii="Cambria Math" w:hAnsi="Cambria Math"/>
          <w:bCs/>
          <w:color w:val="0D0D0D" w:themeColor="text1" w:themeTint="F2"/>
        </w:rPr>
        <w:t>O</w:t>
      </w:r>
      <w:r w:rsidR="00F52C8A" w:rsidRPr="00F52C8A">
        <w:rPr>
          <w:rFonts w:ascii="Cambria Math" w:hAnsi="Cambria Math"/>
          <w:bCs/>
          <w:color w:val="0D0D0D" w:themeColor="text1" w:themeTint="F2"/>
        </w:rPr>
        <w:t xml:space="preserve">nly </w:t>
      </w:r>
      <w:r w:rsidR="006A53BC">
        <w:rPr>
          <w:rFonts w:ascii="Cambria Math" w:hAnsi="Cambria Math"/>
          <w:bCs/>
          <w:color w:val="0D0D0D" w:themeColor="text1" w:themeTint="F2"/>
        </w:rPr>
        <w:t>taxa</w:t>
      </w:r>
      <w:r w:rsidR="00F52C8A" w:rsidRPr="00F52C8A">
        <w:rPr>
          <w:rFonts w:ascii="Cambria Math" w:hAnsi="Cambria Math"/>
          <w:bCs/>
          <w:color w:val="0D0D0D" w:themeColor="text1" w:themeTint="F2"/>
        </w:rPr>
        <w:t xml:space="preserve"> with q values &lt;0.</w:t>
      </w:r>
      <w:r w:rsidR="00711EDF">
        <w:rPr>
          <w:rFonts w:ascii="Cambria Math" w:hAnsi="Cambria Math"/>
          <w:bCs/>
          <w:color w:val="0D0D0D" w:themeColor="text1" w:themeTint="F2"/>
        </w:rPr>
        <w:t>10</w:t>
      </w:r>
      <w:r w:rsidR="00F52C8A" w:rsidRPr="00F52C8A">
        <w:rPr>
          <w:rFonts w:ascii="Cambria Math" w:hAnsi="Cambria Math"/>
          <w:bCs/>
          <w:color w:val="0D0D0D" w:themeColor="text1" w:themeTint="F2"/>
        </w:rPr>
        <w:t xml:space="preserve"> were deemed differentially abundant.</w:t>
      </w:r>
      <w:r w:rsidR="004A1B69">
        <w:rPr>
          <w:rFonts w:ascii="Cambria Math" w:hAnsi="Cambria Math"/>
          <w:bCs/>
          <w:color w:val="0D0D0D" w:themeColor="text1" w:themeTint="F2"/>
        </w:rPr>
        <w:t xml:space="preserve"> T</w:t>
      </w:r>
      <w:r w:rsidR="004A1B69" w:rsidRPr="0020261E">
        <w:rPr>
          <w:rFonts w:ascii="Cambria Math" w:hAnsi="Cambria Math"/>
          <w:bCs/>
          <w:color w:val="0D0D0D" w:themeColor="text1" w:themeTint="F2"/>
        </w:rPr>
        <w:t xml:space="preserve">he fixed effects included the covariate, </w:t>
      </w:r>
      <w:r w:rsidR="00444DAD">
        <w:rPr>
          <w:rFonts w:ascii="Cambria Math" w:hAnsi="Cambria Math"/>
          <w:bCs/>
          <w:color w:val="0D0D0D" w:themeColor="text1" w:themeTint="F2"/>
        </w:rPr>
        <w:t>“</w:t>
      </w:r>
      <w:r w:rsidR="00444DAD" w:rsidRPr="007F3322">
        <w:rPr>
          <w:rFonts w:ascii="Cambria Math" w:hAnsi="Cambria Math"/>
          <w:bCs/>
          <w:color w:val="0D0D0D" w:themeColor="text1" w:themeTint="F2"/>
        </w:rPr>
        <w:t>timepoint</w:t>
      </w:r>
      <w:r w:rsidR="00444DAD">
        <w:rPr>
          <w:rFonts w:ascii="Cambria Math" w:hAnsi="Cambria Math"/>
          <w:bCs/>
          <w:color w:val="0D0D0D" w:themeColor="text1" w:themeTint="F2"/>
        </w:rPr>
        <w:t>”,</w:t>
      </w:r>
      <w:r w:rsidR="00444DAD" w:rsidRPr="0020261E">
        <w:rPr>
          <w:rFonts w:ascii="Cambria Math" w:hAnsi="Cambria Math"/>
          <w:bCs/>
          <w:color w:val="0D0D0D" w:themeColor="text1" w:themeTint="F2"/>
        </w:rPr>
        <w:t xml:space="preserve"> and confounders (</w:t>
      </w:r>
      <w:r w:rsidR="00444DAD">
        <w:rPr>
          <w:rFonts w:ascii="Cambria Math" w:hAnsi="Cambria Math"/>
          <w:bCs/>
          <w:color w:val="0D0D0D" w:themeColor="text1" w:themeTint="F2"/>
        </w:rPr>
        <w:t>“</w:t>
      </w:r>
      <w:proofErr w:type="spellStart"/>
      <w:r w:rsidR="00444DAD" w:rsidRPr="00965C57">
        <w:rPr>
          <w:rFonts w:ascii="Cambria Math" w:hAnsi="Cambria Math"/>
          <w:bCs/>
          <w:color w:val="0D0D0D" w:themeColor="text1" w:themeTint="F2"/>
        </w:rPr>
        <w:t>age_days_numeric</w:t>
      </w:r>
      <w:proofErr w:type="spellEnd"/>
      <w:r w:rsidR="00444DAD">
        <w:rPr>
          <w:rFonts w:ascii="Cambria Math" w:hAnsi="Cambria Math"/>
          <w:bCs/>
          <w:color w:val="0D0D0D" w:themeColor="text1" w:themeTint="F2"/>
        </w:rPr>
        <w:t>”</w:t>
      </w:r>
      <w:r w:rsidR="00444DAD" w:rsidRPr="0020261E">
        <w:rPr>
          <w:rFonts w:ascii="Cambria Math" w:hAnsi="Cambria Math"/>
          <w:bCs/>
          <w:color w:val="0D0D0D" w:themeColor="text1" w:themeTint="F2"/>
        </w:rPr>
        <w:t xml:space="preserve"> and</w:t>
      </w:r>
      <w:r w:rsidR="00444DAD">
        <w:rPr>
          <w:rFonts w:ascii="Cambria Math" w:hAnsi="Cambria Math"/>
          <w:bCs/>
          <w:color w:val="0D0D0D" w:themeColor="text1" w:themeTint="F2"/>
        </w:rPr>
        <w:t xml:space="preserve"> “</w:t>
      </w:r>
      <w:r w:rsidR="00444DAD" w:rsidRPr="006110D1">
        <w:rPr>
          <w:rFonts w:ascii="Cambria Math" w:hAnsi="Cambria Math"/>
          <w:bCs/>
          <w:color w:val="0D0D0D" w:themeColor="text1" w:themeTint="F2"/>
        </w:rPr>
        <w:t>collection_season2</w:t>
      </w:r>
      <w:r w:rsidR="00444DAD">
        <w:rPr>
          <w:rFonts w:ascii="Cambria Math" w:hAnsi="Cambria Math"/>
          <w:bCs/>
          <w:color w:val="0D0D0D" w:themeColor="text1" w:themeTint="F2"/>
        </w:rPr>
        <w:t>”</w:t>
      </w:r>
      <w:r w:rsidR="00444DAD" w:rsidRPr="0020261E">
        <w:rPr>
          <w:rFonts w:ascii="Cambria Math" w:hAnsi="Cambria Math"/>
          <w:bCs/>
          <w:color w:val="0D0D0D" w:themeColor="text1" w:themeTint="F2"/>
        </w:rPr>
        <w:t>).</w:t>
      </w:r>
      <w:r w:rsidR="004A1B69" w:rsidRPr="0020261E">
        <w:rPr>
          <w:rFonts w:ascii="Cambria Math" w:hAnsi="Cambria Math"/>
          <w:bCs/>
          <w:color w:val="0D0D0D" w:themeColor="text1" w:themeTint="F2"/>
        </w:rPr>
        <w:t xml:space="preserve"> The random effect </w:t>
      </w:r>
      <w:r w:rsidR="004A1B69">
        <w:rPr>
          <w:rFonts w:ascii="Cambria Math" w:hAnsi="Cambria Math"/>
          <w:bCs/>
          <w:color w:val="0D0D0D" w:themeColor="text1" w:themeTint="F2"/>
        </w:rPr>
        <w:t>was</w:t>
      </w:r>
      <w:r w:rsidR="004A1B69" w:rsidRPr="0020261E">
        <w:rPr>
          <w:rFonts w:ascii="Cambria Math" w:hAnsi="Cambria Math"/>
          <w:bCs/>
          <w:color w:val="0D0D0D" w:themeColor="text1" w:themeTint="F2"/>
        </w:rPr>
        <w:t xml:space="preserve"> the individual participants.</w:t>
      </w:r>
      <w:r w:rsidR="004A1B69">
        <w:rPr>
          <w:rFonts w:ascii="Cambria Math" w:hAnsi="Cambria Math"/>
          <w:bCs/>
          <w:color w:val="0D0D0D" w:themeColor="text1" w:themeTint="F2"/>
        </w:rPr>
        <w:t xml:space="preserve"> By default, ASVs with FDR &lt; 0.25 (</w:t>
      </w:r>
      <w:r w:rsidR="004A1B69">
        <w:rPr>
          <w:rFonts w:ascii="Cambria Math" w:hAnsi="Cambria Math"/>
          <w:bCs/>
          <w:color w:val="0D0D0D" w:themeColor="text1" w:themeTint="F2"/>
          <w:lang w:eastAsia="zh-CN"/>
        </w:rPr>
        <w:t>BH-corrected P-values</w:t>
      </w:r>
      <w:r w:rsidR="004A1B69">
        <w:rPr>
          <w:rFonts w:ascii="Cambria Math" w:hAnsi="Cambria Math"/>
          <w:bCs/>
          <w:color w:val="0D0D0D" w:themeColor="text1" w:themeTint="F2"/>
        </w:rPr>
        <w:t>) were considered significant by MaAsLin2.</w:t>
      </w:r>
      <w:r w:rsidR="004A1B69" w:rsidRPr="0020261E">
        <w:rPr>
          <w:rFonts w:ascii="Cambria Math" w:hAnsi="Cambria Math"/>
          <w:bCs/>
          <w:color w:val="0D0D0D" w:themeColor="text1" w:themeTint="F2"/>
        </w:rPr>
        <w:t xml:space="preserve"> </w:t>
      </w:r>
      <w:r w:rsidR="004A1B69">
        <w:rPr>
          <w:rFonts w:ascii="Cambria Math" w:hAnsi="Cambria Math"/>
          <w:bCs/>
          <w:color w:val="0D0D0D" w:themeColor="text1" w:themeTint="F2"/>
        </w:rPr>
        <w:t>In parallel, w</w:t>
      </w:r>
      <w:r w:rsidR="00267EC4">
        <w:rPr>
          <w:rFonts w:ascii="Cambria Math" w:hAnsi="Cambria Math"/>
          <w:bCs/>
          <w:color w:val="0D0D0D" w:themeColor="text1" w:themeTint="F2"/>
        </w:rPr>
        <w:t xml:space="preserve">e also performed differential abundance testing using </w:t>
      </w:r>
      <w:r w:rsidR="00267EC4" w:rsidRPr="00695AAB">
        <w:rPr>
          <w:rFonts w:ascii="Cambria Math" w:hAnsi="Cambria Math"/>
          <w:bCs/>
          <w:color w:val="0D0D0D" w:themeColor="text1" w:themeTint="F2"/>
        </w:rPr>
        <w:t xml:space="preserve">Analysis of Composition of Microbiomes (ANCOM2) </w:t>
      </w:r>
      <w:r w:rsidR="00267EC4" w:rsidRPr="00695AAB">
        <w:rPr>
          <w:rFonts w:ascii="Cambria Math" w:hAnsi="Cambria Math"/>
          <w:bCs/>
          <w:color w:val="0D0D0D" w:themeColor="text1" w:themeTint="F2"/>
        </w:rPr>
        <w:fldChar w:fldCharType="begin" w:fldLock="1"/>
      </w:r>
      <w:r w:rsidR="00760B7A">
        <w:rPr>
          <w:rFonts w:ascii="Cambria Math" w:hAnsi="Cambria Math"/>
          <w:bCs/>
          <w:color w:val="0D0D0D" w:themeColor="text1" w:themeTint="F2"/>
        </w:rPr>
        <w:instrText>ADDIN CSL_CITATION {"citationItems":[{"id":"ITEM-1","itemData":{"DOI":"10.3402/mehd.v26.27663","ISSN":"0891-060X","PMID":"26028277","abstract":"BACKGROUND Understanding the factors regulating our microbiota is important but requires appropriate statistical methodology. When comparing two or more populations most existing approaches either discount the underlying compositional structure in the microbiome data or use probability models such as the multinomial and Dirichlet-multinomial distributions, which may impose a correlation structure not suitable for microbiome data. OBJECTIVE To develop a methodology that accounts for compositional constraints to reduce false discoveries in detecting differentially abundant taxa at an ecosystem level, while maintaining high statistical power. METHODS We introduced a novel statistical framework called analysis of composition of microbiomes (ANCOM). ANCOM accounts for the underlying structure in the data and can be used for comparing the composition of microbiomes in two or more populations. ANCOM makes no distributional assumptions and can be implemented in a linear model framework to adjust for covariates as well as model longitudinal data. ANCOM also scales well to compare samples involving thousands of taxa. RESULTS We compared the performance of ANCOM to the standard t-test and a recently published methodology called Zero Inflated Gaussian (ZIG) methodology (1) for drawing inferences on the mean taxa abundance in two or more populations. ANCOM controlled the false discovery rate (FDR) at the desired nominal level while also improving power, whereas the t-test and ZIG had inflated FDRs, in some instances as high as 68% for the t-test and 60% for ZIG. We illustrate the performance of ANCOM using two publicly available microbial datasets in the human gut, demonstrating its general applicability to testing hypotheses about compositional differences in microbial communities. CONCLUSION Accounting for compositionality using log-ratio analysis results in significantly improved inference in microbiota survey data.","author":[{"dropping-particle":"","family":"Mandal","given":"Siddhartha","non-dropping-particle":"","parse-names":false,"suffix":""},{"dropping-particle":"","family":"Treuren","given":"Will","non-dropping-particle":"Van","parse-names":false,"suffix":""},{"dropping-particle":"","family":"White","given":"Richard A.","non-dropping-particle":"","parse-names":false,"suffix":""},{"dropping-particle":"","family":"Eggesbø","given":"Merete","non-dropping-particle":"","parse-names":false,"suffix":""},{"dropping-particle":"","family":"Knight","given":"Rob","non-dropping-particle":"","parse-names":false,"suffix":""},{"dropping-particle":"","family":"Peddada","given":"Shyamal D.","non-dropping-particle":"","parse-names":false,"suffix":""}],"container-title":"Microbial Ecology in Health &amp; Disease","id":"ITEM-1","issued":{"date-parts":[["2015"]]},"page":"27663","title":"Analysis of composition of microbiomes: a novel method for studying microbial composition","type":"article-journal","volume":"26"},"uris":["http://www.mendeley.com/documents/?uuid=9386ca2c-8096-427c-b314-88f2f8a3610f"]}],"mendeley":{"formattedCitation":"[23]","plainTextFormattedCitation":"[23]","previouslyFormattedCitation":"[23]"},"properties":{"noteIndex":0},"schema":"https://github.com/citation-style-language/schema/raw/master/csl-citation.json"}</w:instrText>
      </w:r>
      <w:r w:rsidR="00267EC4" w:rsidRPr="00695AAB">
        <w:rPr>
          <w:rFonts w:ascii="Cambria Math" w:hAnsi="Cambria Math"/>
          <w:bCs/>
          <w:color w:val="0D0D0D" w:themeColor="text1" w:themeTint="F2"/>
        </w:rPr>
        <w:fldChar w:fldCharType="separate"/>
      </w:r>
      <w:r w:rsidR="000F55E8" w:rsidRPr="000F55E8">
        <w:rPr>
          <w:rFonts w:ascii="Cambria Math" w:hAnsi="Cambria Math"/>
          <w:bCs/>
          <w:noProof/>
          <w:color w:val="0D0D0D" w:themeColor="text1" w:themeTint="F2"/>
        </w:rPr>
        <w:t>[23]</w:t>
      </w:r>
      <w:r w:rsidR="00267EC4" w:rsidRPr="00695AAB">
        <w:rPr>
          <w:rFonts w:ascii="Cambria Math" w:hAnsi="Cambria Math"/>
          <w:bCs/>
          <w:color w:val="0D0D0D" w:themeColor="text1" w:themeTint="F2"/>
        </w:rPr>
        <w:fldChar w:fldCharType="end"/>
      </w:r>
      <w:r w:rsidR="00267EC4" w:rsidRPr="00695AAB">
        <w:rPr>
          <w:rFonts w:ascii="Cambria Math" w:hAnsi="Cambria Math"/>
          <w:bCs/>
          <w:color w:val="0D0D0D" w:themeColor="text1" w:themeTint="F2"/>
        </w:rPr>
        <w:t xml:space="preserve"> with </w:t>
      </w:r>
      <w:r w:rsidR="004A1B69">
        <w:rPr>
          <w:rFonts w:ascii="Cambria Math" w:hAnsi="Cambria Math"/>
          <w:bCs/>
          <w:color w:val="0D0D0D" w:themeColor="text1" w:themeTint="F2"/>
        </w:rPr>
        <w:t>W-0.6 as the default significance cut-off</w:t>
      </w:r>
      <w:r w:rsidR="00AF5BD9">
        <w:rPr>
          <w:rFonts w:ascii="Cambria Math" w:hAnsi="Cambria Math"/>
          <w:bCs/>
          <w:color w:val="0D0D0D" w:themeColor="text1" w:themeTint="F2"/>
        </w:rPr>
        <w:t>.</w:t>
      </w:r>
      <w:r w:rsidR="00F14A23">
        <w:rPr>
          <w:rFonts w:ascii="Cambria Math" w:hAnsi="Cambria Math"/>
          <w:bCs/>
          <w:color w:val="0D0D0D" w:themeColor="text1" w:themeTint="F2"/>
        </w:rPr>
        <w:t xml:space="preserve"> </w:t>
      </w:r>
      <w:r w:rsidR="00F14A23" w:rsidRPr="00695AAB">
        <w:rPr>
          <w:rFonts w:ascii="Cambria Math" w:hAnsi="Cambria Math"/>
          <w:bCs/>
          <w:color w:val="0D0D0D" w:themeColor="text1" w:themeTint="F2"/>
        </w:rPr>
        <w:t>We applied a random effects model to each of the three specimen collection intervals</w:t>
      </w:r>
      <w:r w:rsidR="00F14A23" w:rsidRPr="00695AAB">
        <w:rPr>
          <w:rFonts w:ascii="Cambria Math" w:hAnsi="Cambria Math"/>
          <w:color w:val="0D0D0D" w:themeColor="text1" w:themeTint="F2"/>
        </w:rPr>
        <w:t xml:space="preserve">. </w:t>
      </w:r>
      <w:r w:rsidR="00F14A23" w:rsidRPr="00695AAB">
        <w:rPr>
          <w:rFonts w:ascii="Cambria Math" w:hAnsi="Cambria Math"/>
          <w:bCs/>
          <w:color w:val="0D0D0D" w:themeColor="text1" w:themeTint="F2"/>
        </w:rPr>
        <w:t xml:space="preserve">An </w:t>
      </w:r>
      <w:r w:rsidR="00F14A23" w:rsidRPr="00695AAB">
        <w:rPr>
          <w:rFonts w:ascii="Cambria Math" w:hAnsi="Cambria Math"/>
          <w:bCs/>
          <w:color w:val="0D0D0D" w:themeColor="text1" w:themeTint="F2"/>
        </w:rPr>
        <w:t>ANCOM</w:t>
      </w:r>
      <w:r w:rsidR="00FD3D55">
        <w:rPr>
          <w:rFonts w:ascii="Cambria Math" w:hAnsi="Cambria Math"/>
          <w:bCs/>
          <w:color w:val="0D0D0D" w:themeColor="text1" w:themeTint="F2"/>
        </w:rPr>
        <w:t>2</w:t>
      </w:r>
      <w:r w:rsidR="00F14A23" w:rsidRPr="00695AAB">
        <w:rPr>
          <w:rFonts w:ascii="Cambria Math" w:hAnsi="Cambria Math"/>
          <w:bCs/>
          <w:color w:val="0D0D0D" w:themeColor="text1" w:themeTint="F2"/>
        </w:rPr>
        <w:t xml:space="preserve"> detection level ≥0.6 was considered statistically significant and reported if the </w:t>
      </w:r>
      <w:proofErr w:type="spellStart"/>
      <w:r w:rsidR="00F14A23" w:rsidRPr="00695AAB">
        <w:rPr>
          <w:rFonts w:ascii="Cambria Math" w:hAnsi="Cambria Math"/>
          <w:bCs/>
          <w:color w:val="0D0D0D" w:themeColor="text1" w:themeTint="F2"/>
        </w:rPr>
        <w:t>centered</w:t>
      </w:r>
      <w:proofErr w:type="spellEnd"/>
      <w:r w:rsidR="00F14A23" w:rsidRPr="00695AAB">
        <w:rPr>
          <w:rFonts w:ascii="Cambria Math" w:hAnsi="Cambria Math"/>
          <w:bCs/>
          <w:color w:val="0D0D0D" w:themeColor="text1" w:themeTint="F2"/>
        </w:rPr>
        <w:t xml:space="preserve"> log ratio (</w:t>
      </w:r>
      <w:proofErr w:type="spellStart"/>
      <w:r w:rsidR="00F14A23" w:rsidRPr="00695AAB">
        <w:rPr>
          <w:rFonts w:ascii="Cambria Math" w:hAnsi="Cambria Math"/>
          <w:bCs/>
          <w:color w:val="0D0D0D" w:themeColor="text1" w:themeTint="F2"/>
        </w:rPr>
        <w:t>clr</w:t>
      </w:r>
      <w:proofErr w:type="spellEnd"/>
      <w:r w:rsidR="00F14A23" w:rsidRPr="00695AAB">
        <w:rPr>
          <w:rFonts w:ascii="Cambria Math" w:hAnsi="Cambria Math"/>
          <w:bCs/>
          <w:color w:val="0D0D0D" w:themeColor="text1" w:themeTint="F2"/>
        </w:rPr>
        <w:t>)-transformed mean difference between groups was &gt;0.03.</w:t>
      </w:r>
      <w:r w:rsidR="00F14A23">
        <w:rPr>
          <w:rFonts w:ascii="Cambria Math" w:hAnsi="Cambria Math"/>
          <w:color w:val="0D0D0D" w:themeColor="text1" w:themeTint="F2"/>
        </w:rPr>
        <w:t xml:space="preserve"> </w:t>
      </w:r>
      <w:r w:rsidR="00FD3D55">
        <w:rPr>
          <w:rFonts w:ascii="Cambria Math" w:hAnsi="Cambria Math"/>
          <w:bCs/>
          <w:color w:val="0D0D0D" w:themeColor="text1" w:themeTint="F2"/>
        </w:rPr>
        <w:t>Both MaAslin2 and ANCOM2</w:t>
      </w:r>
      <w:r w:rsidR="005F5290" w:rsidRPr="00695AAB">
        <w:rPr>
          <w:rFonts w:ascii="Cambria Math" w:hAnsi="Cambria Math"/>
          <w:bCs/>
          <w:color w:val="0D0D0D" w:themeColor="text1" w:themeTint="F2"/>
        </w:rPr>
        <w:t xml:space="preserve"> analyses were adjusted for </w:t>
      </w:r>
      <w:r w:rsidR="00C911A0" w:rsidRPr="0020261E">
        <w:rPr>
          <w:rFonts w:ascii="Cambria Math" w:hAnsi="Cambria Math"/>
          <w:bCs/>
          <w:color w:val="0D0D0D" w:themeColor="text1" w:themeTint="F2"/>
        </w:rPr>
        <w:t>specimen collection age and season</w:t>
      </w:r>
      <w:r w:rsidR="005F5290" w:rsidRPr="00695AAB">
        <w:rPr>
          <w:rFonts w:ascii="Cambria Math" w:hAnsi="Cambria Math"/>
          <w:bCs/>
          <w:color w:val="0D0D0D" w:themeColor="text1" w:themeTint="F2"/>
        </w:rPr>
        <w:t xml:space="preserve">. </w:t>
      </w:r>
    </w:p>
    <w:p w14:paraId="3853571E" w14:textId="77777777" w:rsidR="00034059" w:rsidRDefault="00034059" w:rsidP="00321D69">
      <w:pPr>
        <w:spacing w:after="0" w:line="480" w:lineRule="auto"/>
        <w:jc w:val="both"/>
        <w:rPr>
          <w:rFonts w:ascii="Cambria Math" w:hAnsi="Cambria Math"/>
        </w:rPr>
      </w:pPr>
    </w:p>
    <w:p w14:paraId="3ABEEC2C" w14:textId="77777777" w:rsidR="008B1D0A" w:rsidRDefault="008B1D0A" w:rsidP="00321D69">
      <w:pPr>
        <w:spacing w:after="0" w:line="480" w:lineRule="auto"/>
        <w:jc w:val="both"/>
        <w:rPr>
          <w:rFonts w:ascii="Cambria Math" w:hAnsi="Cambria Math"/>
        </w:rPr>
      </w:pPr>
    </w:p>
    <w:p w14:paraId="3435110B" w14:textId="77777777" w:rsidR="008B1D0A" w:rsidRDefault="008B1D0A" w:rsidP="00321D69">
      <w:pPr>
        <w:spacing w:after="0" w:line="480" w:lineRule="auto"/>
        <w:jc w:val="both"/>
        <w:rPr>
          <w:rFonts w:ascii="Cambria Math" w:hAnsi="Cambria Math"/>
        </w:rPr>
      </w:pPr>
    </w:p>
    <w:p w14:paraId="3E3B4D6D" w14:textId="77777777" w:rsidR="008B1D0A" w:rsidRDefault="008B1D0A" w:rsidP="00321D69">
      <w:pPr>
        <w:spacing w:after="0" w:line="480" w:lineRule="auto"/>
        <w:jc w:val="both"/>
        <w:rPr>
          <w:rFonts w:ascii="Cambria Math" w:hAnsi="Cambria Math"/>
        </w:rPr>
      </w:pPr>
    </w:p>
    <w:p w14:paraId="28EEB7F9" w14:textId="77777777" w:rsidR="008B1D0A" w:rsidRDefault="008B1D0A" w:rsidP="00321D69">
      <w:pPr>
        <w:spacing w:after="0" w:line="480" w:lineRule="auto"/>
        <w:jc w:val="both"/>
        <w:rPr>
          <w:rFonts w:ascii="Cambria Math" w:hAnsi="Cambria Math"/>
        </w:rPr>
      </w:pPr>
    </w:p>
    <w:p w14:paraId="00A44C02" w14:textId="636D11F6" w:rsidR="00F64802" w:rsidRDefault="00034059" w:rsidP="00034059">
      <w:pPr>
        <w:spacing w:after="0" w:line="480" w:lineRule="auto"/>
        <w:rPr>
          <w:rFonts w:ascii="Cambria Math" w:hAnsi="Cambria Math"/>
          <w:b/>
          <w:bCs/>
          <w:sz w:val="28"/>
          <w:szCs w:val="28"/>
        </w:rPr>
      </w:pPr>
      <w:r>
        <w:rPr>
          <w:rFonts w:ascii="Cambria Math" w:hAnsi="Cambria Math"/>
          <w:b/>
          <w:bCs/>
          <w:sz w:val="28"/>
          <w:szCs w:val="28"/>
        </w:rPr>
        <w:lastRenderedPageBreak/>
        <w:t>Section B</w:t>
      </w:r>
    </w:p>
    <w:p w14:paraId="0F657DC1" w14:textId="0C7F09B6" w:rsidR="00034059" w:rsidRPr="007264C5" w:rsidRDefault="00034059" w:rsidP="00034059">
      <w:pPr>
        <w:spacing w:after="0" w:line="480" w:lineRule="auto"/>
        <w:rPr>
          <w:rFonts w:ascii="Cambria Math" w:hAnsi="Cambria Math"/>
          <w:b/>
          <w:bCs/>
          <w:sz w:val="28"/>
          <w:szCs w:val="28"/>
        </w:rPr>
      </w:pPr>
      <w:r w:rsidRPr="007264C5">
        <w:rPr>
          <w:rFonts w:ascii="Cambria Math" w:hAnsi="Cambria Math"/>
          <w:b/>
          <w:bCs/>
          <w:sz w:val="28"/>
          <w:szCs w:val="28"/>
        </w:rPr>
        <w:t xml:space="preserve">Extended </w:t>
      </w:r>
      <w:r w:rsidR="009C6410">
        <w:rPr>
          <w:rFonts w:ascii="Cambria Math" w:hAnsi="Cambria Math"/>
          <w:b/>
          <w:bCs/>
          <w:sz w:val="28"/>
          <w:szCs w:val="28"/>
        </w:rPr>
        <w:t>results</w:t>
      </w:r>
      <w:r w:rsidR="00F64802">
        <w:rPr>
          <w:rFonts w:ascii="Cambria Math" w:hAnsi="Cambria Math"/>
          <w:b/>
          <w:bCs/>
          <w:sz w:val="28"/>
          <w:szCs w:val="28"/>
        </w:rPr>
        <w:t xml:space="preserve"> - sequencing controls</w:t>
      </w:r>
    </w:p>
    <w:p w14:paraId="66C7963E" w14:textId="2B7E06D7" w:rsidR="00E86840" w:rsidRPr="008B1D0A" w:rsidRDefault="00156099" w:rsidP="00E86840">
      <w:pPr>
        <w:spacing w:after="0" w:line="480" w:lineRule="auto"/>
        <w:contextualSpacing/>
        <w:jc w:val="both"/>
        <w:rPr>
          <w:rFonts w:ascii="Cambria Math" w:hAnsi="Cambria Math"/>
        </w:rPr>
      </w:pPr>
      <w:r>
        <w:rPr>
          <w:rFonts w:ascii="Cambria Math" w:hAnsi="Cambria Math"/>
        </w:rPr>
        <w:t xml:space="preserve">Bacterial profiles from the 24 mock community controls </w:t>
      </w:r>
      <w:r w:rsidR="00E86840">
        <w:rPr>
          <w:rFonts w:ascii="Cambria Math" w:hAnsi="Cambria Math"/>
        </w:rPr>
        <w:t>[</w:t>
      </w:r>
      <w:r w:rsidR="00E86840" w:rsidRPr="00E86840">
        <w:rPr>
          <w:rFonts w:ascii="Cambria Math" w:hAnsi="Cambria Math"/>
        </w:rPr>
        <w:t>“BEI-DNA” (n=4) and “</w:t>
      </w:r>
      <w:proofErr w:type="spellStart"/>
      <w:r w:rsidR="00E86840" w:rsidRPr="00E86840">
        <w:rPr>
          <w:rFonts w:ascii="Cambria Math" w:hAnsi="Cambria Math"/>
        </w:rPr>
        <w:t>Zymobiomics</w:t>
      </w:r>
      <w:proofErr w:type="spellEnd"/>
      <w:r w:rsidR="00E86840" w:rsidRPr="00E86840">
        <w:rPr>
          <w:rFonts w:ascii="Cambria Math" w:hAnsi="Cambria Math"/>
        </w:rPr>
        <w:t>-DNA” (n=20)</w:t>
      </w:r>
      <w:r w:rsidR="00E86840">
        <w:rPr>
          <w:rFonts w:ascii="Cambria Math" w:hAnsi="Cambria Math"/>
        </w:rPr>
        <w:t xml:space="preserve">] </w:t>
      </w:r>
      <w:r>
        <w:rPr>
          <w:rFonts w:ascii="Cambria Math" w:hAnsi="Cambria Math"/>
        </w:rPr>
        <w:t xml:space="preserve">included in the five sequencing runs </w:t>
      </w:r>
      <w:r w:rsidRPr="00434B3D">
        <w:rPr>
          <w:rFonts w:ascii="Cambria Math" w:hAnsi="Cambria Math"/>
        </w:rPr>
        <w:t xml:space="preserve">were </w:t>
      </w:r>
      <w:r>
        <w:rPr>
          <w:rFonts w:ascii="Cambria Math" w:hAnsi="Cambria Math"/>
        </w:rPr>
        <w:t xml:space="preserve">reproducible and </w:t>
      </w:r>
      <w:r w:rsidRPr="00434B3D">
        <w:rPr>
          <w:rFonts w:ascii="Cambria Math" w:hAnsi="Cambria Math"/>
        </w:rPr>
        <w:t xml:space="preserve">comparable to the </w:t>
      </w:r>
      <w:r w:rsidRPr="008B1D0A">
        <w:rPr>
          <w:rFonts w:ascii="Cambria Math" w:hAnsi="Cambria Math"/>
        </w:rPr>
        <w:t>theoretical compositions provided by the manufacturer (</w:t>
      </w:r>
      <w:r w:rsidR="0034026B" w:rsidRPr="008B1D0A">
        <w:rPr>
          <w:rFonts w:ascii="Cambria Math" w:hAnsi="Cambria Math"/>
        </w:rPr>
        <w:t>Figure S2</w:t>
      </w:r>
      <w:r w:rsidRPr="008B1D0A">
        <w:rPr>
          <w:rFonts w:ascii="Cambria Math" w:hAnsi="Cambria Math"/>
        </w:rPr>
        <w:t xml:space="preserve">). </w:t>
      </w:r>
    </w:p>
    <w:p w14:paraId="11DBC13C" w14:textId="77777777" w:rsidR="00E86840" w:rsidRDefault="00E86840" w:rsidP="00E86840">
      <w:pPr>
        <w:spacing w:after="0" w:line="480" w:lineRule="auto"/>
        <w:contextualSpacing/>
        <w:jc w:val="both"/>
        <w:rPr>
          <w:rFonts w:ascii="Cambria Math" w:hAnsi="Cambria Math"/>
          <w:color w:val="00B050"/>
        </w:rPr>
      </w:pPr>
      <w:r>
        <w:rPr>
          <w:rFonts w:ascii="Cambria Math" w:hAnsi="Cambria Math"/>
          <w:noProof/>
          <w:color w:val="00B050"/>
        </w:rPr>
        <w:drawing>
          <wp:inline distT="0" distB="0" distL="0" distR="0" wp14:anchorId="43C822F5" wp14:editId="6FF1E3A6">
            <wp:extent cx="5731510" cy="5172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172075"/>
                    </a:xfrm>
                    <a:prstGeom prst="rect">
                      <a:avLst/>
                    </a:prstGeom>
                  </pic:spPr>
                </pic:pic>
              </a:graphicData>
            </a:graphic>
          </wp:inline>
        </w:drawing>
      </w:r>
    </w:p>
    <w:p w14:paraId="3690E62D" w14:textId="77777777" w:rsidR="00E86840" w:rsidRPr="00D82113" w:rsidRDefault="00E86840" w:rsidP="00E86840">
      <w:pPr>
        <w:spacing w:after="0" w:line="240" w:lineRule="auto"/>
        <w:jc w:val="both"/>
        <w:rPr>
          <w:rFonts w:ascii="Book Antiqua" w:hAnsi="Book Antiqua"/>
          <w:b/>
          <w:bCs/>
          <w:color w:val="0D0D0D" w:themeColor="text1" w:themeTint="F2"/>
          <w:sz w:val="18"/>
          <w:szCs w:val="18"/>
          <w:lang w:val="en-US"/>
        </w:rPr>
      </w:pPr>
      <w:r w:rsidRPr="00D82113">
        <w:rPr>
          <w:rFonts w:ascii="Book Antiqua" w:hAnsi="Book Antiqua"/>
          <w:b/>
          <w:bCs/>
          <w:color w:val="0D0D0D" w:themeColor="text1" w:themeTint="F2"/>
          <w:sz w:val="18"/>
          <w:szCs w:val="18"/>
          <w:lang w:val="en-US"/>
        </w:rPr>
        <w:t>Figure S2 Bacterial profiles sequenced from two sets of bacterial mock community DNA controls</w:t>
      </w:r>
    </w:p>
    <w:p w14:paraId="6FDB1BD8" w14:textId="77777777" w:rsidR="00E86840" w:rsidRPr="00D82113" w:rsidRDefault="00E86840" w:rsidP="00E86840">
      <w:pPr>
        <w:spacing w:after="0" w:line="240" w:lineRule="auto"/>
        <w:jc w:val="both"/>
        <w:rPr>
          <w:rFonts w:ascii="Book Antiqua" w:hAnsi="Book Antiqua"/>
          <w:color w:val="0D0D0D" w:themeColor="text1" w:themeTint="F2"/>
          <w:lang w:val="en-US"/>
        </w:rPr>
      </w:pPr>
      <w:r w:rsidRPr="00D82113">
        <w:rPr>
          <w:rFonts w:ascii="Book Antiqua" w:hAnsi="Book Antiqua"/>
          <w:color w:val="0D0D0D" w:themeColor="text1" w:themeTint="F2"/>
          <w:sz w:val="18"/>
          <w:szCs w:val="18"/>
          <w:lang w:val="en-US"/>
        </w:rPr>
        <w:t>A) 1-in-</w:t>
      </w:r>
      <w:proofErr w:type="gramStart"/>
      <w:r w:rsidRPr="00D82113">
        <w:rPr>
          <w:rFonts w:ascii="Book Antiqua" w:hAnsi="Book Antiqua"/>
          <w:color w:val="0D0D0D" w:themeColor="text1" w:themeTint="F2"/>
          <w:sz w:val="18"/>
          <w:szCs w:val="18"/>
          <w:lang w:val="en-US"/>
        </w:rPr>
        <w:t>10 fold</w:t>
      </w:r>
      <w:proofErr w:type="gramEnd"/>
      <w:r w:rsidRPr="00D82113">
        <w:rPr>
          <w:rFonts w:ascii="Book Antiqua" w:hAnsi="Book Antiqua"/>
          <w:color w:val="0D0D0D" w:themeColor="text1" w:themeTint="F2"/>
          <w:sz w:val="18"/>
          <w:szCs w:val="18"/>
          <w:lang w:val="en-US"/>
        </w:rPr>
        <w:t xml:space="preserve"> dilutions of HM-783D (BEI Resources, NIAID, NIH as part of the Human Microbiome Project, VA, USA) (“BEI-DNA”), and B) 1-in-10 fold dilutions of </w:t>
      </w:r>
      <w:proofErr w:type="spellStart"/>
      <w:r w:rsidRPr="00D82113">
        <w:rPr>
          <w:rFonts w:ascii="Book Antiqua" w:hAnsi="Book Antiqua"/>
          <w:color w:val="0D0D0D" w:themeColor="text1" w:themeTint="F2"/>
          <w:sz w:val="18"/>
          <w:szCs w:val="18"/>
          <w:lang w:val="en-US"/>
        </w:rPr>
        <w:t>ZymoBIOMICS</w:t>
      </w:r>
      <w:proofErr w:type="spellEnd"/>
      <w:r w:rsidRPr="00D82113">
        <w:rPr>
          <w:rFonts w:ascii="Book Antiqua" w:hAnsi="Book Antiqua"/>
          <w:color w:val="0D0D0D" w:themeColor="text1" w:themeTint="F2"/>
          <w:sz w:val="18"/>
          <w:szCs w:val="18"/>
          <w:lang w:val="en-US"/>
        </w:rPr>
        <w:t xml:space="preserve">™ Microbial Community DNA Standard (catalogue no. D6305, </w:t>
      </w:r>
      <w:proofErr w:type="spellStart"/>
      <w:r w:rsidRPr="00D82113">
        <w:rPr>
          <w:rFonts w:ascii="Book Antiqua" w:hAnsi="Book Antiqua"/>
          <w:color w:val="0D0D0D" w:themeColor="text1" w:themeTint="F2"/>
          <w:sz w:val="18"/>
          <w:szCs w:val="18"/>
          <w:lang w:val="en-US"/>
        </w:rPr>
        <w:t>Zymo</w:t>
      </w:r>
      <w:proofErr w:type="spellEnd"/>
      <w:r w:rsidRPr="00D82113">
        <w:rPr>
          <w:rFonts w:ascii="Book Antiqua" w:hAnsi="Book Antiqua"/>
          <w:color w:val="0D0D0D" w:themeColor="text1" w:themeTint="F2"/>
          <w:sz w:val="18"/>
          <w:szCs w:val="18"/>
          <w:lang w:val="en-US"/>
        </w:rPr>
        <w:t xml:space="preserve"> Research Corp., Irvine, CA, United States) (“</w:t>
      </w:r>
      <w:proofErr w:type="spellStart"/>
      <w:r w:rsidRPr="00D82113">
        <w:rPr>
          <w:rFonts w:ascii="Book Antiqua" w:hAnsi="Book Antiqua"/>
          <w:color w:val="0D0D0D" w:themeColor="text1" w:themeTint="F2"/>
          <w:sz w:val="18"/>
          <w:szCs w:val="18"/>
          <w:lang w:val="en-US"/>
        </w:rPr>
        <w:t>Zymobiomics</w:t>
      </w:r>
      <w:proofErr w:type="spellEnd"/>
      <w:r w:rsidRPr="00D82113">
        <w:rPr>
          <w:rFonts w:ascii="Book Antiqua" w:hAnsi="Book Antiqua"/>
          <w:color w:val="0D0D0D" w:themeColor="text1" w:themeTint="F2"/>
          <w:sz w:val="18"/>
          <w:szCs w:val="18"/>
          <w:lang w:val="en-US"/>
        </w:rPr>
        <w:t xml:space="preserve">-DNA”)]. Manufacturers’ specified compositions for each of the bacterial mock community DNA controls are represented by blue circles at the bottom of each of the </w:t>
      </w:r>
      <w:proofErr w:type="spellStart"/>
      <w:r w:rsidRPr="00D82113">
        <w:rPr>
          <w:rFonts w:ascii="Book Antiqua" w:hAnsi="Book Antiqua"/>
          <w:color w:val="0D0D0D" w:themeColor="text1" w:themeTint="F2"/>
          <w:sz w:val="18"/>
          <w:szCs w:val="18"/>
          <w:lang w:val="en-US"/>
        </w:rPr>
        <w:t>barplots</w:t>
      </w:r>
      <w:proofErr w:type="spellEnd"/>
      <w:r w:rsidRPr="00D82113">
        <w:rPr>
          <w:rFonts w:ascii="Book Antiqua" w:hAnsi="Book Antiqua"/>
          <w:color w:val="0D0D0D" w:themeColor="text1" w:themeTint="F2"/>
          <w:sz w:val="18"/>
          <w:szCs w:val="18"/>
          <w:lang w:val="en-US"/>
        </w:rPr>
        <w:t xml:space="preserve">. Circles in shades of yellow to dark red at the bottom of each of the </w:t>
      </w:r>
      <w:proofErr w:type="spellStart"/>
      <w:r w:rsidRPr="00D82113">
        <w:rPr>
          <w:rFonts w:ascii="Book Antiqua" w:hAnsi="Book Antiqua"/>
          <w:color w:val="0D0D0D" w:themeColor="text1" w:themeTint="F2"/>
          <w:sz w:val="18"/>
          <w:szCs w:val="18"/>
          <w:lang w:val="en-US"/>
        </w:rPr>
        <w:t>barplots</w:t>
      </w:r>
      <w:proofErr w:type="spellEnd"/>
      <w:r w:rsidRPr="00D82113">
        <w:rPr>
          <w:rFonts w:ascii="Book Antiqua" w:hAnsi="Book Antiqua"/>
          <w:color w:val="0D0D0D" w:themeColor="text1" w:themeTint="F2"/>
          <w:sz w:val="18"/>
          <w:szCs w:val="18"/>
          <w:lang w:val="en-US"/>
        </w:rPr>
        <w:t xml:space="preserve"> represent different sequencing runs in which each of the profiles were generated. Taxonomy is assigned at genus-level, with </w:t>
      </w:r>
      <w:proofErr w:type="spellStart"/>
      <w:r w:rsidRPr="00D82113">
        <w:rPr>
          <w:rFonts w:ascii="Book Antiqua" w:hAnsi="Book Antiqua"/>
          <w:color w:val="0D0D0D" w:themeColor="text1" w:themeTint="F2"/>
          <w:sz w:val="18"/>
          <w:szCs w:val="18"/>
          <w:lang w:val="en-US"/>
        </w:rPr>
        <w:t>colour</w:t>
      </w:r>
      <w:proofErr w:type="spellEnd"/>
      <w:r w:rsidRPr="00D82113">
        <w:rPr>
          <w:rFonts w:ascii="Book Antiqua" w:hAnsi="Book Antiqua"/>
          <w:color w:val="0D0D0D" w:themeColor="text1" w:themeTint="F2"/>
          <w:sz w:val="18"/>
          <w:szCs w:val="18"/>
          <w:lang w:val="en-US"/>
        </w:rPr>
        <w:t>-codes representing phylum-level classification (Shades of blue: Proteobacteria, shades of red: Firmicutes). Amplicon sequence variants (ASVs) detected from bacterial mock community DNA profiles which are not assigned to genera as per manufacturers’ specifications are shown in grey.</w:t>
      </w:r>
      <w:r w:rsidRPr="009951CF">
        <w:rPr>
          <w:noProof/>
        </w:rPr>
        <w:t xml:space="preserve"> </w:t>
      </w:r>
    </w:p>
    <w:p w14:paraId="636A5E10" w14:textId="53A61C53" w:rsidR="00A733DE" w:rsidRPr="008B1D0A" w:rsidRDefault="00156099" w:rsidP="00BF6719">
      <w:pPr>
        <w:spacing w:after="0" w:line="480" w:lineRule="auto"/>
        <w:contextualSpacing/>
        <w:jc w:val="both"/>
        <w:rPr>
          <w:rFonts w:ascii="Cambria Math" w:hAnsi="Cambria Math"/>
        </w:rPr>
      </w:pPr>
      <w:r w:rsidRPr="0017263F">
        <w:rPr>
          <w:rFonts w:ascii="Cambria Math" w:hAnsi="Cambria Math"/>
        </w:rPr>
        <w:lastRenderedPageBreak/>
        <w:t xml:space="preserve">We observed </w:t>
      </w:r>
      <w:r>
        <w:rPr>
          <w:rFonts w:ascii="Cambria Math" w:hAnsi="Cambria Math"/>
        </w:rPr>
        <w:t>high</w:t>
      </w:r>
      <w:r w:rsidRPr="0017263F">
        <w:rPr>
          <w:rFonts w:ascii="Cambria Math" w:hAnsi="Cambria Math"/>
        </w:rPr>
        <w:t xml:space="preserve"> sequencing reproducibility from NP specimens randomly selected for repeat processing: “within-run</w:t>
      </w:r>
      <w:r>
        <w:rPr>
          <w:rFonts w:ascii="Cambria Math" w:hAnsi="Cambria Math"/>
        </w:rPr>
        <w:t>”</w:t>
      </w:r>
      <w:r w:rsidRPr="0017263F">
        <w:rPr>
          <w:rFonts w:ascii="Cambria Math" w:hAnsi="Cambria Math"/>
        </w:rPr>
        <w:t xml:space="preserve"> repeats</w:t>
      </w:r>
      <w:r>
        <w:rPr>
          <w:rFonts w:ascii="Cambria Math" w:hAnsi="Cambria Math"/>
        </w:rPr>
        <w:t xml:space="preserve"> </w:t>
      </w:r>
      <w:r w:rsidRPr="0017263F">
        <w:rPr>
          <w:rFonts w:ascii="Cambria Math" w:hAnsi="Cambria Math"/>
        </w:rPr>
        <w:t>processed in duplicate (n=</w:t>
      </w:r>
      <w:r>
        <w:rPr>
          <w:rFonts w:ascii="Cambria Math" w:hAnsi="Cambria Math"/>
        </w:rPr>
        <w:t>2</w:t>
      </w:r>
      <w:r w:rsidRPr="0017263F">
        <w:rPr>
          <w:rFonts w:ascii="Cambria Math" w:hAnsi="Cambria Math"/>
        </w:rPr>
        <w:t>0) [median R2 = 0.997 (IQR: 0.988–0.999)</w:t>
      </w:r>
      <w:r>
        <w:rPr>
          <w:rFonts w:ascii="Cambria Math" w:hAnsi="Cambria Math"/>
        </w:rPr>
        <w:t>]</w:t>
      </w:r>
      <w:r w:rsidRPr="0017263F">
        <w:rPr>
          <w:rFonts w:ascii="Cambria Math" w:hAnsi="Cambria Math"/>
        </w:rPr>
        <w:t xml:space="preserve"> and “between-run repeats” processed in duplicate (n=11), triplicate (n=1) and quadruplicate (n=2) [median R2 = 0.994 (IQR: 0.987–0.998)] across the five runs.</w:t>
      </w:r>
      <w:r>
        <w:rPr>
          <w:rFonts w:ascii="Cambria Math" w:hAnsi="Cambria Math"/>
        </w:rPr>
        <w:t xml:space="preserve"> </w:t>
      </w:r>
      <w:r w:rsidRPr="006933DC">
        <w:rPr>
          <w:rFonts w:ascii="Cambria Math" w:hAnsi="Cambria Math"/>
        </w:rPr>
        <w:t xml:space="preserve">NP specimens collected at </w:t>
      </w:r>
      <w:r w:rsidRPr="006933DC">
        <w:rPr>
          <w:rFonts w:ascii="Cambria Math" w:hAnsi="Cambria Math"/>
          <w:u w:val="single"/>
        </w:rPr>
        <w:t>&lt;</w:t>
      </w:r>
      <w:r w:rsidRPr="006933DC">
        <w:rPr>
          <w:rFonts w:ascii="Cambria Math" w:hAnsi="Cambria Math"/>
        </w:rPr>
        <w:t xml:space="preserve">10 days of age, NP specimens with </w:t>
      </w:r>
      <w:r w:rsidRPr="006933DC">
        <w:rPr>
          <w:rFonts w:ascii="Cambria Math" w:hAnsi="Cambria Math"/>
          <w:u w:val="single"/>
        </w:rPr>
        <w:t>&lt;</w:t>
      </w:r>
      <w:r w:rsidRPr="006933DC">
        <w:rPr>
          <w:rFonts w:ascii="Cambria Math" w:hAnsi="Cambria Math"/>
        </w:rPr>
        <w:t>300 16S rRNA gene copies/</w:t>
      </w:r>
      <w:proofErr w:type="spellStart"/>
      <w:r w:rsidRPr="006933DC">
        <w:rPr>
          <w:rFonts w:ascii="Cambria Math" w:hAnsi="Cambria Math"/>
        </w:rPr>
        <w:t>μl</w:t>
      </w:r>
      <w:proofErr w:type="spellEnd"/>
      <w:r w:rsidRPr="006933DC">
        <w:rPr>
          <w:rFonts w:ascii="Cambria Math" w:hAnsi="Cambria Math"/>
        </w:rPr>
        <w:t xml:space="preserve"> and NP specimens with </w:t>
      </w:r>
      <w:r w:rsidRPr="006933DC">
        <w:rPr>
          <w:rFonts w:ascii="Cambria Math" w:hAnsi="Cambria Math"/>
          <w:u w:val="single"/>
        </w:rPr>
        <w:t>&lt;</w:t>
      </w:r>
      <w:r w:rsidRPr="006933DC">
        <w:rPr>
          <w:rFonts w:ascii="Cambria Math" w:hAnsi="Cambria Math"/>
        </w:rPr>
        <w:t>1,000 reads</w:t>
      </w:r>
      <w:r>
        <w:rPr>
          <w:rFonts w:ascii="Cambria Math" w:hAnsi="Cambria Math"/>
        </w:rPr>
        <w:t xml:space="preserve"> were less reproducible compared to NP specimens collected at &gt;10</w:t>
      </w:r>
      <w:r w:rsidRPr="00EF2BAA">
        <w:rPr>
          <w:rFonts w:ascii="Cambria Math" w:hAnsi="Cambria Math"/>
        </w:rPr>
        <w:t xml:space="preserve"> </w:t>
      </w:r>
      <w:r w:rsidRPr="006933DC">
        <w:rPr>
          <w:rFonts w:ascii="Cambria Math" w:hAnsi="Cambria Math"/>
        </w:rPr>
        <w:t xml:space="preserve">days of age, NP specimens with </w:t>
      </w:r>
      <w:r w:rsidRPr="00EF2BAA">
        <w:rPr>
          <w:rFonts w:ascii="Cambria Math" w:hAnsi="Cambria Math"/>
        </w:rPr>
        <w:t>&gt;</w:t>
      </w:r>
      <w:r w:rsidRPr="006933DC">
        <w:rPr>
          <w:rFonts w:ascii="Cambria Math" w:hAnsi="Cambria Math"/>
        </w:rPr>
        <w:t>300 16S rRNA gene copies/</w:t>
      </w:r>
      <w:proofErr w:type="spellStart"/>
      <w:r w:rsidRPr="006933DC">
        <w:rPr>
          <w:rFonts w:ascii="Cambria Math" w:hAnsi="Cambria Math"/>
        </w:rPr>
        <w:t>μl</w:t>
      </w:r>
      <w:proofErr w:type="spellEnd"/>
      <w:r w:rsidRPr="006933DC">
        <w:rPr>
          <w:rFonts w:ascii="Cambria Math" w:hAnsi="Cambria Math"/>
        </w:rPr>
        <w:t xml:space="preserve"> and NP specimens with </w:t>
      </w:r>
      <w:r w:rsidRPr="00EF2BAA">
        <w:rPr>
          <w:rFonts w:ascii="Cambria Math" w:hAnsi="Cambria Math"/>
        </w:rPr>
        <w:t>&gt;</w:t>
      </w:r>
      <w:r w:rsidRPr="006933DC">
        <w:rPr>
          <w:rFonts w:ascii="Cambria Math" w:hAnsi="Cambria Math"/>
        </w:rPr>
        <w:t xml:space="preserve">1,000 </w:t>
      </w:r>
      <w:r w:rsidRPr="008B1D0A">
        <w:rPr>
          <w:rFonts w:ascii="Cambria Math" w:hAnsi="Cambria Math"/>
        </w:rPr>
        <w:t>reads, and resultantly flagged for exclusion (</w:t>
      </w:r>
      <w:r w:rsidR="00A733DE" w:rsidRPr="008B1D0A">
        <w:rPr>
          <w:rFonts w:ascii="Cambria Math" w:hAnsi="Cambria Math"/>
        </w:rPr>
        <w:t>Figure S3</w:t>
      </w:r>
      <w:r w:rsidRPr="008B1D0A">
        <w:rPr>
          <w:rFonts w:ascii="Cambria Math" w:hAnsi="Cambria Math"/>
        </w:rPr>
        <w:t xml:space="preserve">). </w:t>
      </w:r>
    </w:p>
    <w:p w14:paraId="1ECE30DB" w14:textId="77777777" w:rsidR="00A733DE" w:rsidRDefault="00A733DE" w:rsidP="00A733DE">
      <w:pPr>
        <w:spacing w:after="0" w:line="480" w:lineRule="auto"/>
        <w:contextualSpacing/>
        <w:jc w:val="center"/>
        <w:rPr>
          <w:rFonts w:ascii="Cambria Math" w:hAnsi="Cambria Math"/>
          <w:color w:val="00B050"/>
        </w:rPr>
      </w:pPr>
      <w:r>
        <w:rPr>
          <w:rFonts w:ascii="Cambria Math" w:hAnsi="Cambria Math"/>
          <w:noProof/>
          <w:color w:val="00B050"/>
        </w:rPr>
        <w:lastRenderedPageBreak/>
        <w:drawing>
          <wp:inline distT="0" distB="0" distL="0" distR="0" wp14:anchorId="1B044EE8" wp14:editId="0F53CB5D">
            <wp:extent cx="3816000" cy="74134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16000" cy="7413448"/>
                    </a:xfrm>
                    <a:prstGeom prst="rect">
                      <a:avLst/>
                    </a:prstGeom>
                  </pic:spPr>
                </pic:pic>
              </a:graphicData>
            </a:graphic>
          </wp:inline>
        </w:drawing>
      </w:r>
    </w:p>
    <w:p w14:paraId="67350631" w14:textId="77777777" w:rsidR="00A733DE" w:rsidRPr="00D82113" w:rsidRDefault="00A733DE" w:rsidP="00A733DE">
      <w:pPr>
        <w:spacing w:after="0" w:line="240" w:lineRule="auto"/>
        <w:jc w:val="both"/>
        <w:rPr>
          <w:rFonts w:ascii="Book Antiqua" w:hAnsi="Book Antiqua"/>
          <w:b/>
          <w:bCs/>
          <w:color w:val="0D0D0D" w:themeColor="text1" w:themeTint="F2"/>
          <w:sz w:val="18"/>
          <w:szCs w:val="18"/>
          <w:lang w:val="en-US"/>
        </w:rPr>
      </w:pPr>
      <w:r w:rsidRPr="00D82113">
        <w:rPr>
          <w:rFonts w:ascii="Book Antiqua" w:hAnsi="Book Antiqua"/>
          <w:b/>
          <w:bCs/>
          <w:color w:val="0D0D0D" w:themeColor="text1" w:themeTint="F2"/>
          <w:sz w:val="18"/>
          <w:szCs w:val="18"/>
          <w:lang w:val="en-US"/>
        </w:rPr>
        <w:t>Figure S3 Associations between reproducibility and A) participant age at specimen collection, B) 16S rRNA gene copy numbers, and C) read counts.</w:t>
      </w:r>
    </w:p>
    <w:p w14:paraId="783B6E53" w14:textId="77777777" w:rsidR="00A733DE" w:rsidRPr="00D82113" w:rsidRDefault="00A733DE" w:rsidP="00A733DE">
      <w:pPr>
        <w:spacing w:after="0" w:line="240" w:lineRule="auto"/>
        <w:jc w:val="both"/>
        <w:rPr>
          <w:rFonts w:ascii="Book Antiqua" w:hAnsi="Book Antiqua"/>
          <w:color w:val="0D0D0D" w:themeColor="text1" w:themeTint="F2"/>
          <w:sz w:val="18"/>
          <w:szCs w:val="18"/>
          <w:lang w:val="en-US"/>
        </w:rPr>
      </w:pPr>
      <w:r w:rsidRPr="00D82113">
        <w:rPr>
          <w:rFonts w:ascii="Book Antiqua" w:hAnsi="Book Antiqua"/>
          <w:color w:val="0D0D0D" w:themeColor="text1" w:themeTint="F2"/>
          <w:sz w:val="18"/>
          <w:szCs w:val="18"/>
          <w:lang w:val="en-US"/>
        </w:rPr>
        <w:t>Reproducibility is measured by coefficient of determination (R</w:t>
      </w:r>
      <w:r w:rsidRPr="00D82113">
        <w:rPr>
          <w:rFonts w:ascii="Book Antiqua" w:hAnsi="Book Antiqua"/>
          <w:color w:val="0D0D0D" w:themeColor="text1" w:themeTint="F2"/>
          <w:sz w:val="18"/>
          <w:szCs w:val="18"/>
          <w:vertAlign w:val="superscript"/>
          <w:lang w:val="en-US"/>
        </w:rPr>
        <w:t>2</w:t>
      </w:r>
      <w:r w:rsidRPr="00D82113">
        <w:rPr>
          <w:rFonts w:ascii="Book Antiqua" w:hAnsi="Book Antiqua"/>
          <w:color w:val="0D0D0D" w:themeColor="text1" w:themeTint="F2"/>
          <w:sz w:val="18"/>
          <w:szCs w:val="18"/>
          <w:lang w:val="en-US"/>
        </w:rPr>
        <w:t>) values, calculated by comparing proportions of each amplicon sequence variant (ASV) present between within-run or between-run repeats. Horizontal blue bars denote R</w:t>
      </w:r>
      <w:r w:rsidRPr="00D82113">
        <w:rPr>
          <w:rFonts w:ascii="Book Antiqua" w:hAnsi="Book Antiqua"/>
          <w:color w:val="0D0D0D" w:themeColor="text1" w:themeTint="F2"/>
          <w:sz w:val="18"/>
          <w:szCs w:val="18"/>
          <w:vertAlign w:val="superscript"/>
          <w:lang w:val="en-US"/>
        </w:rPr>
        <w:t>2</w:t>
      </w:r>
      <w:r w:rsidRPr="00D82113">
        <w:rPr>
          <w:rFonts w:ascii="Book Antiqua" w:hAnsi="Book Antiqua"/>
          <w:color w:val="0D0D0D" w:themeColor="text1" w:themeTint="F2"/>
          <w:sz w:val="18"/>
          <w:szCs w:val="18"/>
          <w:lang w:val="en-US"/>
        </w:rPr>
        <w:t xml:space="preserve"> values &gt;0.95. Different shades of vertical blue bars represent A) &lt;10, &lt;50, &lt;100</w:t>
      </w:r>
      <w:r w:rsidRPr="00D82113">
        <w:rPr>
          <w:rFonts w:ascii="Times New Roman" w:hAnsi="Times New Roman" w:cs="Times New Roman"/>
          <w:color w:val="0D0D0D" w:themeColor="text1" w:themeTint="F2"/>
          <w:sz w:val="18"/>
          <w:szCs w:val="18"/>
          <w:lang w:val="en-US"/>
        </w:rPr>
        <w:t> </w:t>
      </w:r>
      <w:r w:rsidRPr="00D82113">
        <w:rPr>
          <w:rFonts w:ascii="Book Antiqua" w:hAnsi="Book Antiqua"/>
          <w:color w:val="0D0D0D" w:themeColor="text1" w:themeTint="F2"/>
          <w:sz w:val="18"/>
          <w:szCs w:val="18"/>
          <w:lang w:val="en-US"/>
        </w:rPr>
        <w:t>days of age at the time of specimen collection; B) &lt;1,000, &lt;5,000, &lt;10,000 16S rRNA gene copies/</w:t>
      </w:r>
      <w:proofErr w:type="spellStart"/>
      <w:r w:rsidRPr="00D82113">
        <w:rPr>
          <w:rFonts w:ascii="Book Antiqua" w:hAnsi="Book Antiqua"/>
          <w:color w:val="0D0D0D" w:themeColor="text1" w:themeTint="F2"/>
          <w:sz w:val="18"/>
          <w:szCs w:val="18"/>
          <w:lang w:val="en-US"/>
        </w:rPr>
        <w:t>μl</w:t>
      </w:r>
      <w:proofErr w:type="spellEnd"/>
      <w:r w:rsidRPr="00D82113">
        <w:rPr>
          <w:rFonts w:ascii="Book Antiqua" w:hAnsi="Book Antiqua"/>
          <w:color w:val="0D0D0D" w:themeColor="text1" w:themeTint="F2"/>
          <w:sz w:val="18"/>
          <w:szCs w:val="18"/>
          <w:lang w:val="en-US"/>
        </w:rPr>
        <w:t xml:space="preserve">; and C) &lt;2,500, &lt;7,500 and &lt;10,000 reads; respectively. For B) and C), each set of </w:t>
      </w:r>
      <w:r w:rsidRPr="00D82113">
        <w:rPr>
          <w:rFonts w:ascii="Book Antiqua" w:hAnsi="Book Antiqua" w:cs="Book Antiqua"/>
          <w:color w:val="0D0D0D" w:themeColor="text1" w:themeTint="F2"/>
          <w:sz w:val="18"/>
          <w:szCs w:val="18"/>
          <w:lang w:val="en-US"/>
        </w:rPr>
        <w:t>“</w:t>
      </w:r>
      <w:r w:rsidRPr="00D82113">
        <w:rPr>
          <w:rFonts w:ascii="Book Antiqua" w:hAnsi="Book Antiqua"/>
          <w:color w:val="0D0D0D" w:themeColor="text1" w:themeTint="F2"/>
          <w:sz w:val="18"/>
          <w:szCs w:val="18"/>
          <w:lang w:val="en-US"/>
        </w:rPr>
        <w:t>within-run</w:t>
      </w:r>
      <w:r w:rsidRPr="00D82113">
        <w:rPr>
          <w:rFonts w:ascii="Book Antiqua" w:hAnsi="Book Antiqua" w:cs="Book Antiqua"/>
          <w:color w:val="0D0D0D" w:themeColor="text1" w:themeTint="F2"/>
          <w:sz w:val="18"/>
          <w:szCs w:val="18"/>
          <w:lang w:val="en-US"/>
        </w:rPr>
        <w:t>”</w:t>
      </w:r>
      <w:r w:rsidRPr="00D82113">
        <w:rPr>
          <w:rFonts w:ascii="Book Antiqua" w:hAnsi="Book Antiqua"/>
          <w:color w:val="0D0D0D" w:themeColor="text1" w:themeTint="F2"/>
          <w:sz w:val="18"/>
          <w:szCs w:val="18"/>
          <w:lang w:val="en-US"/>
        </w:rPr>
        <w:t xml:space="preserve"> and </w:t>
      </w:r>
      <w:r w:rsidRPr="00D82113">
        <w:rPr>
          <w:rFonts w:ascii="Book Antiqua" w:hAnsi="Book Antiqua" w:cs="Book Antiqua"/>
          <w:color w:val="0D0D0D" w:themeColor="text1" w:themeTint="F2"/>
          <w:sz w:val="18"/>
          <w:szCs w:val="18"/>
          <w:lang w:val="en-US"/>
        </w:rPr>
        <w:t>“</w:t>
      </w:r>
      <w:r w:rsidRPr="00D82113">
        <w:rPr>
          <w:rFonts w:ascii="Book Antiqua" w:hAnsi="Book Antiqua"/>
          <w:color w:val="0D0D0D" w:themeColor="text1" w:themeTint="F2"/>
          <w:sz w:val="18"/>
          <w:szCs w:val="18"/>
          <w:lang w:val="en-US"/>
        </w:rPr>
        <w:t>between-run</w:t>
      </w:r>
      <w:r w:rsidRPr="00D82113">
        <w:rPr>
          <w:rFonts w:ascii="Book Antiqua" w:hAnsi="Book Antiqua" w:cs="Book Antiqua"/>
          <w:color w:val="0D0D0D" w:themeColor="text1" w:themeTint="F2"/>
          <w:sz w:val="18"/>
          <w:szCs w:val="18"/>
          <w:lang w:val="en-US"/>
        </w:rPr>
        <w:t>”</w:t>
      </w:r>
      <w:r w:rsidRPr="00D82113">
        <w:rPr>
          <w:rFonts w:ascii="Book Antiqua" w:hAnsi="Book Antiqua"/>
          <w:color w:val="0D0D0D" w:themeColor="text1" w:themeTint="F2"/>
          <w:sz w:val="18"/>
          <w:szCs w:val="18"/>
          <w:lang w:val="en-US"/>
        </w:rPr>
        <w:t xml:space="preserve"> repeats had two 16S rRNA gene copy number/read count measures shown as two points connected by a horizontal line on the X-axis.</w:t>
      </w:r>
    </w:p>
    <w:p w14:paraId="4F66BF21" w14:textId="18A33175" w:rsidR="00C23326" w:rsidRPr="008B1D0A" w:rsidRDefault="00BF6719" w:rsidP="00BF6719">
      <w:pPr>
        <w:spacing w:after="0" w:line="480" w:lineRule="auto"/>
        <w:contextualSpacing/>
        <w:jc w:val="both"/>
        <w:rPr>
          <w:rFonts w:ascii="Cambria Math" w:hAnsi="Cambria Math"/>
        </w:rPr>
      </w:pPr>
      <w:r w:rsidRPr="00C23326">
        <w:rPr>
          <w:rFonts w:ascii="Cambria Math" w:hAnsi="Cambria Math"/>
          <w:color w:val="000000" w:themeColor="text1"/>
        </w:rPr>
        <w:lastRenderedPageBreak/>
        <w:t>More NP specimens with low biomass (</w:t>
      </w:r>
      <w:r w:rsidRPr="00EB29A5">
        <w:rPr>
          <w:rFonts w:ascii="Cambria Math" w:hAnsi="Cambria Math"/>
          <w:color w:val="000000" w:themeColor="text1"/>
          <w:u w:val="single"/>
        </w:rPr>
        <w:t>&lt;</w:t>
      </w:r>
      <w:r w:rsidRPr="00C23326">
        <w:rPr>
          <w:rFonts w:ascii="Cambria Math" w:hAnsi="Cambria Math"/>
          <w:color w:val="000000" w:themeColor="text1"/>
        </w:rPr>
        <w:t>300 16S rRNA gene copies/</w:t>
      </w:r>
      <w:proofErr w:type="spellStart"/>
      <w:r w:rsidRPr="00C23326">
        <w:rPr>
          <w:rFonts w:ascii="Cambria Math" w:hAnsi="Cambria Math"/>
          <w:color w:val="000000" w:themeColor="text1"/>
        </w:rPr>
        <w:t>μl</w:t>
      </w:r>
      <w:proofErr w:type="spellEnd"/>
      <w:r w:rsidRPr="00C23326">
        <w:rPr>
          <w:rFonts w:ascii="Cambria Math" w:hAnsi="Cambria Math"/>
          <w:color w:val="000000" w:themeColor="text1"/>
        </w:rPr>
        <w:t xml:space="preserve">) were collected at </w:t>
      </w:r>
      <w:r w:rsidRPr="00EB29A5">
        <w:rPr>
          <w:rFonts w:ascii="Cambria Math" w:hAnsi="Cambria Math"/>
          <w:color w:val="000000" w:themeColor="text1"/>
          <w:u w:val="single"/>
        </w:rPr>
        <w:t>&lt;</w:t>
      </w:r>
      <w:r w:rsidRPr="00C23326">
        <w:rPr>
          <w:rFonts w:ascii="Cambria Math" w:hAnsi="Cambria Math"/>
          <w:color w:val="000000" w:themeColor="text1"/>
        </w:rPr>
        <w:t xml:space="preserve">10 </w:t>
      </w:r>
      <w:r w:rsidRPr="008B1D0A">
        <w:rPr>
          <w:rFonts w:ascii="Cambria Math" w:hAnsi="Cambria Math"/>
        </w:rPr>
        <w:t>days of age compared to specimens with high biomass (&gt;300 16S rRNA gene copies/</w:t>
      </w:r>
      <w:proofErr w:type="spellStart"/>
      <w:r w:rsidRPr="008B1D0A">
        <w:rPr>
          <w:rFonts w:ascii="Cambria Math" w:hAnsi="Cambria Math"/>
        </w:rPr>
        <w:t>μl</w:t>
      </w:r>
      <w:proofErr w:type="spellEnd"/>
      <w:r w:rsidRPr="008B1D0A">
        <w:rPr>
          <w:rFonts w:ascii="Cambria Math" w:hAnsi="Cambria Math"/>
        </w:rPr>
        <w:t>) (r=0.06) (Figure S4 A). Similarly, more NP specimens with low biomass (</w:t>
      </w:r>
      <w:r w:rsidRPr="008B1D0A">
        <w:rPr>
          <w:rFonts w:ascii="Cambria Math" w:hAnsi="Cambria Math"/>
          <w:u w:val="single"/>
        </w:rPr>
        <w:t>&lt;</w:t>
      </w:r>
      <w:r w:rsidRPr="008B1D0A">
        <w:rPr>
          <w:rFonts w:ascii="Cambria Math" w:hAnsi="Cambria Math"/>
        </w:rPr>
        <w:t>300 16S rRNA gene copies/</w:t>
      </w:r>
      <w:proofErr w:type="spellStart"/>
      <w:r w:rsidRPr="008B1D0A">
        <w:rPr>
          <w:rFonts w:ascii="Cambria Math" w:hAnsi="Cambria Math"/>
        </w:rPr>
        <w:t>μl</w:t>
      </w:r>
      <w:proofErr w:type="spellEnd"/>
      <w:r w:rsidRPr="008B1D0A">
        <w:rPr>
          <w:rFonts w:ascii="Cambria Math" w:hAnsi="Cambria Math"/>
        </w:rPr>
        <w:t>) had lower read counts compared to NP specimens with high biomass (&gt;300 16S rRNA gene copies/</w:t>
      </w:r>
      <w:proofErr w:type="spellStart"/>
      <w:r w:rsidRPr="008B1D0A">
        <w:rPr>
          <w:rFonts w:ascii="Cambria Math" w:hAnsi="Cambria Math"/>
        </w:rPr>
        <w:t>μl</w:t>
      </w:r>
      <w:proofErr w:type="spellEnd"/>
      <w:r w:rsidRPr="008B1D0A">
        <w:rPr>
          <w:rFonts w:ascii="Cambria Math" w:hAnsi="Cambria Math"/>
        </w:rPr>
        <w:t>) (r=0.11) (Figure S4 B). Median read counts from NTCs [7,948 (IQR: 3,372-13,177)</w:t>
      </w:r>
      <w:r w:rsidR="000D28F7" w:rsidRPr="008B1D0A">
        <w:rPr>
          <w:rFonts w:ascii="Cambria Math" w:hAnsi="Cambria Math"/>
        </w:rPr>
        <w:t>, n=21</w:t>
      </w:r>
      <w:r w:rsidRPr="008B1D0A">
        <w:rPr>
          <w:rFonts w:ascii="Cambria Math" w:hAnsi="Cambria Math"/>
        </w:rPr>
        <w:t>] and low biomass NP specimens [7,134 (IQR: 4,828-13,224)</w:t>
      </w:r>
      <w:r w:rsidR="000D28F7" w:rsidRPr="008B1D0A">
        <w:rPr>
          <w:rFonts w:ascii="Cambria Math" w:hAnsi="Cambria Math"/>
        </w:rPr>
        <w:t>, n=173</w:t>
      </w:r>
      <w:r w:rsidRPr="008B1D0A">
        <w:rPr>
          <w:rFonts w:ascii="Cambria Math" w:hAnsi="Cambria Math"/>
        </w:rPr>
        <w:t>] were lower compared to NP specimens with &gt;300 16S rRNA gene copies/</w:t>
      </w:r>
      <w:proofErr w:type="spellStart"/>
      <w:r w:rsidRPr="008B1D0A">
        <w:rPr>
          <w:rFonts w:ascii="Cambria Math" w:hAnsi="Cambria Math"/>
        </w:rPr>
        <w:t>μl</w:t>
      </w:r>
      <w:proofErr w:type="spellEnd"/>
      <w:r w:rsidRPr="008B1D0A">
        <w:rPr>
          <w:rFonts w:ascii="Cambria Math" w:hAnsi="Cambria Math"/>
        </w:rPr>
        <w:t xml:space="preserve"> [21,471 (IQR: 17,315-26,692)</w:t>
      </w:r>
      <w:r w:rsidR="00B22B1E" w:rsidRPr="008B1D0A">
        <w:rPr>
          <w:rFonts w:ascii="Cambria Math" w:hAnsi="Cambria Math"/>
        </w:rPr>
        <w:t>, n=1,543</w:t>
      </w:r>
      <w:r w:rsidRPr="008B1D0A">
        <w:rPr>
          <w:rFonts w:ascii="Cambria Math" w:hAnsi="Cambria Math"/>
        </w:rPr>
        <w:t xml:space="preserve">] (Figure S4 B). </w:t>
      </w:r>
      <w:r w:rsidR="009F0267" w:rsidRPr="008B1D0A">
        <w:rPr>
          <w:rFonts w:ascii="Cambria Math" w:hAnsi="Cambria Math"/>
        </w:rPr>
        <w:t>M</w:t>
      </w:r>
      <w:r w:rsidRPr="008B1D0A">
        <w:rPr>
          <w:rFonts w:ascii="Cambria Math" w:hAnsi="Cambria Math"/>
        </w:rPr>
        <w:t>ore NP specimens with low biomass (</w:t>
      </w:r>
      <w:r w:rsidRPr="008B1D0A">
        <w:rPr>
          <w:rFonts w:ascii="Cambria Math" w:hAnsi="Cambria Math"/>
          <w:u w:val="single"/>
        </w:rPr>
        <w:t>&lt;</w:t>
      </w:r>
      <w:r w:rsidRPr="008B1D0A">
        <w:rPr>
          <w:rFonts w:ascii="Cambria Math" w:hAnsi="Cambria Math"/>
        </w:rPr>
        <w:t>300 16S rRNA gene copies/</w:t>
      </w:r>
      <w:proofErr w:type="spellStart"/>
      <w:r w:rsidRPr="008B1D0A">
        <w:rPr>
          <w:rFonts w:ascii="Cambria Math" w:hAnsi="Cambria Math"/>
        </w:rPr>
        <w:t>μl</w:t>
      </w:r>
      <w:proofErr w:type="spellEnd"/>
      <w:r w:rsidRPr="008B1D0A">
        <w:rPr>
          <w:rFonts w:ascii="Cambria Math" w:hAnsi="Cambria Math"/>
        </w:rPr>
        <w:t>) had higher alpha diversity compared to NP specimens &gt;300 16S rRNA gene copies/</w:t>
      </w:r>
      <w:proofErr w:type="spellStart"/>
      <w:r w:rsidRPr="008B1D0A">
        <w:rPr>
          <w:rFonts w:ascii="Cambria Math" w:hAnsi="Cambria Math"/>
        </w:rPr>
        <w:t>μl</w:t>
      </w:r>
      <w:proofErr w:type="spellEnd"/>
      <w:r w:rsidRPr="008B1D0A">
        <w:rPr>
          <w:rFonts w:ascii="Cambria Math" w:hAnsi="Cambria Math"/>
        </w:rPr>
        <w:t xml:space="preserve"> (r=-0.12) (Figure S4 C). Median alpha diversity indices from NTCs [2.19 (IQR: 1.99-2.56)</w:t>
      </w:r>
      <w:r w:rsidR="00B22B1E" w:rsidRPr="008B1D0A">
        <w:rPr>
          <w:rFonts w:ascii="Cambria Math" w:hAnsi="Cambria Math"/>
        </w:rPr>
        <w:t>, n=21</w:t>
      </w:r>
      <w:r w:rsidRPr="008B1D0A">
        <w:rPr>
          <w:rFonts w:ascii="Cambria Math" w:hAnsi="Cambria Math"/>
        </w:rPr>
        <w:t>] and low biomass NP specimens [2.01 (IQR: 1.27-2.79)</w:t>
      </w:r>
      <w:r w:rsidR="00B22B1E" w:rsidRPr="008B1D0A">
        <w:rPr>
          <w:rFonts w:ascii="Cambria Math" w:hAnsi="Cambria Math"/>
        </w:rPr>
        <w:t>, n=173</w:t>
      </w:r>
      <w:r w:rsidRPr="008B1D0A">
        <w:rPr>
          <w:rFonts w:ascii="Cambria Math" w:hAnsi="Cambria Math"/>
        </w:rPr>
        <w:t>] were higher compared to median alpha diversity indices from high biomass NP specimens [1.04 (IQR: 0.71-1.40)</w:t>
      </w:r>
      <w:r w:rsidR="004D65FE" w:rsidRPr="008B1D0A">
        <w:rPr>
          <w:rFonts w:ascii="Cambria Math" w:hAnsi="Cambria Math"/>
        </w:rPr>
        <w:t>, n=1,543</w:t>
      </w:r>
      <w:r w:rsidRPr="008B1D0A">
        <w:rPr>
          <w:rFonts w:ascii="Cambria Math" w:hAnsi="Cambria Math"/>
        </w:rPr>
        <w:t xml:space="preserve">] (Figure S4 C). </w:t>
      </w:r>
    </w:p>
    <w:p w14:paraId="545F0BC4" w14:textId="77777777" w:rsidR="008A41EA" w:rsidRDefault="008A41EA" w:rsidP="00BF6719">
      <w:pPr>
        <w:spacing w:after="0" w:line="480" w:lineRule="auto"/>
        <w:contextualSpacing/>
        <w:jc w:val="both"/>
        <w:rPr>
          <w:rFonts w:ascii="Cambria Math" w:hAnsi="Cambria Math"/>
          <w:color w:val="000000" w:themeColor="text1"/>
        </w:rPr>
      </w:pPr>
    </w:p>
    <w:p w14:paraId="75475859" w14:textId="77777777" w:rsidR="008A41EA" w:rsidRDefault="008A41EA" w:rsidP="008A41EA">
      <w:pPr>
        <w:spacing w:after="0" w:line="480" w:lineRule="auto"/>
        <w:contextualSpacing/>
        <w:jc w:val="center"/>
        <w:rPr>
          <w:rFonts w:ascii="Cambria Math" w:hAnsi="Cambria Math"/>
          <w:color w:val="00B050"/>
        </w:rPr>
      </w:pPr>
      <w:r>
        <w:rPr>
          <w:rFonts w:ascii="Cambria Math" w:hAnsi="Cambria Math"/>
          <w:noProof/>
          <w:color w:val="00B050"/>
        </w:rPr>
        <w:lastRenderedPageBreak/>
        <w:drawing>
          <wp:inline distT="0" distB="0" distL="0" distR="0" wp14:anchorId="091A130B" wp14:editId="48594C9C">
            <wp:extent cx="3960000" cy="755208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60000" cy="7552081"/>
                    </a:xfrm>
                    <a:prstGeom prst="rect">
                      <a:avLst/>
                    </a:prstGeom>
                  </pic:spPr>
                </pic:pic>
              </a:graphicData>
            </a:graphic>
          </wp:inline>
        </w:drawing>
      </w:r>
    </w:p>
    <w:p w14:paraId="4D154D43" w14:textId="77777777" w:rsidR="008A41EA" w:rsidRPr="00D82113" w:rsidRDefault="008A41EA" w:rsidP="008A41EA">
      <w:pPr>
        <w:spacing w:after="0" w:line="240" w:lineRule="auto"/>
        <w:jc w:val="both"/>
        <w:rPr>
          <w:rFonts w:ascii="Book Antiqua" w:hAnsi="Book Antiqua"/>
          <w:b/>
          <w:bCs/>
          <w:color w:val="0D0D0D" w:themeColor="text1" w:themeTint="F2"/>
          <w:sz w:val="18"/>
          <w:szCs w:val="18"/>
          <w:lang w:val="en-US"/>
        </w:rPr>
      </w:pPr>
      <w:r w:rsidRPr="00D82113">
        <w:rPr>
          <w:rFonts w:ascii="Book Antiqua" w:hAnsi="Book Antiqua"/>
          <w:b/>
          <w:bCs/>
          <w:color w:val="0D0D0D" w:themeColor="text1" w:themeTint="F2"/>
          <w:sz w:val="18"/>
          <w:szCs w:val="18"/>
          <w:lang w:val="en-US"/>
        </w:rPr>
        <w:t>Figure S4</w:t>
      </w:r>
      <w:r w:rsidRPr="00D82113">
        <w:rPr>
          <w:rFonts w:ascii="Book Antiqua" w:hAnsi="Book Antiqua"/>
          <w:color w:val="0D0D0D" w:themeColor="text1" w:themeTint="F2"/>
          <w:sz w:val="18"/>
          <w:szCs w:val="18"/>
          <w:lang w:val="en-US"/>
        </w:rPr>
        <w:t xml:space="preserve"> </w:t>
      </w:r>
      <w:r w:rsidRPr="00D82113">
        <w:rPr>
          <w:rFonts w:ascii="Book Antiqua" w:hAnsi="Book Antiqua"/>
          <w:b/>
          <w:bCs/>
          <w:color w:val="0D0D0D" w:themeColor="text1" w:themeTint="F2"/>
          <w:sz w:val="18"/>
          <w:szCs w:val="18"/>
          <w:lang w:val="en-US"/>
        </w:rPr>
        <w:t>Participant age at specimen collection, read counts and alpha diversity relative to specimen biomass for no template controls (NTCs) (n = 21) and nasopharyngeal (NP) specimens (n = 1,716)</w:t>
      </w:r>
    </w:p>
    <w:p w14:paraId="4541D1CA" w14:textId="77777777" w:rsidR="008A41EA" w:rsidRPr="00D82113" w:rsidRDefault="008A41EA" w:rsidP="008A41EA">
      <w:pPr>
        <w:spacing w:after="0" w:line="240" w:lineRule="auto"/>
        <w:jc w:val="both"/>
        <w:rPr>
          <w:rFonts w:ascii="Book Antiqua" w:hAnsi="Book Antiqua"/>
          <w:color w:val="0D0D0D" w:themeColor="text1" w:themeTint="F2"/>
          <w:sz w:val="18"/>
          <w:szCs w:val="18"/>
          <w:lang w:val="en-US"/>
        </w:rPr>
      </w:pPr>
      <w:r w:rsidRPr="00D82113">
        <w:rPr>
          <w:rFonts w:ascii="Book Antiqua" w:hAnsi="Book Antiqua"/>
          <w:color w:val="0D0D0D" w:themeColor="text1" w:themeTint="F2"/>
          <w:sz w:val="18"/>
          <w:szCs w:val="18"/>
          <w:lang w:val="en-US"/>
        </w:rPr>
        <w:t>A) Scatter plot of participant age at specimen collection, B) read counts following bioinformatic processes, and C) alpha diversity (Shannon diversity) in relation to specimen biomass (16S rRNA gene copies/</w:t>
      </w:r>
      <w:proofErr w:type="spellStart"/>
      <w:r w:rsidRPr="00D82113">
        <w:rPr>
          <w:rFonts w:ascii="Book Antiqua" w:hAnsi="Book Antiqua"/>
          <w:color w:val="0D0D0D" w:themeColor="text1" w:themeTint="F2"/>
          <w:sz w:val="18"/>
          <w:szCs w:val="18"/>
          <w:lang w:val="en-US"/>
        </w:rPr>
        <w:t>μl</w:t>
      </w:r>
      <w:proofErr w:type="spellEnd"/>
      <w:r w:rsidRPr="00D82113">
        <w:rPr>
          <w:rFonts w:ascii="Book Antiqua" w:hAnsi="Book Antiqua"/>
          <w:color w:val="0D0D0D" w:themeColor="text1" w:themeTint="F2"/>
          <w:sz w:val="18"/>
          <w:szCs w:val="18"/>
          <w:lang w:val="en-US"/>
        </w:rPr>
        <w:t>) plotted on log</w:t>
      </w:r>
      <w:r w:rsidRPr="00D82113">
        <w:rPr>
          <w:rFonts w:ascii="Book Antiqua" w:hAnsi="Book Antiqua"/>
          <w:color w:val="0D0D0D" w:themeColor="text1" w:themeTint="F2"/>
          <w:sz w:val="18"/>
          <w:szCs w:val="18"/>
          <w:vertAlign w:val="subscript"/>
          <w:lang w:val="en-US"/>
        </w:rPr>
        <w:t xml:space="preserve">e </w:t>
      </w:r>
      <w:r w:rsidRPr="00D82113">
        <w:rPr>
          <w:rFonts w:ascii="Book Antiqua" w:hAnsi="Book Antiqua"/>
          <w:color w:val="0D0D0D" w:themeColor="text1" w:themeTint="F2"/>
          <w:sz w:val="18"/>
          <w:szCs w:val="18"/>
          <w:lang w:val="en-US"/>
        </w:rPr>
        <w:t xml:space="preserve">scale. Vertical orange and blue shaded area highlights </w:t>
      </w:r>
      <w:r w:rsidRPr="00D82113">
        <w:rPr>
          <w:rFonts w:ascii="Book Antiqua" w:hAnsi="Book Antiqua"/>
          <w:color w:val="0D0D0D" w:themeColor="text1" w:themeTint="F2"/>
          <w:sz w:val="18"/>
          <w:szCs w:val="18"/>
          <w:u w:val="single"/>
          <w:lang w:val="en-US"/>
        </w:rPr>
        <w:t>&lt;</w:t>
      </w:r>
      <w:r w:rsidRPr="00D82113">
        <w:rPr>
          <w:rFonts w:ascii="Book Antiqua" w:hAnsi="Book Antiqua"/>
          <w:color w:val="0D0D0D" w:themeColor="text1" w:themeTint="F2"/>
          <w:sz w:val="18"/>
          <w:szCs w:val="18"/>
          <w:lang w:val="en-US"/>
        </w:rPr>
        <w:t>300 and &gt;300 16S rRNA gene copies/</w:t>
      </w:r>
      <w:proofErr w:type="spellStart"/>
      <w:r w:rsidRPr="00D82113">
        <w:rPr>
          <w:rFonts w:ascii="Book Antiqua" w:hAnsi="Book Antiqua"/>
          <w:color w:val="0D0D0D" w:themeColor="text1" w:themeTint="F2"/>
          <w:sz w:val="18"/>
          <w:szCs w:val="18"/>
          <w:lang w:val="en-US"/>
        </w:rPr>
        <w:t>μl</w:t>
      </w:r>
      <w:proofErr w:type="spellEnd"/>
      <w:r w:rsidRPr="00D82113">
        <w:rPr>
          <w:rFonts w:ascii="Book Antiqua" w:hAnsi="Book Antiqua"/>
          <w:color w:val="0D0D0D" w:themeColor="text1" w:themeTint="F2"/>
          <w:sz w:val="18"/>
          <w:szCs w:val="18"/>
          <w:lang w:val="en-US"/>
        </w:rPr>
        <w:t>, respectively.</w:t>
      </w:r>
    </w:p>
    <w:p w14:paraId="7742542C" w14:textId="77777777" w:rsidR="00C23326" w:rsidRDefault="00C23326" w:rsidP="00BF6719">
      <w:pPr>
        <w:spacing w:after="0" w:line="480" w:lineRule="auto"/>
        <w:contextualSpacing/>
        <w:jc w:val="both"/>
        <w:rPr>
          <w:rFonts w:ascii="Cambria Math" w:hAnsi="Cambria Math"/>
          <w:color w:val="00B050"/>
          <w:highlight w:val="yellow"/>
        </w:rPr>
      </w:pPr>
    </w:p>
    <w:p w14:paraId="60503CCC" w14:textId="11C02CF3" w:rsidR="00BF6719" w:rsidRPr="008B1D0A" w:rsidRDefault="00282D08" w:rsidP="00BF6719">
      <w:pPr>
        <w:spacing w:after="0" w:line="480" w:lineRule="auto"/>
        <w:contextualSpacing/>
        <w:jc w:val="both"/>
        <w:rPr>
          <w:rFonts w:ascii="Cambria Math" w:hAnsi="Cambria Math"/>
        </w:rPr>
      </w:pPr>
      <w:r w:rsidRPr="008B1D0A">
        <w:rPr>
          <w:rFonts w:ascii="Cambria Math" w:hAnsi="Cambria Math"/>
        </w:rPr>
        <w:lastRenderedPageBreak/>
        <w:t>L</w:t>
      </w:r>
      <w:r w:rsidR="00BF6719" w:rsidRPr="008B1D0A">
        <w:rPr>
          <w:rFonts w:ascii="Cambria Math" w:hAnsi="Cambria Math"/>
        </w:rPr>
        <w:t xml:space="preserve">ambda scaled </w:t>
      </w:r>
      <w:r w:rsidR="00BF6719" w:rsidRPr="008B1D0A">
        <w:rPr>
          <w:rFonts w:ascii="Cambria Math" w:hAnsi="Cambria Math"/>
        </w:rPr>
        <w:fldChar w:fldCharType="begin" w:fldLock="1"/>
      </w:r>
      <w:r w:rsidR="00760B7A" w:rsidRPr="008B1D0A">
        <w:rPr>
          <w:rFonts w:ascii="Cambria Math" w:hAnsi="Cambria Math"/>
        </w:rPr>
        <w:instrText>ADDIN CSL_CITATION {"citationItems":[{"id":"ITEM-1","itemData":{"author":[{"dropping-particle":"","family":"Gower","given":"J","non-dropping-particle":"","parse-names":false,"suffix":""},{"dropping-particle":"","family":"Lubbe","given":"S","non-dropping-particle":"","parse-names":false,"suffix":""},{"dropping-particle":"","family":"Roux","given":"N","non-dropping-particle":"Le","parse-names":false,"suffix":""}],"id":"ITEM-1","issued":{"date-parts":[["2011"]]},"publisher":"John Wiley &amp; Sons Ltd.","publisher-place":"Chichester, United Kingdom","title":"Understanding Biplots","type":"book"},"uris":["http://www.mendeley.com/documents/?uuid=35357724-b32e-4069-b1e2-e2918b82ecab"]}],"mendeley":{"formattedCitation":"[24]","plainTextFormattedCitation":"[24]","previouslyFormattedCitation":"[24]"},"properties":{"noteIndex":0},"schema":"https://github.com/citation-style-language/schema/raw/master/csl-citation.json"}</w:instrText>
      </w:r>
      <w:r w:rsidR="00BF6719" w:rsidRPr="008B1D0A">
        <w:rPr>
          <w:rFonts w:ascii="Cambria Math" w:hAnsi="Cambria Math"/>
        </w:rPr>
        <w:fldChar w:fldCharType="separate"/>
      </w:r>
      <w:r w:rsidR="000F55E8" w:rsidRPr="008B1D0A">
        <w:rPr>
          <w:rFonts w:ascii="Cambria Math" w:hAnsi="Cambria Math"/>
          <w:noProof/>
        </w:rPr>
        <w:t>[24]</w:t>
      </w:r>
      <w:r w:rsidR="00BF6719" w:rsidRPr="008B1D0A">
        <w:rPr>
          <w:rFonts w:ascii="Cambria Math" w:hAnsi="Cambria Math"/>
        </w:rPr>
        <w:fldChar w:fldCharType="end"/>
      </w:r>
      <w:r w:rsidR="00BF6719" w:rsidRPr="008B1D0A">
        <w:rPr>
          <w:rFonts w:ascii="Cambria Math" w:hAnsi="Cambria Math"/>
        </w:rPr>
        <w:t xml:space="preserve"> logarithm of ratio-transformed data (log-ratio) biplots (incorporating data adjusted in a Bayesian context to remove zeros </w:t>
      </w:r>
      <w:r w:rsidR="00BF6719" w:rsidRPr="008B1D0A">
        <w:rPr>
          <w:rFonts w:ascii="Cambria Math" w:hAnsi="Cambria Math"/>
        </w:rPr>
        <w:fldChar w:fldCharType="begin" w:fldLock="1"/>
      </w:r>
      <w:r w:rsidR="00760B7A" w:rsidRPr="008B1D0A">
        <w:rPr>
          <w:rFonts w:ascii="Cambria Math" w:hAnsi="Cambria Math"/>
        </w:rPr>
        <w:instrText>ADDIN CSL_CITATION {"citationItems":[{"id":"ITEM-1","itemData":{"author":[{"dropping-particle":"","family":"Martin-Fernandez","given":"J.A","non-dropping-particle":"","parse-names":false,"suffix":""},{"dropping-particle":"","family":"Palarea-Albaladejo","given":"J","non-dropping-particle":"","parse-names":false,"suffix":""},{"dropping-particle":"","family":"Olea","given":"R.A","non-dropping-particle":"","parse-names":false,"suffix":""}],"chapter-number":"Chapter 4","container-title":"Compositional Data Analysis: Theory and Applications","editor":[{"dropping-particle":"","family":"Pawlowsky-Glahn","given":"V","non-dropping-particle":"","parse-names":false,"suffix":""},{"dropping-particle":"","family":"Buccianti","given":"A","non-dropping-particle":"","parse-names":false,"suffix":""}],"id":"ITEM-1","issued":{"date-parts":[["2011"]]},"page":"43-58","publisher":"John Wiley &amp; Sons Ltd.","publisher-place":"Chichester, United Kingdom","title":"Dealing with Zeros","type":"chapter"},"uris":["http://www.mendeley.com/documents/?uuid=e1bd6b11-362d-47f6-ae22-0d5463615884"]},{"id":"ITEM-2","itemData":{"author":[{"dropping-particle":"","family":"Aitchison","given":"J","non-dropping-particle":"","parse-names":false,"suffix":""}],"container-title":"Journal of Royal Statistical Society","id":"ITEM-2","issued":{"date-parts":[["1982"]]},"page":"139-160","title":"The Statistical Analysis of Compositional Data","type":"article-journal","volume":"44"},"uris":["http://www.mendeley.com/documents/?uuid=fd57cee0-bb4d-43a4-9f6e-d5469f73f110"]},{"id":"ITEM-3","itemData":{"author":[{"dropping-particle":"","family":"Aitchison","given":"J","non-dropping-particle":"","parse-names":false,"suffix":""},{"dropping-particle":"","family":"Greenacre","given":"M.J","non-dropping-particle":"","parse-names":false,"suffix":""}],"container-title":"Journal of the Royal Statistical Society. Series C (Applied Statistics)","id":"ITEM-3","issue":"4","issued":{"date-parts":[["2002"]]},"page":"375-392","title":"Biplots of compositional data","type":"article-journal","volume":"51"},"uris":["http://www.mendeley.com/documents/?uuid=a680cf4f-86fb-47a3-9491-901089b3d19e"]}],"mendeley":{"formattedCitation":"[19, 20, 25]","plainTextFormattedCitation":"[19, 20, 25]","previouslyFormattedCitation":"[19, 20, 25]"},"properties":{"noteIndex":0},"schema":"https://github.com/citation-style-language/schema/raw/master/csl-citation.json"}</w:instrText>
      </w:r>
      <w:r w:rsidR="00BF6719" w:rsidRPr="008B1D0A">
        <w:rPr>
          <w:rFonts w:ascii="Cambria Math" w:hAnsi="Cambria Math"/>
        </w:rPr>
        <w:fldChar w:fldCharType="separate"/>
      </w:r>
      <w:r w:rsidR="000F55E8" w:rsidRPr="008B1D0A">
        <w:rPr>
          <w:rFonts w:ascii="Cambria Math" w:hAnsi="Cambria Math"/>
          <w:noProof/>
        </w:rPr>
        <w:t>[19, 20, 25]</w:t>
      </w:r>
      <w:r w:rsidR="00BF6719" w:rsidRPr="008B1D0A">
        <w:rPr>
          <w:rFonts w:ascii="Cambria Math" w:hAnsi="Cambria Math"/>
        </w:rPr>
        <w:fldChar w:fldCharType="end"/>
      </w:r>
      <w:r w:rsidR="00BF6719" w:rsidRPr="008B1D0A">
        <w:rPr>
          <w:rFonts w:ascii="Cambria Math" w:hAnsi="Cambria Math"/>
        </w:rPr>
        <w:t xml:space="preserve">) </w:t>
      </w:r>
      <w:r w:rsidRPr="008B1D0A">
        <w:rPr>
          <w:rFonts w:ascii="Cambria Math" w:hAnsi="Cambria Math"/>
        </w:rPr>
        <w:t xml:space="preserve">showed that NP </w:t>
      </w:r>
      <w:r w:rsidR="00BF6719" w:rsidRPr="008B1D0A">
        <w:rPr>
          <w:rFonts w:ascii="Cambria Math" w:hAnsi="Cambria Math"/>
        </w:rPr>
        <w:t xml:space="preserve">specimens collected at </w:t>
      </w:r>
      <w:r w:rsidR="00BF6719" w:rsidRPr="008B1D0A">
        <w:rPr>
          <w:rFonts w:ascii="Cambria Math" w:hAnsi="Cambria Math"/>
          <w:u w:val="single"/>
        </w:rPr>
        <w:t>&lt;</w:t>
      </w:r>
      <w:r w:rsidR="00BF6719" w:rsidRPr="008B1D0A">
        <w:rPr>
          <w:rFonts w:ascii="Cambria Math" w:hAnsi="Cambria Math"/>
        </w:rPr>
        <w:t xml:space="preserve">10 days of age and NP specimens with </w:t>
      </w:r>
      <w:r w:rsidR="00BF6719" w:rsidRPr="008B1D0A">
        <w:rPr>
          <w:rFonts w:ascii="Cambria Math" w:hAnsi="Cambria Math"/>
          <w:u w:val="single"/>
        </w:rPr>
        <w:t>&lt;</w:t>
      </w:r>
      <w:r w:rsidR="00BF6719" w:rsidRPr="008B1D0A">
        <w:rPr>
          <w:rFonts w:ascii="Cambria Math" w:hAnsi="Cambria Math"/>
        </w:rPr>
        <w:t xml:space="preserve">300 16S rRNA gene copies/µl clustered with NTCs (n=21) </w:t>
      </w:r>
      <w:r w:rsidR="00BF6719" w:rsidRPr="008B1D0A">
        <w:rPr>
          <w:rFonts w:ascii="Cambria Math" w:hAnsi="Cambria Math"/>
        </w:rPr>
        <w:fldChar w:fldCharType="begin" w:fldLock="1"/>
      </w:r>
      <w:r w:rsidR="00760B7A" w:rsidRPr="008B1D0A">
        <w:rPr>
          <w:rFonts w:ascii="Cambria Math" w:hAnsi="Cambria Math"/>
        </w:rPr>
        <w:instrText>ADDIN CSL_CITATION {"citationItems":[{"id":"ITEM-1","itemData":{"DOI":"10.1186/s12866-020-01795-7","ISSN":"14712180","PMID":"32397992","abstract":"BACKGROUND: Careful consideration of experimental artefacts is required in order to successfully apply high-throughput 16S ribosomal ribonucleic acid (rRNA) gene sequencing technology. Here we introduce experimental design, quality control and \"denoising\" approaches for sequencing low biomass specimens. RESULTS: We found that bacterial biomass is a key driver of 16S rRNA gene sequencing profiles generated from bacterial mock communities and that the use of different deoxyribonucleic acid (DNA) extraction methods [DSP Virus/Pathogen Mini Kit® (Kit-QS) and ZymoBIOMICS DNA Miniprep Kit (Kit-ZB)] and storage buffers [PrimeStore® Molecular Transport medium (Primestore) and Skim-milk, Tryptone, Glucose and Glycerol (STGG)] further influence these profiles. Kit-QS better represented hard-to-lyse bacteria from bacterial mock communities compared to Kit-ZB. Primestore storage buffer yielded lower levels of background operational taxonomic units (OTUs) from low biomass bacterial mock community controls compared to STGG. In addition to bacterial mock community controls, we used technical repeats (nasopharyngeal and induced sputum processed in duplicate, triplicate or quadruplicate) to further evaluate the effect of specimen biomass and participant age at specimen collection on resultant sequencing profiles. We observed a positive correlation (r = 0.16) between specimen biomass and participant age at specimen collection: low biomass technical repeats (represented by &lt; 500 16S rRNA gene copies/μl) were primarily collected at &lt; 14 days of age. We found that low biomass technical repeats also produced higher alpha diversities (r = - 0.28); 16S rRNA gene profiles similar to no template controls (Primestore); and reduced sequencing reproducibility. Finally, we show that the use of statistical tools for in silico contaminant identification, as implemented through the decontam package in R, provides better representations of indigenous bacteria following decontamination. CONCLUSIONS: We provide insight into experimental design, quality control steps and \"denoising\" approaches for 16S rRNA gene high-throughput sequencing of low biomass specimens. We highlight the need for careful assessment of DNA extraction methods and storage buffers; sequence quality and reproducibility; and in silico identification of contaminant profiles in order to avoid spurious results.","author":[{"dropping-particle":"","family":"Claassen-Weitz","given":"Shantelle","non-dropping-particle":"","parse-names":false,"suffix":""},{"dropping-particle":"","family":"Gardner-Lubbe","given":"Sugnet","non-dropping-particle":"","parse-names":false,"suffix":""},{"dropping-particle":"","family":"Mwaikono","given":"Kilaza S.","non-dropping-particle":"","parse-names":false,"suffix":""},{"dropping-particle":"","family":"Toit","given":"Elloise","non-dropping-particle":"du","parse-names":false,"suffix":""},{"dropping-particle":"","family":"Zar","given":"Heather J.","non-dropping-particle":"","parse-names":false,"suffix":""},{"dropping-particle":"","family":"Nicol","given":"Mark P.","non-dropping-particle":"","parse-names":false,"suffix":""}],"container-title":"BMC microbiology","id":"ITEM-1","issue":"1","issued":{"date-parts":[["2020"]]},"page":"113","publisher":"BMC Microbiology","title":"Optimizing 16S rRNA gene profile analysis from low biomass nasopharyngeal and induced sputum specimens","type":"article-journal","volume":"20"},"uris":["http://www.mendeley.com/documents/?uuid=c9932287-9519-4ad5-be20-08076b9015f9"]}],"mendeley":{"formattedCitation":"[1]","plainTextFormattedCitation":"[1]","previouslyFormattedCitation":"[1]"},"properties":{"noteIndex":0},"schema":"https://github.com/citation-style-language/schema/raw/master/csl-citation.json"}</w:instrText>
      </w:r>
      <w:r w:rsidR="00BF6719" w:rsidRPr="008B1D0A">
        <w:rPr>
          <w:rFonts w:ascii="Cambria Math" w:hAnsi="Cambria Math"/>
        </w:rPr>
        <w:fldChar w:fldCharType="separate"/>
      </w:r>
      <w:r w:rsidR="000F55E8" w:rsidRPr="008B1D0A">
        <w:rPr>
          <w:rFonts w:ascii="Cambria Math" w:hAnsi="Cambria Math"/>
          <w:noProof/>
        </w:rPr>
        <w:t>[1]</w:t>
      </w:r>
      <w:r w:rsidR="00BF6719" w:rsidRPr="008B1D0A">
        <w:rPr>
          <w:rFonts w:ascii="Cambria Math" w:hAnsi="Cambria Math"/>
        </w:rPr>
        <w:fldChar w:fldCharType="end"/>
      </w:r>
      <w:r w:rsidR="00BF6719" w:rsidRPr="008B1D0A">
        <w:rPr>
          <w:rFonts w:ascii="Cambria Math" w:hAnsi="Cambria Math"/>
        </w:rPr>
        <w:t xml:space="preserve"> (Figure S5 A and B). Clustering patterns between NP specimens and NTCs were less evident in relation to read counts (Figure S5 C). </w:t>
      </w:r>
    </w:p>
    <w:p w14:paraId="341D71C4" w14:textId="77777777" w:rsidR="00AF4AF6" w:rsidRDefault="00AF4AF6" w:rsidP="00AF4AF6">
      <w:pPr>
        <w:spacing w:after="0" w:line="480" w:lineRule="auto"/>
        <w:contextualSpacing/>
        <w:jc w:val="center"/>
        <w:rPr>
          <w:rFonts w:ascii="Cambria Math" w:hAnsi="Cambria Math"/>
          <w:color w:val="00B050"/>
        </w:rPr>
      </w:pPr>
      <w:r>
        <w:rPr>
          <w:rFonts w:ascii="Cambria Math" w:hAnsi="Cambria Math"/>
          <w:noProof/>
          <w:color w:val="00B050"/>
        </w:rPr>
        <w:drawing>
          <wp:inline distT="0" distB="0" distL="0" distR="0" wp14:anchorId="30883057" wp14:editId="73B33AB7">
            <wp:extent cx="4320000" cy="497560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0000" cy="4975602"/>
                    </a:xfrm>
                    <a:prstGeom prst="rect">
                      <a:avLst/>
                    </a:prstGeom>
                  </pic:spPr>
                </pic:pic>
              </a:graphicData>
            </a:graphic>
          </wp:inline>
        </w:drawing>
      </w:r>
    </w:p>
    <w:p w14:paraId="68A2436B" w14:textId="77777777" w:rsidR="00AF4AF6" w:rsidRPr="00D82113" w:rsidRDefault="00AF4AF6" w:rsidP="00AF4AF6">
      <w:pPr>
        <w:spacing w:after="0" w:line="240" w:lineRule="auto"/>
        <w:jc w:val="both"/>
        <w:rPr>
          <w:rFonts w:ascii="Book Antiqua" w:hAnsi="Book Antiqua"/>
          <w:b/>
          <w:bCs/>
          <w:color w:val="0D0D0D" w:themeColor="text1" w:themeTint="F2"/>
          <w:sz w:val="18"/>
          <w:szCs w:val="18"/>
          <w:lang w:val="en-US"/>
        </w:rPr>
      </w:pPr>
      <w:r w:rsidRPr="00D82113">
        <w:rPr>
          <w:rFonts w:ascii="Book Antiqua" w:hAnsi="Book Antiqua"/>
          <w:b/>
          <w:bCs/>
          <w:color w:val="0D0D0D" w:themeColor="text1" w:themeTint="F2"/>
          <w:sz w:val="18"/>
          <w:szCs w:val="18"/>
          <w:lang w:val="en-US"/>
        </w:rPr>
        <w:t>Figure S</w:t>
      </w:r>
      <w:r>
        <w:rPr>
          <w:rFonts w:ascii="Book Antiqua" w:hAnsi="Book Antiqua"/>
          <w:b/>
          <w:bCs/>
          <w:color w:val="0D0D0D" w:themeColor="text1" w:themeTint="F2"/>
          <w:sz w:val="18"/>
          <w:szCs w:val="18"/>
          <w:lang w:val="en-US"/>
        </w:rPr>
        <w:t xml:space="preserve">5 </w:t>
      </w:r>
      <w:r w:rsidRPr="00D82113">
        <w:rPr>
          <w:rFonts w:ascii="Book Antiqua" w:hAnsi="Book Antiqua"/>
          <w:b/>
          <w:bCs/>
          <w:color w:val="0D0D0D" w:themeColor="text1" w:themeTint="F2"/>
          <w:sz w:val="18"/>
          <w:szCs w:val="18"/>
          <w:lang w:val="en-US"/>
        </w:rPr>
        <w:t>Two-dimensional dissimilarity plots of beta diversity distance metrices (Aitchison and Bray-Curtis) calculated between specimens in relation to A) participant age at specimen collection, B) 16S rRNA gene copies/</w:t>
      </w:r>
      <w:proofErr w:type="spellStart"/>
      <w:r w:rsidRPr="00D82113">
        <w:rPr>
          <w:rFonts w:ascii="Book Antiqua" w:hAnsi="Book Antiqua"/>
          <w:b/>
          <w:bCs/>
          <w:color w:val="0D0D0D" w:themeColor="text1" w:themeTint="F2"/>
          <w:sz w:val="18"/>
          <w:szCs w:val="18"/>
          <w:lang w:val="en-US"/>
        </w:rPr>
        <w:t>μl</w:t>
      </w:r>
      <w:proofErr w:type="spellEnd"/>
      <w:r w:rsidRPr="00D82113">
        <w:rPr>
          <w:rFonts w:ascii="Book Antiqua" w:hAnsi="Book Antiqua"/>
          <w:b/>
          <w:bCs/>
          <w:color w:val="0D0D0D" w:themeColor="text1" w:themeTint="F2"/>
          <w:sz w:val="18"/>
          <w:szCs w:val="18"/>
          <w:lang w:val="en-US"/>
        </w:rPr>
        <w:t xml:space="preserve">, </w:t>
      </w:r>
      <w:r>
        <w:rPr>
          <w:rFonts w:ascii="Book Antiqua" w:hAnsi="Book Antiqua"/>
          <w:b/>
          <w:bCs/>
          <w:color w:val="0D0D0D" w:themeColor="text1" w:themeTint="F2"/>
          <w:sz w:val="18"/>
          <w:szCs w:val="18"/>
          <w:lang w:val="en-US"/>
        </w:rPr>
        <w:t xml:space="preserve">and </w:t>
      </w:r>
      <w:r w:rsidRPr="00D82113">
        <w:rPr>
          <w:rFonts w:ascii="Book Antiqua" w:hAnsi="Book Antiqua"/>
          <w:b/>
          <w:bCs/>
          <w:color w:val="0D0D0D" w:themeColor="text1" w:themeTint="F2"/>
          <w:sz w:val="18"/>
          <w:szCs w:val="18"/>
          <w:lang w:val="en-US"/>
        </w:rPr>
        <w:t>C) read counts following bioinformatic processing</w:t>
      </w:r>
    </w:p>
    <w:p w14:paraId="34014A32" w14:textId="77777777" w:rsidR="00AF4AF6" w:rsidRPr="00D82113" w:rsidRDefault="00AF4AF6" w:rsidP="00AF4AF6">
      <w:pPr>
        <w:spacing w:after="0" w:line="240" w:lineRule="auto"/>
        <w:jc w:val="both"/>
        <w:rPr>
          <w:rFonts w:ascii="Book Antiqua" w:hAnsi="Book Antiqua"/>
          <w:color w:val="0D0D0D" w:themeColor="text1" w:themeTint="F2"/>
          <w:sz w:val="18"/>
          <w:szCs w:val="18"/>
          <w:lang w:val="en-US"/>
        </w:rPr>
      </w:pPr>
      <w:r w:rsidRPr="00D82113">
        <w:rPr>
          <w:rFonts w:ascii="Book Antiqua" w:hAnsi="Book Antiqua"/>
          <w:color w:val="0D0D0D" w:themeColor="text1" w:themeTint="F2"/>
          <w:sz w:val="18"/>
          <w:szCs w:val="18"/>
          <w:lang w:val="en-US"/>
        </w:rPr>
        <w:t>Logarithm of ratio-transformed (log-ratio) biplots representing dissimilarities between specimens based on Aitchison distance where ASV counts are treated as compositional observations are shown on the left.</w:t>
      </w:r>
      <w:r w:rsidRPr="00D82113">
        <w:rPr>
          <w:rFonts w:ascii="Book Antiqua" w:hAnsi="Book Antiqua"/>
          <w:color w:val="0D0D0D" w:themeColor="text1" w:themeTint="F2"/>
        </w:rPr>
        <w:t xml:space="preserve"> </w:t>
      </w:r>
      <w:r w:rsidRPr="00D82113">
        <w:rPr>
          <w:rFonts w:ascii="Book Antiqua" w:hAnsi="Book Antiqua"/>
          <w:color w:val="0D0D0D" w:themeColor="text1" w:themeTint="F2"/>
          <w:sz w:val="18"/>
          <w:szCs w:val="18"/>
        </w:rPr>
        <w:t>P</w:t>
      </w:r>
      <w:proofErr w:type="spellStart"/>
      <w:r w:rsidRPr="00D82113">
        <w:rPr>
          <w:rFonts w:ascii="Book Antiqua" w:hAnsi="Book Antiqua"/>
          <w:color w:val="0D0D0D" w:themeColor="text1" w:themeTint="F2"/>
          <w:sz w:val="18"/>
          <w:szCs w:val="18"/>
          <w:lang w:val="en-US"/>
        </w:rPr>
        <w:t>rinciple</w:t>
      </w:r>
      <w:proofErr w:type="spellEnd"/>
      <w:r w:rsidRPr="00D82113">
        <w:rPr>
          <w:rFonts w:ascii="Book Antiqua" w:hAnsi="Book Antiqua"/>
          <w:color w:val="0D0D0D" w:themeColor="text1" w:themeTint="F2"/>
          <w:sz w:val="18"/>
          <w:szCs w:val="18"/>
          <w:lang w:val="en-US"/>
        </w:rPr>
        <w:t xml:space="preserve"> of coordinate analysis (</w:t>
      </w:r>
      <w:proofErr w:type="spellStart"/>
      <w:r w:rsidRPr="00D82113">
        <w:rPr>
          <w:rFonts w:ascii="Book Antiqua" w:hAnsi="Book Antiqua"/>
          <w:color w:val="0D0D0D" w:themeColor="text1" w:themeTint="F2"/>
          <w:sz w:val="18"/>
          <w:szCs w:val="18"/>
          <w:lang w:val="en-US"/>
        </w:rPr>
        <w:t>PCoA</w:t>
      </w:r>
      <w:proofErr w:type="spellEnd"/>
      <w:r w:rsidRPr="00D82113">
        <w:rPr>
          <w:rFonts w:ascii="Book Antiqua" w:hAnsi="Book Antiqua"/>
          <w:color w:val="0D0D0D" w:themeColor="text1" w:themeTint="F2"/>
          <w:sz w:val="18"/>
          <w:szCs w:val="18"/>
          <w:lang w:val="en-US"/>
        </w:rPr>
        <w:t>) plots representing Bray-</w:t>
      </w:r>
      <w:proofErr w:type="gramStart"/>
      <w:r w:rsidRPr="00D82113">
        <w:rPr>
          <w:rFonts w:ascii="Book Antiqua" w:hAnsi="Book Antiqua"/>
          <w:color w:val="0D0D0D" w:themeColor="text1" w:themeTint="F2"/>
          <w:sz w:val="18"/>
          <w:szCs w:val="18"/>
          <w:lang w:val="en-US"/>
        </w:rPr>
        <w:t>Curtis</w:t>
      </w:r>
      <w:proofErr w:type="gramEnd"/>
      <w:r w:rsidRPr="00D82113">
        <w:rPr>
          <w:rFonts w:ascii="Book Antiqua" w:hAnsi="Book Antiqua"/>
          <w:color w:val="0D0D0D" w:themeColor="text1" w:themeTint="F2"/>
          <w:sz w:val="18"/>
          <w:szCs w:val="18"/>
          <w:lang w:val="en-US"/>
        </w:rPr>
        <w:t xml:space="preserve"> dissimilarities between specimens based on rarefied amplicon sequence variant (ASV) counts are shown on the right. Data points are </w:t>
      </w:r>
      <w:proofErr w:type="spellStart"/>
      <w:r w:rsidRPr="00D82113">
        <w:rPr>
          <w:rFonts w:ascii="Book Antiqua" w:hAnsi="Book Antiqua"/>
          <w:color w:val="0D0D0D" w:themeColor="text1" w:themeTint="F2"/>
          <w:sz w:val="18"/>
          <w:szCs w:val="18"/>
          <w:lang w:val="en-US"/>
        </w:rPr>
        <w:t>coloured</w:t>
      </w:r>
      <w:proofErr w:type="spellEnd"/>
      <w:r w:rsidRPr="00D82113">
        <w:rPr>
          <w:rFonts w:ascii="Book Antiqua" w:hAnsi="Book Antiqua"/>
          <w:color w:val="0D0D0D" w:themeColor="text1" w:themeTint="F2"/>
          <w:sz w:val="18"/>
          <w:szCs w:val="18"/>
          <w:lang w:val="en-US"/>
        </w:rPr>
        <w:t xml:space="preserve"> according to A) participant age at specimen collection (in days), B) 16SrRNA gene copies/</w:t>
      </w:r>
      <w:proofErr w:type="spellStart"/>
      <w:r w:rsidRPr="00D82113">
        <w:rPr>
          <w:rFonts w:ascii="Book Antiqua" w:hAnsi="Book Antiqua"/>
          <w:color w:val="0D0D0D" w:themeColor="text1" w:themeTint="F2"/>
          <w:sz w:val="18"/>
          <w:szCs w:val="18"/>
          <w:lang w:val="en-US"/>
        </w:rPr>
        <w:t>μl</w:t>
      </w:r>
      <w:proofErr w:type="spellEnd"/>
      <w:r w:rsidRPr="00D82113">
        <w:rPr>
          <w:rFonts w:ascii="Book Antiqua" w:hAnsi="Book Antiqua"/>
          <w:color w:val="0D0D0D" w:themeColor="text1" w:themeTint="F2"/>
          <w:sz w:val="18"/>
          <w:szCs w:val="18"/>
          <w:lang w:val="en-US"/>
        </w:rPr>
        <w:t xml:space="preserve">, </w:t>
      </w:r>
      <w:r>
        <w:rPr>
          <w:rFonts w:ascii="Book Antiqua" w:hAnsi="Book Antiqua"/>
          <w:color w:val="0D0D0D" w:themeColor="text1" w:themeTint="F2"/>
          <w:sz w:val="18"/>
          <w:szCs w:val="18"/>
          <w:lang w:val="en-US"/>
        </w:rPr>
        <w:t xml:space="preserve">and </w:t>
      </w:r>
      <w:r w:rsidRPr="00D82113">
        <w:rPr>
          <w:rFonts w:ascii="Book Antiqua" w:hAnsi="Book Antiqua"/>
          <w:color w:val="0D0D0D" w:themeColor="text1" w:themeTint="F2"/>
          <w:sz w:val="18"/>
          <w:szCs w:val="18"/>
          <w:lang w:val="en-US"/>
        </w:rPr>
        <w:t>C) read counts available for downstream analyses. Nasopharyngeal (NP) specimens (n = 1,716) are presented by filled circles. No template controls (NTCs) (n = 21) are presented by filled triangles</w:t>
      </w:r>
    </w:p>
    <w:p w14:paraId="4C1D80FD" w14:textId="77777777" w:rsidR="008C32F4" w:rsidRDefault="008C32F4" w:rsidP="00BF6719">
      <w:pPr>
        <w:spacing w:after="0" w:line="480" w:lineRule="auto"/>
        <w:contextualSpacing/>
        <w:jc w:val="both"/>
        <w:rPr>
          <w:rFonts w:ascii="Cambria Math" w:hAnsi="Cambria Math"/>
        </w:rPr>
      </w:pPr>
    </w:p>
    <w:p w14:paraId="41CC52BD" w14:textId="77777777" w:rsidR="008C32F4" w:rsidRPr="000C365D" w:rsidRDefault="008C32F4" w:rsidP="00BF6719">
      <w:pPr>
        <w:spacing w:after="0" w:line="480" w:lineRule="auto"/>
        <w:contextualSpacing/>
        <w:jc w:val="both"/>
        <w:rPr>
          <w:rFonts w:ascii="Cambria Math" w:hAnsi="Cambria Math"/>
        </w:rPr>
      </w:pPr>
    </w:p>
    <w:p w14:paraId="0DFEA630" w14:textId="3D7D6AC1" w:rsidR="00847D68" w:rsidRPr="008B1D0A" w:rsidRDefault="000C2B03" w:rsidP="00847D68">
      <w:pPr>
        <w:spacing w:after="0" w:line="480" w:lineRule="auto"/>
        <w:contextualSpacing/>
        <w:jc w:val="both"/>
        <w:rPr>
          <w:rFonts w:ascii="Cambria Math" w:hAnsi="Cambria Math"/>
        </w:rPr>
      </w:pPr>
      <w:r w:rsidRPr="008B1D0A">
        <w:rPr>
          <w:rFonts w:ascii="Cambria Math" w:hAnsi="Cambria Math"/>
          <w:bCs/>
        </w:rPr>
        <w:lastRenderedPageBreak/>
        <w:t xml:space="preserve">A total of 1,716 NP specimens (and 3,837 ASVs) from 124 participants were available for downstream analyses. </w:t>
      </w:r>
      <w:r w:rsidR="002B0F8D" w:rsidRPr="008B1D0A">
        <w:rPr>
          <w:rFonts w:ascii="Cambria Math" w:hAnsi="Cambria Math"/>
          <w:bCs/>
        </w:rPr>
        <w:t xml:space="preserve">After excluding </w:t>
      </w:r>
      <w:r w:rsidR="00187A0A" w:rsidRPr="008B1D0A">
        <w:rPr>
          <w:rFonts w:ascii="Cambria Math" w:hAnsi="Cambria Math"/>
          <w:bCs/>
        </w:rPr>
        <w:t xml:space="preserve">NP specimens collected at </w:t>
      </w:r>
      <w:r w:rsidR="00187A0A" w:rsidRPr="008B1D0A">
        <w:rPr>
          <w:rFonts w:ascii="Cambria Math" w:hAnsi="Cambria Math"/>
          <w:bCs/>
          <w:u w:val="single"/>
        </w:rPr>
        <w:t>&lt;</w:t>
      </w:r>
      <w:r w:rsidR="00187A0A" w:rsidRPr="008B1D0A">
        <w:rPr>
          <w:rFonts w:ascii="Cambria Math" w:hAnsi="Cambria Math"/>
        </w:rPr>
        <w:t xml:space="preserve">10 days of age (n=89), remaining </w:t>
      </w:r>
      <w:r w:rsidR="00236F82" w:rsidRPr="008B1D0A">
        <w:rPr>
          <w:rFonts w:ascii="Cambria Math" w:hAnsi="Cambria Math"/>
        </w:rPr>
        <w:t xml:space="preserve">NP </w:t>
      </w:r>
      <w:r w:rsidR="00187A0A" w:rsidRPr="008B1D0A">
        <w:rPr>
          <w:rFonts w:ascii="Cambria Math" w:hAnsi="Cambria Math"/>
        </w:rPr>
        <w:t xml:space="preserve">specimens with </w:t>
      </w:r>
      <w:r w:rsidR="00187A0A" w:rsidRPr="008B1D0A">
        <w:rPr>
          <w:rFonts w:ascii="Cambria Math" w:hAnsi="Cambria Math"/>
          <w:u w:val="single"/>
        </w:rPr>
        <w:t>&lt;</w:t>
      </w:r>
      <w:r w:rsidR="00187A0A" w:rsidRPr="008B1D0A">
        <w:rPr>
          <w:rFonts w:ascii="Cambria Math" w:hAnsi="Cambria Math"/>
        </w:rPr>
        <w:t xml:space="preserve">300 16S rRNA gene copies/µl (n=90), and remaining specimens with </w:t>
      </w:r>
      <w:r w:rsidR="00187A0A" w:rsidRPr="008B1D0A">
        <w:rPr>
          <w:rFonts w:ascii="Cambria Math" w:hAnsi="Cambria Math"/>
          <w:u w:val="single"/>
        </w:rPr>
        <w:t>&lt;</w:t>
      </w:r>
      <w:r w:rsidR="00187A0A" w:rsidRPr="008B1D0A">
        <w:rPr>
          <w:rFonts w:ascii="Cambria Math" w:hAnsi="Cambria Math"/>
        </w:rPr>
        <w:t>1,000 reads (n=1)</w:t>
      </w:r>
      <w:r w:rsidR="005324B8" w:rsidRPr="008B1D0A">
        <w:rPr>
          <w:rFonts w:ascii="Cambria Math" w:hAnsi="Cambria Math"/>
        </w:rPr>
        <w:t xml:space="preserve">, a total of </w:t>
      </w:r>
      <w:r w:rsidR="00847D68" w:rsidRPr="008B1D0A">
        <w:rPr>
          <w:rFonts w:ascii="Cambria Math" w:hAnsi="Cambria Math"/>
        </w:rPr>
        <w:t xml:space="preserve">1,536 NP specimens </w:t>
      </w:r>
      <w:r w:rsidR="00FF211E" w:rsidRPr="008B1D0A">
        <w:rPr>
          <w:rFonts w:ascii="Cambria Math" w:hAnsi="Cambria Math"/>
        </w:rPr>
        <w:t>were included for downstream analyses</w:t>
      </w:r>
      <w:r w:rsidR="00847D68" w:rsidRPr="008B1D0A">
        <w:rPr>
          <w:rFonts w:ascii="Cambria Math" w:hAnsi="Cambria Math"/>
        </w:rPr>
        <w:t>. Rarefaction curves following the removal of the 180 NP specimens listed above plateaued at 1,000 reads for most NP specimens (Figure S</w:t>
      </w:r>
      <w:r w:rsidR="000349B7" w:rsidRPr="008B1D0A">
        <w:rPr>
          <w:rFonts w:ascii="Cambria Math" w:hAnsi="Cambria Math"/>
        </w:rPr>
        <w:t>6</w:t>
      </w:r>
      <w:r w:rsidR="00847D68" w:rsidRPr="008B1D0A">
        <w:rPr>
          <w:rFonts w:ascii="Cambria Math" w:hAnsi="Cambria Math"/>
        </w:rPr>
        <w:t xml:space="preserve">). </w:t>
      </w:r>
    </w:p>
    <w:p w14:paraId="01D3E872" w14:textId="77777777" w:rsidR="00E469D2" w:rsidRPr="00D82113" w:rsidRDefault="00E469D2" w:rsidP="00E469D2">
      <w:pPr>
        <w:spacing w:after="0" w:line="480" w:lineRule="auto"/>
        <w:contextualSpacing/>
        <w:jc w:val="both"/>
        <w:rPr>
          <w:rFonts w:ascii="Book Antiqua" w:hAnsi="Book Antiqua"/>
          <w:color w:val="0D0D0D" w:themeColor="text1" w:themeTint="F2"/>
          <w:sz w:val="18"/>
          <w:szCs w:val="18"/>
          <w:lang w:val="en-US"/>
        </w:rPr>
      </w:pPr>
    </w:p>
    <w:p w14:paraId="05023490" w14:textId="77777777" w:rsidR="00E469D2" w:rsidRPr="00806C87" w:rsidRDefault="00E469D2" w:rsidP="00E469D2">
      <w:pPr>
        <w:spacing w:after="0" w:line="480" w:lineRule="auto"/>
        <w:contextualSpacing/>
        <w:jc w:val="both"/>
        <w:rPr>
          <w:rFonts w:ascii="Cambria Math" w:hAnsi="Cambria Math"/>
          <w:color w:val="00B050"/>
        </w:rPr>
      </w:pPr>
    </w:p>
    <w:p w14:paraId="51AF06EF" w14:textId="77777777" w:rsidR="00E469D2" w:rsidRDefault="00E469D2" w:rsidP="00847D68">
      <w:pPr>
        <w:spacing w:after="0" w:line="480" w:lineRule="auto"/>
        <w:contextualSpacing/>
        <w:jc w:val="both"/>
        <w:rPr>
          <w:rFonts w:ascii="Cambria Math" w:hAnsi="Cambria Math"/>
          <w:color w:val="00B050"/>
        </w:rPr>
      </w:pPr>
    </w:p>
    <w:p w14:paraId="5B9F7907" w14:textId="77777777" w:rsidR="00847D68" w:rsidRDefault="00847D68" w:rsidP="00BF6719">
      <w:pPr>
        <w:spacing w:after="0" w:line="480" w:lineRule="auto"/>
        <w:contextualSpacing/>
        <w:jc w:val="both"/>
        <w:rPr>
          <w:rFonts w:ascii="Cambria Math" w:hAnsi="Cambria Math"/>
          <w:color w:val="00B050"/>
        </w:rPr>
      </w:pPr>
    </w:p>
    <w:p w14:paraId="29D4D8DF" w14:textId="01394E95" w:rsidR="00421190" w:rsidRDefault="00421190" w:rsidP="00421190">
      <w:pPr>
        <w:spacing w:after="0" w:line="480" w:lineRule="auto"/>
        <w:contextualSpacing/>
        <w:jc w:val="both"/>
        <w:rPr>
          <w:rFonts w:ascii="Cambria Math" w:hAnsi="Cambria Math"/>
          <w:color w:val="00B050"/>
        </w:rPr>
      </w:pPr>
    </w:p>
    <w:p w14:paraId="30ACAADD" w14:textId="6590A0E7" w:rsidR="00B24D16" w:rsidRPr="00182113" w:rsidRDefault="00B24D16" w:rsidP="00B24D16">
      <w:pPr>
        <w:spacing w:after="0" w:line="480" w:lineRule="auto"/>
        <w:contextualSpacing/>
        <w:jc w:val="both"/>
        <w:rPr>
          <w:rFonts w:ascii="Cambria Math" w:hAnsi="Cambria Math"/>
        </w:rPr>
      </w:pPr>
    </w:p>
    <w:p w14:paraId="45696C10" w14:textId="77777777" w:rsidR="00B24D16" w:rsidRDefault="00B24D16" w:rsidP="00B24D16">
      <w:pPr>
        <w:spacing w:after="0" w:line="480" w:lineRule="auto"/>
        <w:contextualSpacing/>
        <w:jc w:val="both"/>
        <w:rPr>
          <w:rFonts w:ascii="Cambria Math" w:hAnsi="Cambria Math"/>
          <w:color w:val="00B050"/>
        </w:rPr>
      </w:pPr>
    </w:p>
    <w:p w14:paraId="18CB4707" w14:textId="77777777" w:rsidR="00B24D16" w:rsidRDefault="00B24D16" w:rsidP="00B24D16">
      <w:pPr>
        <w:spacing w:after="0" w:line="480" w:lineRule="auto"/>
        <w:contextualSpacing/>
        <w:jc w:val="both"/>
        <w:rPr>
          <w:rFonts w:ascii="Cambria Math" w:hAnsi="Cambria Math"/>
          <w:color w:val="00B050"/>
        </w:rPr>
      </w:pPr>
    </w:p>
    <w:p w14:paraId="0C345AD0" w14:textId="77777777" w:rsidR="00B24D16" w:rsidRDefault="00B24D16" w:rsidP="00B24D16">
      <w:pPr>
        <w:spacing w:after="0" w:line="480" w:lineRule="auto"/>
        <w:contextualSpacing/>
        <w:jc w:val="both"/>
        <w:rPr>
          <w:rFonts w:ascii="Cambria Math" w:hAnsi="Cambria Math"/>
          <w:color w:val="00B050"/>
        </w:rPr>
      </w:pPr>
    </w:p>
    <w:p w14:paraId="6070E99C" w14:textId="77777777" w:rsidR="00B24D16" w:rsidRDefault="00B24D16" w:rsidP="00B24D16">
      <w:pPr>
        <w:spacing w:after="0" w:line="480" w:lineRule="auto"/>
        <w:contextualSpacing/>
        <w:jc w:val="both"/>
        <w:rPr>
          <w:rFonts w:ascii="Cambria Math" w:hAnsi="Cambria Math"/>
          <w:color w:val="00B050"/>
        </w:rPr>
      </w:pPr>
    </w:p>
    <w:p w14:paraId="1BB7644C" w14:textId="77777777" w:rsidR="00B24D16" w:rsidRDefault="00B24D16" w:rsidP="00B24D16">
      <w:pPr>
        <w:spacing w:after="0" w:line="480" w:lineRule="auto"/>
        <w:contextualSpacing/>
        <w:jc w:val="both"/>
        <w:rPr>
          <w:rFonts w:ascii="Cambria Math" w:hAnsi="Cambria Math"/>
          <w:color w:val="00B050"/>
        </w:rPr>
      </w:pPr>
    </w:p>
    <w:p w14:paraId="0AA47F2E" w14:textId="77777777" w:rsidR="005815BC" w:rsidRDefault="005815BC" w:rsidP="00B24D16">
      <w:pPr>
        <w:spacing w:after="0" w:line="480" w:lineRule="auto"/>
        <w:contextualSpacing/>
        <w:jc w:val="both"/>
        <w:rPr>
          <w:rFonts w:ascii="Cambria Math" w:hAnsi="Cambria Math"/>
          <w:color w:val="00B050"/>
        </w:rPr>
      </w:pPr>
    </w:p>
    <w:p w14:paraId="3C806993" w14:textId="77777777" w:rsidR="005815BC" w:rsidRDefault="005815BC" w:rsidP="00B24D16">
      <w:pPr>
        <w:spacing w:after="0" w:line="480" w:lineRule="auto"/>
        <w:contextualSpacing/>
        <w:jc w:val="both"/>
        <w:rPr>
          <w:rFonts w:ascii="Cambria Math" w:hAnsi="Cambria Math"/>
          <w:color w:val="00B050"/>
        </w:rPr>
      </w:pPr>
    </w:p>
    <w:p w14:paraId="222CE2A0" w14:textId="77777777" w:rsidR="00B24D16" w:rsidRDefault="00B24D16" w:rsidP="00B24D16">
      <w:pPr>
        <w:spacing w:after="0" w:line="480" w:lineRule="auto"/>
        <w:contextualSpacing/>
        <w:jc w:val="both"/>
        <w:rPr>
          <w:rFonts w:ascii="Cambria Math" w:hAnsi="Cambria Math"/>
          <w:color w:val="00B050"/>
        </w:rPr>
      </w:pPr>
    </w:p>
    <w:p w14:paraId="34FFF909" w14:textId="77777777" w:rsidR="000349B7" w:rsidRDefault="000349B7" w:rsidP="00B24D16">
      <w:pPr>
        <w:spacing w:after="0" w:line="480" w:lineRule="auto"/>
        <w:contextualSpacing/>
        <w:jc w:val="both"/>
        <w:rPr>
          <w:rFonts w:ascii="Cambria Math" w:hAnsi="Cambria Math"/>
          <w:color w:val="00B050"/>
        </w:rPr>
      </w:pPr>
    </w:p>
    <w:p w14:paraId="5BF71088" w14:textId="77777777" w:rsidR="000349B7" w:rsidRDefault="000349B7" w:rsidP="00B24D16">
      <w:pPr>
        <w:spacing w:after="0" w:line="480" w:lineRule="auto"/>
        <w:contextualSpacing/>
        <w:jc w:val="both"/>
        <w:rPr>
          <w:rFonts w:ascii="Cambria Math" w:hAnsi="Cambria Math"/>
          <w:color w:val="00B050"/>
        </w:rPr>
      </w:pPr>
    </w:p>
    <w:p w14:paraId="39AE9455" w14:textId="77777777" w:rsidR="000349B7" w:rsidRDefault="000349B7" w:rsidP="00B24D16">
      <w:pPr>
        <w:spacing w:after="0" w:line="480" w:lineRule="auto"/>
        <w:contextualSpacing/>
        <w:jc w:val="both"/>
        <w:rPr>
          <w:rFonts w:ascii="Cambria Math" w:hAnsi="Cambria Math"/>
          <w:color w:val="00B050"/>
        </w:rPr>
      </w:pPr>
    </w:p>
    <w:p w14:paraId="65A2F369" w14:textId="77777777" w:rsidR="000349B7" w:rsidRDefault="000349B7" w:rsidP="00B24D16">
      <w:pPr>
        <w:spacing w:after="0" w:line="480" w:lineRule="auto"/>
        <w:contextualSpacing/>
        <w:jc w:val="both"/>
        <w:rPr>
          <w:rFonts w:ascii="Cambria Math" w:hAnsi="Cambria Math"/>
          <w:color w:val="00B050"/>
        </w:rPr>
      </w:pPr>
    </w:p>
    <w:p w14:paraId="591A7E3A" w14:textId="77777777" w:rsidR="000349B7" w:rsidRDefault="000349B7" w:rsidP="00B24D16">
      <w:pPr>
        <w:spacing w:after="0" w:line="480" w:lineRule="auto"/>
        <w:contextualSpacing/>
        <w:jc w:val="both"/>
        <w:rPr>
          <w:rFonts w:ascii="Cambria Math" w:hAnsi="Cambria Math"/>
          <w:color w:val="00B050"/>
        </w:rPr>
      </w:pPr>
    </w:p>
    <w:p w14:paraId="4D0DBFE8" w14:textId="77777777" w:rsidR="000349B7" w:rsidRDefault="000349B7" w:rsidP="00B24D16">
      <w:pPr>
        <w:spacing w:after="0" w:line="480" w:lineRule="auto"/>
        <w:contextualSpacing/>
        <w:jc w:val="both"/>
        <w:rPr>
          <w:rFonts w:ascii="Cambria Math" w:hAnsi="Cambria Math"/>
          <w:color w:val="00B050"/>
        </w:rPr>
      </w:pPr>
    </w:p>
    <w:p w14:paraId="7E1A1262" w14:textId="77777777" w:rsidR="000349B7" w:rsidRDefault="000349B7" w:rsidP="00B24D16">
      <w:pPr>
        <w:spacing w:after="0" w:line="480" w:lineRule="auto"/>
        <w:contextualSpacing/>
        <w:jc w:val="both"/>
        <w:rPr>
          <w:rFonts w:ascii="Cambria Math" w:hAnsi="Cambria Math"/>
          <w:color w:val="00B050"/>
        </w:rPr>
      </w:pPr>
    </w:p>
    <w:p w14:paraId="03F37A4E" w14:textId="77777777" w:rsidR="00B24D16" w:rsidRPr="00806C87" w:rsidRDefault="00B24D16" w:rsidP="00B24D16">
      <w:pPr>
        <w:spacing w:after="0" w:line="480" w:lineRule="auto"/>
        <w:contextualSpacing/>
        <w:jc w:val="center"/>
        <w:rPr>
          <w:rFonts w:ascii="Cambria Math" w:hAnsi="Cambria Math"/>
          <w:color w:val="00B050"/>
        </w:rPr>
      </w:pPr>
      <w:r>
        <w:rPr>
          <w:rFonts w:ascii="Cambria Math" w:hAnsi="Cambria Math"/>
          <w:noProof/>
          <w:color w:val="00B050"/>
        </w:rPr>
        <w:lastRenderedPageBreak/>
        <w:drawing>
          <wp:inline distT="0" distB="0" distL="0" distR="0" wp14:anchorId="569A3F26" wp14:editId="76756B32">
            <wp:extent cx="4752000" cy="70125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52000" cy="7012520"/>
                    </a:xfrm>
                    <a:prstGeom prst="rect">
                      <a:avLst/>
                    </a:prstGeom>
                  </pic:spPr>
                </pic:pic>
              </a:graphicData>
            </a:graphic>
          </wp:inline>
        </w:drawing>
      </w:r>
    </w:p>
    <w:p w14:paraId="2EA7B0DE" w14:textId="77777777" w:rsidR="00B24D16" w:rsidRPr="00D82113" w:rsidRDefault="00B24D16" w:rsidP="00B24D16">
      <w:pPr>
        <w:spacing w:after="0" w:line="240" w:lineRule="auto"/>
        <w:jc w:val="both"/>
        <w:rPr>
          <w:rFonts w:ascii="Book Antiqua" w:hAnsi="Book Antiqua"/>
          <w:b/>
          <w:bCs/>
          <w:color w:val="0D0D0D" w:themeColor="text1" w:themeTint="F2"/>
          <w:sz w:val="18"/>
          <w:szCs w:val="18"/>
          <w:lang w:val="en-US"/>
        </w:rPr>
      </w:pPr>
      <w:r w:rsidRPr="00D82113">
        <w:rPr>
          <w:rFonts w:ascii="Book Antiqua" w:hAnsi="Book Antiqua"/>
          <w:b/>
          <w:bCs/>
          <w:color w:val="0D0D0D" w:themeColor="text1" w:themeTint="F2"/>
          <w:sz w:val="18"/>
          <w:szCs w:val="18"/>
          <w:lang w:val="en-US"/>
        </w:rPr>
        <w:t>Figure S</w:t>
      </w:r>
      <w:r>
        <w:rPr>
          <w:rFonts w:ascii="Book Antiqua" w:hAnsi="Book Antiqua"/>
          <w:b/>
          <w:bCs/>
          <w:color w:val="0D0D0D" w:themeColor="text1" w:themeTint="F2"/>
          <w:sz w:val="18"/>
          <w:szCs w:val="18"/>
          <w:lang w:val="en-US"/>
        </w:rPr>
        <w:t xml:space="preserve">6 </w:t>
      </w:r>
      <w:r w:rsidRPr="00D82113">
        <w:rPr>
          <w:rFonts w:ascii="Book Antiqua" w:hAnsi="Book Antiqua"/>
          <w:b/>
          <w:bCs/>
          <w:color w:val="0D0D0D" w:themeColor="text1" w:themeTint="F2"/>
          <w:sz w:val="18"/>
          <w:szCs w:val="18"/>
          <w:lang w:val="en-US"/>
        </w:rPr>
        <w:t>Rarefaction curves following the removal of early life and low biomass nasopharyngeal (NP) specimens</w:t>
      </w:r>
    </w:p>
    <w:p w14:paraId="723906C4" w14:textId="77777777" w:rsidR="00B24D16" w:rsidRPr="00D82113" w:rsidRDefault="00B24D16" w:rsidP="00B24D16">
      <w:pPr>
        <w:spacing w:after="0" w:line="240" w:lineRule="auto"/>
        <w:jc w:val="both"/>
        <w:rPr>
          <w:rFonts w:ascii="Book Antiqua" w:hAnsi="Book Antiqua"/>
          <w:color w:val="0D0D0D" w:themeColor="text1" w:themeTint="F2"/>
          <w:sz w:val="18"/>
          <w:szCs w:val="18"/>
          <w:lang w:val="en-US"/>
        </w:rPr>
      </w:pPr>
      <w:r w:rsidRPr="00D82113">
        <w:rPr>
          <w:rFonts w:ascii="Book Antiqua" w:hAnsi="Book Antiqua"/>
          <w:color w:val="0D0D0D" w:themeColor="text1" w:themeTint="F2"/>
          <w:sz w:val="18"/>
          <w:szCs w:val="18"/>
          <w:lang w:val="en-US"/>
        </w:rPr>
        <w:t xml:space="preserve">Rarefaction curves represent the number of ASVs detected in relation to the read counts obtained from each specimen. The dotted vertical line denotes 1,000 reads. Rarefaction curves are </w:t>
      </w:r>
      <w:proofErr w:type="spellStart"/>
      <w:r w:rsidRPr="00D82113">
        <w:rPr>
          <w:rFonts w:ascii="Book Antiqua" w:hAnsi="Book Antiqua"/>
          <w:color w:val="0D0D0D" w:themeColor="text1" w:themeTint="F2"/>
          <w:sz w:val="18"/>
          <w:szCs w:val="18"/>
          <w:lang w:val="en-US"/>
        </w:rPr>
        <w:t>coloured</w:t>
      </w:r>
      <w:proofErr w:type="spellEnd"/>
      <w:r w:rsidRPr="00D82113">
        <w:rPr>
          <w:rFonts w:ascii="Book Antiqua" w:hAnsi="Book Antiqua"/>
          <w:color w:val="0D0D0D" w:themeColor="text1" w:themeTint="F2"/>
          <w:sz w:val="18"/>
          <w:szCs w:val="18"/>
          <w:lang w:val="en-US"/>
        </w:rPr>
        <w:t xml:space="preserve"> according to A) age at specimen collection, B) specimen biomass (16S rRNA gene copies/</w:t>
      </w:r>
      <w:proofErr w:type="spellStart"/>
      <w:r w:rsidRPr="00D82113">
        <w:rPr>
          <w:rFonts w:ascii="Book Antiqua" w:hAnsi="Book Antiqua"/>
          <w:color w:val="0D0D0D" w:themeColor="text1" w:themeTint="F2"/>
          <w:sz w:val="18"/>
          <w:szCs w:val="18"/>
          <w:lang w:val="en-US"/>
        </w:rPr>
        <w:t>μl</w:t>
      </w:r>
      <w:proofErr w:type="spellEnd"/>
      <w:r w:rsidRPr="00D82113">
        <w:rPr>
          <w:rFonts w:ascii="Book Antiqua" w:hAnsi="Book Antiqua"/>
          <w:color w:val="0D0D0D" w:themeColor="text1" w:themeTint="F2"/>
          <w:sz w:val="18"/>
          <w:szCs w:val="18"/>
          <w:lang w:val="en-US"/>
        </w:rPr>
        <w:t>) and C) read counts.</w:t>
      </w:r>
    </w:p>
    <w:p w14:paraId="10C59068" w14:textId="77777777" w:rsidR="00B24D16" w:rsidRDefault="00B24D16" w:rsidP="00B24D16">
      <w:pPr>
        <w:spacing w:after="0" w:line="480" w:lineRule="auto"/>
        <w:contextualSpacing/>
        <w:jc w:val="both"/>
        <w:rPr>
          <w:rFonts w:ascii="Cambria Math" w:hAnsi="Cambria Math"/>
          <w:color w:val="00B050"/>
        </w:rPr>
      </w:pPr>
    </w:p>
    <w:p w14:paraId="536389E9" w14:textId="77777777" w:rsidR="00B24D16" w:rsidRDefault="00B24D16" w:rsidP="00B24D16">
      <w:pPr>
        <w:spacing w:after="0" w:line="480" w:lineRule="auto"/>
        <w:jc w:val="both"/>
        <w:rPr>
          <w:rFonts w:ascii="Cambria Math" w:hAnsi="Cambria Math"/>
          <w:color w:val="00B050"/>
        </w:rPr>
      </w:pPr>
    </w:p>
    <w:p w14:paraId="2CAEA090" w14:textId="77777777" w:rsidR="00B24D16" w:rsidRDefault="00B24D16" w:rsidP="00B24D16">
      <w:pPr>
        <w:spacing w:after="0" w:line="480" w:lineRule="auto"/>
        <w:jc w:val="both"/>
        <w:rPr>
          <w:rFonts w:ascii="Cambria Math" w:hAnsi="Cambria Math"/>
          <w:color w:val="00B050"/>
        </w:rPr>
      </w:pPr>
    </w:p>
    <w:p w14:paraId="1F923957" w14:textId="6F797572" w:rsidR="0047645E" w:rsidRDefault="0047645E" w:rsidP="0047645E">
      <w:pPr>
        <w:spacing w:after="0" w:line="480" w:lineRule="auto"/>
        <w:rPr>
          <w:rFonts w:ascii="Cambria Math" w:hAnsi="Cambria Math"/>
          <w:b/>
          <w:bCs/>
          <w:sz w:val="28"/>
          <w:szCs w:val="28"/>
        </w:rPr>
      </w:pPr>
      <w:r>
        <w:rPr>
          <w:rFonts w:ascii="Cambria Math" w:hAnsi="Cambria Math"/>
          <w:b/>
          <w:bCs/>
          <w:sz w:val="28"/>
          <w:szCs w:val="28"/>
        </w:rPr>
        <w:lastRenderedPageBreak/>
        <w:t xml:space="preserve">Section </w:t>
      </w:r>
      <w:r w:rsidR="00975305">
        <w:rPr>
          <w:rFonts w:ascii="Cambria Math" w:hAnsi="Cambria Math"/>
          <w:b/>
          <w:bCs/>
          <w:sz w:val="28"/>
          <w:szCs w:val="28"/>
        </w:rPr>
        <w:t>C</w:t>
      </w:r>
    </w:p>
    <w:p w14:paraId="47AE711B" w14:textId="17801093" w:rsidR="0047645E" w:rsidRPr="007264C5" w:rsidRDefault="0047645E" w:rsidP="0047645E">
      <w:pPr>
        <w:spacing w:after="0" w:line="480" w:lineRule="auto"/>
        <w:rPr>
          <w:rFonts w:ascii="Cambria Math" w:hAnsi="Cambria Math"/>
          <w:b/>
          <w:bCs/>
          <w:sz w:val="28"/>
          <w:szCs w:val="28"/>
        </w:rPr>
      </w:pPr>
      <w:r w:rsidRPr="007264C5">
        <w:rPr>
          <w:rFonts w:ascii="Cambria Math" w:hAnsi="Cambria Math"/>
          <w:b/>
          <w:bCs/>
          <w:sz w:val="28"/>
          <w:szCs w:val="28"/>
        </w:rPr>
        <w:t xml:space="preserve">Extended </w:t>
      </w:r>
      <w:r>
        <w:rPr>
          <w:rFonts w:ascii="Cambria Math" w:hAnsi="Cambria Math"/>
          <w:b/>
          <w:bCs/>
          <w:sz w:val="28"/>
          <w:szCs w:val="28"/>
        </w:rPr>
        <w:t xml:space="preserve">results </w:t>
      </w:r>
      <w:r w:rsidR="00975305">
        <w:rPr>
          <w:rFonts w:ascii="Cambria Math" w:hAnsi="Cambria Math"/>
          <w:b/>
          <w:bCs/>
          <w:sz w:val="28"/>
          <w:szCs w:val="28"/>
        </w:rPr>
        <w:t>-</w:t>
      </w:r>
      <w:r>
        <w:rPr>
          <w:rFonts w:ascii="Cambria Math" w:hAnsi="Cambria Math"/>
          <w:b/>
          <w:bCs/>
          <w:sz w:val="28"/>
          <w:szCs w:val="28"/>
        </w:rPr>
        <w:t xml:space="preserve"> </w:t>
      </w:r>
      <w:r w:rsidR="00975305">
        <w:rPr>
          <w:rFonts w:ascii="Cambria Math" w:hAnsi="Cambria Math"/>
          <w:b/>
          <w:bCs/>
          <w:sz w:val="28"/>
          <w:szCs w:val="28"/>
        </w:rPr>
        <w:t>phylogenetic trees</w:t>
      </w:r>
    </w:p>
    <w:p w14:paraId="10F80293" w14:textId="7EFFCC22" w:rsidR="000349B7" w:rsidRPr="008B1D0A" w:rsidRDefault="0027235A" w:rsidP="00B24D16">
      <w:pPr>
        <w:spacing w:after="0" w:line="480" w:lineRule="auto"/>
        <w:jc w:val="both"/>
        <w:rPr>
          <w:rFonts w:ascii="Cambria Math" w:hAnsi="Cambria Math"/>
        </w:rPr>
      </w:pPr>
      <w:r>
        <w:rPr>
          <w:rFonts w:ascii="Cambria Math" w:hAnsi="Cambria Math"/>
        </w:rPr>
        <w:t>P</w:t>
      </w:r>
      <w:r w:rsidRPr="00C64D13">
        <w:rPr>
          <w:rFonts w:ascii="Cambria Math" w:hAnsi="Cambria Math"/>
        </w:rPr>
        <w:t xml:space="preserve">hylogenetic trees </w:t>
      </w:r>
      <w:r w:rsidR="00BA7254">
        <w:rPr>
          <w:rFonts w:ascii="Cambria Math" w:hAnsi="Cambria Math"/>
        </w:rPr>
        <w:t>from</w:t>
      </w:r>
      <w:r>
        <w:rPr>
          <w:rFonts w:ascii="Cambria Math" w:hAnsi="Cambria Math"/>
        </w:rPr>
        <w:t xml:space="preserve"> published full-length 16S rRNA gene sequences </w:t>
      </w:r>
      <w:r w:rsidRPr="00C64D13">
        <w:rPr>
          <w:rFonts w:ascii="Cambria Math" w:hAnsi="Cambria Math"/>
        </w:rPr>
        <w:t xml:space="preserve">for the six most abundant </w:t>
      </w:r>
      <w:r w:rsidRPr="008B1D0A">
        <w:rPr>
          <w:rFonts w:ascii="Cambria Math" w:hAnsi="Cambria Math"/>
        </w:rPr>
        <w:t>bacterial genera</w:t>
      </w:r>
      <w:r w:rsidR="00F01A1D" w:rsidRPr="008B1D0A">
        <w:rPr>
          <w:rFonts w:ascii="Cambria Math" w:hAnsi="Cambria Math"/>
        </w:rPr>
        <w:t xml:space="preserve"> (Figures S7-S</w:t>
      </w:r>
      <w:r w:rsidR="008E3596" w:rsidRPr="008B1D0A">
        <w:rPr>
          <w:rFonts w:ascii="Cambria Math" w:hAnsi="Cambria Math"/>
        </w:rPr>
        <w:t>12)</w:t>
      </w:r>
      <w:r w:rsidR="00BA7254" w:rsidRPr="008B1D0A">
        <w:rPr>
          <w:rFonts w:ascii="Cambria Math" w:hAnsi="Cambria Math"/>
        </w:rPr>
        <w:t xml:space="preserve">. </w:t>
      </w:r>
    </w:p>
    <w:p w14:paraId="425283E3" w14:textId="77777777" w:rsidR="00B24D16" w:rsidRDefault="00B24D16" w:rsidP="00B24D16">
      <w:pPr>
        <w:spacing w:after="0" w:line="480" w:lineRule="auto"/>
        <w:jc w:val="both"/>
        <w:rPr>
          <w:rFonts w:ascii="Cambria Math" w:hAnsi="Cambria Math"/>
          <w:color w:val="00B050"/>
        </w:rPr>
      </w:pPr>
    </w:p>
    <w:p w14:paraId="729A718E" w14:textId="77777777" w:rsidR="00B24D16" w:rsidRDefault="00B24D16" w:rsidP="00B24D16">
      <w:pPr>
        <w:spacing w:after="0" w:line="480" w:lineRule="auto"/>
        <w:jc w:val="both"/>
        <w:rPr>
          <w:rFonts w:ascii="Cambria Math" w:hAnsi="Cambria Math"/>
          <w:color w:val="00B050"/>
        </w:rPr>
      </w:pPr>
    </w:p>
    <w:p w14:paraId="2A03497A" w14:textId="77777777" w:rsidR="00B24D16" w:rsidRDefault="00B24D16" w:rsidP="00B24D16">
      <w:pPr>
        <w:spacing w:after="0" w:line="480" w:lineRule="auto"/>
        <w:jc w:val="both"/>
        <w:rPr>
          <w:rFonts w:ascii="Cambria Math" w:hAnsi="Cambria Math"/>
          <w:color w:val="00B050"/>
        </w:rPr>
      </w:pPr>
    </w:p>
    <w:p w14:paraId="5B268E95" w14:textId="77777777" w:rsidR="00B24D16" w:rsidRDefault="00B24D16" w:rsidP="00B24D16">
      <w:pPr>
        <w:spacing w:after="0" w:line="480" w:lineRule="auto"/>
        <w:jc w:val="both"/>
        <w:rPr>
          <w:rFonts w:ascii="Cambria Math" w:hAnsi="Cambria Math"/>
          <w:color w:val="00B050"/>
        </w:rPr>
      </w:pPr>
    </w:p>
    <w:p w14:paraId="7138CBFC" w14:textId="77777777" w:rsidR="00B24D16" w:rsidRDefault="00B24D16" w:rsidP="00B24D16">
      <w:pPr>
        <w:spacing w:after="0" w:line="480" w:lineRule="auto"/>
        <w:jc w:val="both"/>
        <w:rPr>
          <w:rFonts w:ascii="Cambria Math" w:hAnsi="Cambria Math"/>
          <w:color w:val="00B050"/>
        </w:rPr>
      </w:pPr>
    </w:p>
    <w:p w14:paraId="2AF664EE" w14:textId="77777777" w:rsidR="00B24D16" w:rsidRDefault="00B24D16" w:rsidP="00B24D16">
      <w:pPr>
        <w:spacing w:after="0" w:line="480" w:lineRule="auto"/>
        <w:jc w:val="both"/>
        <w:rPr>
          <w:rFonts w:ascii="Cambria Math" w:hAnsi="Cambria Math"/>
          <w:color w:val="00B050"/>
        </w:rPr>
      </w:pPr>
    </w:p>
    <w:p w14:paraId="498AC4F8" w14:textId="77777777" w:rsidR="00B24D16" w:rsidRDefault="00B24D16" w:rsidP="00B24D16">
      <w:pPr>
        <w:spacing w:after="0" w:line="480" w:lineRule="auto"/>
        <w:jc w:val="both"/>
        <w:rPr>
          <w:rFonts w:ascii="Cambria Math" w:hAnsi="Cambria Math"/>
          <w:color w:val="00B050"/>
        </w:rPr>
      </w:pPr>
    </w:p>
    <w:p w14:paraId="6BB33502" w14:textId="77777777" w:rsidR="00B24D16" w:rsidRDefault="00B24D16" w:rsidP="00B24D16">
      <w:pPr>
        <w:spacing w:after="0" w:line="480" w:lineRule="auto"/>
        <w:jc w:val="both"/>
        <w:rPr>
          <w:rFonts w:ascii="Cambria Math" w:hAnsi="Cambria Math"/>
          <w:color w:val="00B050"/>
        </w:rPr>
      </w:pPr>
    </w:p>
    <w:p w14:paraId="5505828A" w14:textId="77777777" w:rsidR="00B24D16" w:rsidRDefault="00B24D16" w:rsidP="00B24D16">
      <w:pPr>
        <w:spacing w:after="0" w:line="360" w:lineRule="auto"/>
        <w:contextualSpacing/>
        <w:jc w:val="center"/>
        <w:rPr>
          <w:rFonts w:ascii="Book Antiqua" w:hAnsi="Book Antiqua"/>
          <w:color w:val="00B050"/>
        </w:rPr>
      </w:pPr>
      <w:r>
        <w:rPr>
          <w:rFonts w:ascii="Book Antiqua" w:hAnsi="Book Antiqua"/>
          <w:noProof/>
          <w:color w:val="00B050"/>
        </w:rPr>
        <w:lastRenderedPageBreak/>
        <w:drawing>
          <wp:inline distT="0" distB="0" distL="0" distR="0" wp14:anchorId="119E4791" wp14:editId="002C3675">
            <wp:extent cx="5219700" cy="78232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4" cstate="print">
                      <a:extLst>
                        <a:ext uri="{28A0092B-C50C-407E-A947-70E740481C1C}">
                          <a14:useLocalDpi xmlns:a14="http://schemas.microsoft.com/office/drawing/2010/main" val="0"/>
                        </a:ext>
                      </a:extLst>
                    </a:blip>
                    <a:srcRect b="499"/>
                    <a:stretch/>
                  </pic:blipFill>
                  <pic:spPr bwMode="auto">
                    <a:xfrm>
                      <a:off x="0" y="0"/>
                      <a:ext cx="5220000" cy="7823650"/>
                    </a:xfrm>
                    <a:prstGeom prst="rect">
                      <a:avLst/>
                    </a:prstGeom>
                    <a:ln>
                      <a:noFill/>
                    </a:ln>
                    <a:extLst>
                      <a:ext uri="{53640926-AAD7-44D8-BBD7-CCE9431645EC}">
                        <a14:shadowObscured xmlns:a14="http://schemas.microsoft.com/office/drawing/2010/main"/>
                      </a:ext>
                    </a:extLst>
                  </pic:spPr>
                </pic:pic>
              </a:graphicData>
            </a:graphic>
          </wp:inline>
        </w:drawing>
      </w:r>
    </w:p>
    <w:p w14:paraId="4F6DC8DD" w14:textId="77777777" w:rsidR="00B24D16" w:rsidRPr="00BA511F" w:rsidRDefault="00B24D16" w:rsidP="00B24D16">
      <w:pPr>
        <w:spacing w:after="0" w:line="240" w:lineRule="auto"/>
        <w:jc w:val="both"/>
        <w:rPr>
          <w:rFonts w:ascii="Book Antiqua" w:hAnsi="Book Antiqua"/>
          <w:b/>
          <w:bCs/>
          <w:sz w:val="18"/>
          <w:szCs w:val="18"/>
          <w:lang w:val="en-US"/>
        </w:rPr>
      </w:pPr>
      <w:r w:rsidRPr="00BA511F">
        <w:rPr>
          <w:rFonts w:ascii="Book Antiqua" w:hAnsi="Book Antiqua"/>
          <w:b/>
          <w:bCs/>
          <w:sz w:val="18"/>
          <w:szCs w:val="18"/>
          <w:lang w:val="en-US"/>
        </w:rPr>
        <w:t>Figure S</w:t>
      </w:r>
      <w:r>
        <w:rPr>
          <w:rFonts w:ascii="Book Antiqua" w:hAnsi="Book Antiqua"/>
          <w:b/>
          <w:bCs/>
          <w:sz w:val="18"/>
          <w:szCs w:val="18"/>
          <w:lang w:val="en-US"/>
        </w:rPr>
        <w:t xml:space="preserve">7 </w:t>
      </w:r>
      <w:r w:rsidRPr="00BA511F">
        <w:rPr>
          <w:rFonts w:ascii="Book Antiqua" w:hAnsi="Book Antiqua"/>
          <w:b/>
          <w:bCs/>
          <w:sz w:val="18"/>
          <w:szCs w:val="18"/>
          <w:lang w:val="en-US"/>
        </w:rPr>
        <w:t>Phylogenetic tree</w:t>
      </w:r>
      <w:r>
        <w:rPr>
          <w:rFonts w:ascii="Book Antiqua" w:hAnsi="Book Antiqua"/>
          <w:b/>
          <w:bCs/>
          <w:sz w:val="18"/>
          <w:szCs w:val="18"/>
          <w:lang w:val="en-US"/>
        </w:rPr>
        <w:t xml:space="preserve"> for </w:t>
      </w:r>
      <w:r w:rsidRPr="002B74A8">
        <w:rPr>
          <w:rFonts w:ascii="Book Antiqua" w:hAnsi="Book Antiqua"/>
          <w:b/>
          <w:bCs/>
          <w:i/>
          <w:iCs/>
          <w:sz w:val="18"/>
          <w:szCs w:val="18"/>
          <w:lang w:val="en-US"/>
        </w:rPr>
        <w:t>Moraxella</w:t>
      </w:r>
    </w:p>
    <w:p w14:paraId="41BFB33B" w14:textId="77777777" w:rsidR="00B24D16" w:rsidRDefault="00B24D16" w:rsidP="00B24D16">
      <w:pPr>
        <w:jc w:val="both"/>
      </w:pPr>
      <w:r w:rsidRPr="00BA511F">
        <w:rPr>
          <w:rFonts w:ascii="Book Antiqua" w:hAnsi="Book Antiqua"/>
          <w:sz w:val="18"/>
          <w:szCs w:val="18"/>
          <w:lang w:val="en-US"/>
        </w:rPr>
        <w:t xml:space="preserve">Amplicon sequence variants (ASVs) belonging to </w:t>
      </w:r>
      <w:r w:rsidRPr="002B74A8">
        <w:rPr>
          <w:rFonts w:ascii="Book Antiqua" w:hAnsi="Book Antiqua"/>
          <w:i/>
          <w:iCs/>
          <w:sz w:val="18"/>
          <w:szCs w:val="18"/>
          <w:lang w:val="en-US"/>
        </w:rPr>
        <w:t>Moraxella</w:t>
      </w:r>
      <w:r w:rsidRPr="00BA511F">
        <w:rPr>
          <w:rFonts w:ascii="Book Antiqua" w:hAnsi="Book Antiqua"/>
          <w:sz w:val="18"/>
          <w:szCs w:val="18"/>
          <w:lang w:val="en-US"/>
        </w:rPr>
        <w:t xml:space="preserve"> and its </w:t>
      </w:r>
      <w:proofErr w:type="spellStart"/>
      <w:r w:rsidRPr="00BA511F">
        <w:rPr>
          <w:rFonts w:ascii="Book Antiqua" w:hAnsi="Book Antiqua"/>
          <w:sz w:val="18"/>
          <w:szCs w:val="18"/>
          <w:lang w:val="en-US"/>
        </w:rPr>
        <w:t>neighbours</w:t>
      </w:r>
      <w:proofErr w:type="spellEnd"/>
      <w:r w:rsidRPr="00BA511F">
        <w:rPr>
          <w:rFonts w:ascii="Book Antiqua" w:hAnsi="Book Antiqua"/>
          <w:sz w:val="18"/>
          <w:szCs w:val="18"/>
          <w:lang w:val="en-US"/>
        </w:rPr>
        <w:t xml:space="preserve"> were selected to build </w:t>
      </w:r>
      <w:r>
        <w:rPr>
          <w:rFonts w:ascii="Book Antiqua" w:hAnsi="Book Antiqua"/>
          <w:sz w:val="18"/>
          <w:szCs w:val="18"/>
          <w:lang w:val="en-US"/>
        </w:rPr>
        <w:t xml:space="preserve">a </w:t>
      </w:r>
      <w:r w:rsidRPr="00BA511F">
        <w:rPr>
          <w:rFonts w:ascii="Book Antiqua" w:hAnsi="Book Antiqua"/>
          <w:sz w:val="18"/>
          <w:szCs w:val="18"/>
          <w:lang w:val="en-US"/>
        </w:rPr>
        <w:t>genus-level tree using the SILVA ACT (Alignment, Classification and Tree Service) tool</w:t>
      </w:r>
      <w:r>
        <w:rPr>
          <w:rFonts w:ascii="Book Antiqua" w:hAnsi="Book Antiqua"/>
          <w:sz w:val="18"/>
          <w:szCs w:val="18"/>
          <w:lang w:val="en-US"/>
        </w:rPr>
        <w:t>.</w:t>
      </w:r>
      <w:r w:rsidRPr="00BA511F">
        <w:rPr>
          <w:rFonts w:ascii="Book Antiqua" w:hAnsi="Book Antiqua"/>
          <w:sz w:val="18"/>
          <w:szCs w:val="18"/>
          <w:lang w:val="en-US"/>
        </w:rPr>
        <w:t xml:space="preserve"> Different shades of </w:t>
      </w:r>
      <w:r>
        <w:rPr>
          <w:rFonts w:ascii="Book Antiqua" w:hAnsi="Book Antiqua"/>
          <w:sz w:val="18"/>
          <w:szCs w:val="18"/>
          <w:lang w:val="en-US"/>
        </w:rPr>
        <w:t>dark blue</w:t>
      </w:r>
      <w:r w:rsidRPr="00BA511F">
        <w:rPr>
          <w:rFonts w:ascii="Book Antiqua" w:hAnsi="Book Antiqua"/>
          <w:sz w:val="18"/>
          <w:szCs w:val="18"/>
          <w:lang w:val="en-US"/>
        </w:rPr>
        <w:t xml:space="preserve"> are used to represent different species. Bold font and red branches depict the ASVs detected from our study (ASV numbers included). Taxonomy assigned to ASVs detected from our study</w:t>
      </w:r>
      <w:r w:rsidRPr="00BA511F">
        <w:t xml:space="preserve"> (</w:t>
      </w:r>
      <w:r w:rsidRPr="00BA511F">
        <w:rPr>
          <w:rFonts w:ascii="Book Antiqua" w:hAnsi="Book Antiqua"/>
          <w:sz w:val="18"/>
          <w:szCs w:val="18"/>
          <w:lang w:val="en-US"/>
        </w:rPr>
        <w:t xml:space="preserve">via RDP classifier implementation for DADA2 and SILVA version 138) </w:t>
      </w:r>
      <w:r>
        <w:rPr>
          <w:rFonts w:ascii="Book Antiqua" w:hAnsi="Book Antiqua"/>
          <w:sz w:val="18"/>
          <w:szCs w:val="18"/>
          <w:lang w:val="en-US"/>
        </w:rPr>
        <w:t>is</w:t>
      </w:r>
      <w:r w:rsidRPr="00BA511F">
        <w:rPr>
          <w:rFonts w:ascii="Book Antiqua" w:hAnsi="Book Antiqua"/>
          <w:sz w:val="18"/>
          <w:szCs w:val="18"/>
          <w:lang w:val="en-US"/>
        </w:rPr>
        <w:t xml:space="preserve"> provided in the tree.</w:t>
      </w:r>
    </w:p>
    <w:p w14:paraId="724BBC51" w14:textId="77777777" w:rsidR="00B24D16" w:rsidRDefault="00B24D16" w:rsidP="00B24D16">
      <w:pPr>
        <w:spacing w:after="0" w:line="360" w:lineRule="auto"/>
        <w:contextualSpacing/>
        <w:jc w:val="center"/>
        <w:rPr>
          <w:rFonts w:ascii="Book Antiqua" w:hAnsi="Book Antiqua"/>
          <w:color w:val="00B050"/>
        </w:rPr>
      </w:pPr>
      <w:r>
        <w:rPr>
          <w:rFonts w:ascii="Book Antiqua" w:hAnsi="Book Antiqua"/>
          <w:noProof/>
          <w:color w:val="00B050"/>
        </w:rPr>
        <w:lastRenderedPageBreak/>
        <w:drawing>
          <wp:inline distT="0" distB="0" distL="0" distR="0" wp14:anchorId="3B31E37F" wp14:editId="03F15370">
            <wp:extent cx="4824000" cy="7843400"/>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5" cstate="print">
                      <a:extLst>
                        <a:ext uri="{28A0092B-C50C-407E-A947-70E740481C1C}">
                          <a14:useLocalDpi xmlns:a14="http://schemas.microsoft.com/office/drawing/2010/main" val="0"/>
                        </a:ext>
                      </a:extLst>
                    </a:blip>
                    <a:srcRect b="369"/>
                    <a:stretch/>
                  </pic:blipFill>
                  <pic:spPr bwMode="auto">
                    <a:xfrm>
                      <a:off x="0" y="0"/>
                      <a:ext cx="4824000" cy="7843400"/>
                    </a:xfrm>
                    <a:prstGeom prst="rect">
                      <a:avLst/>
                    </a:prstGeom>
                    <a:ln>
                      <a:noFill/>
                    </a:ln>
                    <a:extLst>
                      <a:ext uri="{53640926-AAD7-44D8-BBD7-CCE9431645EC}">
                        <a14:shadowObscured xmlns:a14="http://schemas.microsoft.com/office/drawing/2010/main"/>
                      </a:ext>
                    </a:extLst>
                  </pic:spPr>
                </pic:pic>
              </a:graphicData>
            </a:graphic>
          </wp:inline>
        </w:drawing>
      </w:r>
    </w:p>
    <w:p w14:paraId="5E84601E" w14:textId="77777777" w:rsidR="00B24D16" w:rsidRPr="00BA511F" w:rsidRDefault="00B24D16" w:rsidP="00B24D16">
      <w:pPr>
        <w:spacing w:after="0" w:line="240" w:lineRule="auto"/>
        <w:jc w:val="both"/>
        <w:rPr>
          <w:rFonts w:ascii="Book Antiqua" w:hAnsi="Book Antiqua"/>
          <w:b/>
          <w:bCs/>
          <w:sz w:val="18"/>
          <w:szCs w:val="18"/>
          <w:lang w:val="en-US"/>
        </w:rPr>
      </w:pPr>
      <w:r w:rsidRPr="00BA511F">
        <w:rPr>
          <w:rFonts w:ascii="Book Antiqua" w:hAnsi="Book Antiqua"/>
          <w:b/>
          <w:bCs/>
          <w:sz w:val="18"/>
          <w:szCs w:val="18"/>
          <w:lang w:val="en-US"/>
        </w:rPr>
        <w:t>Figure S</w:t>
      </w:r>
      <w:r>
        <w:rPr>
          <w:rFonts w:ascii="Book Antiqua" w:hAnsi="Book Antiqua"/>
          <w:b/>
          <w:bCs/>
          <w:sz w:val="18"/>
          <w:szCs w:val="18"/>
          <w:lang w:val="en-US"/>
        </w:rPr>
        <w:t xml:space="preserve">8 </w:t>
      </w:r>
      <w:r w:rsidRPr="00BA511F">
        <w:rPr>
          <w:rFonts w:ascii="Book Antiqua" w:hAnsi="Book Antiqua"/>
          <w:b/>
          <w:bCs/>
          <w:sz w:val="18"/>
          <w:szCs w:val="18"/>
          <w:lang w:val="en-US"/>
        </w:rPr>
        <w:t>Phylogenetic tree</w:t>
      </w:r>
      <w:r>
        <w:rPr>
          <w:rFonts w:ascii="Book Antiqua" w:hAnsi="Book Antiqua"/>
          <w:b/>
          <w:bCs/>
          <w:sz w:val="18"/>
          <w:szCs w:val="18"/>
          <w:lang w:val="en-US"/>
        </w:rPr>
        <w:t xml:space="preserve"> for </w:t>
      </w:r>
      <w:proofErr w:type="spellStart"/>
      <w:r>
        <w:rPr>
          <w:rFonts w:ascii="Book Antiqua" w:hAnsi="Book Antiqua"/>
          <w:b/>
          <w:bCs/>
          <w:i/>
          <w:iCs/>
          <w:sz w:val="18"/>
          <w:szCs w:val="18"/>
          <w:lang w:val="en-US"/>
        </w:rPr>
        <w:t>Haemophilus</w:t>
      </w:r>
      <w:proofErr w:type="spellEnd"/>
    </w:p>
    <w:p w14:paraId="17683FEF" w14:textId="77777777" w:rsidR="00B24D16" w:rsidRDefault="00B24D16" w:rsidP="00B24D16">
      <w:pPr>
        <w:jc w:val="both"/>
      </w:pPr>
      <w:r w:rsidRPr="00BA511F">
        <w:rPr>
          <w:rFonts w:ascii="Book Antiqua" w:hAnsi="Book Antiqua"/>
          <w:sz w:val="18"/>
          <w:szCs w:val="18"/>
          <w:lang w:val="en-US"/>
        </w:rPr>
        <w:t xml:space="preserve">Amplicon sequence variants (ASVs) belonging to </w:t>
      </w:r>
      <w:proofErr w:type="spellStart"/>
      <w:proofErr w:type="gramStart"/>
      <w:r>
        <w:rPr>
          <w:rFonts w:ascii="Book Antiqua" w:hAnsi="Book Antiqua"/>
          <w:i/>
          <w:iCs/>
          <w:sz w:val="18"/>
          <w:szCs w:val="18"/>
          <w:lang w:val="en-US"/>
        </w:rPr>
        <w:t>Haemophilus</w:t>
      </w:r>
      <w:proofErr w:type="spellEnd"/>
      <w:proofErr w:type="gramEnd"/>
      <w:r w:rsidRPr="00BA511F">
        <w:rPr>
          <w:rFonts w:ascii="Book Antiqua" w:hAnsi="Book Antiqua"/>
          <w:sz w:val="18"/>
          <w:szCs w:val="18"/>
          <w:lang w:val="en-US"/>
        </w:rPr>
        <w:t xml:space="preserve"> and its </w:t>
      </w:r>
      <w:proofErr w:type="spellStart"/>
      <w:r w:rsidRPr="00BA511F">
        <w:rPr>
          <w:rFonts w:ascii="Book Antiqua" w:hAnsi="Book Antiqua"/>
          <w:sz w:val="18"/>
          <w:szCs w:val="18"/>
          <w:lang w:val="en-US"/>
        </w:rPr>
        <w:t>neighbours</w:t>
      </w:r>
      <w:proofErr w:type="spellEnd"/>
      <w:r w:rsidRPr="00BA511F">
        <w:rPr>
          <w:rFonts w:ascii="Book Antiqua" w:hAnsi="Book Antiqua"/>
          <w:sz w:val="18"/>
          <w:szCs w:val="18"/>
          <w:lang w:val="en-US"/>
        </w:rPr>
        <w:t xml:space="preserve"> were selected to build </w:t>
      </w:r>
      <w:r>
        <w:rPr>
          <w:rFonts w:ascii="Book Antiqua" w:hAnsi="Book Antiqua"/>
          <w:sz w:val="18"/>
          <w:szCs w:val="18"/>
          <w:lang w:val="en-US"/>
        </w:rPr>
        <w:t xml:space="preserve">a </w:t>
      </w:r>
      <w:r w:rsidRPr="00BA511F">
        <w:rPr>
          <w:rFonts w:ascii="Book Antiqua" w:hAnsi="Book Antiqua"/>
          <w:sz w:val="18"/>
          <w:szCs w:val="18"/>
          <w:lang w:val="en-US"/>
        </w:rPr>
        <w:t>genus-level tree using the SILVA ACT (Alignment, Classification and Tree Service) tool</w:t>
      </w:r>
      <w:r>
        <w:rPr>
          <w:rFonts w:ascii="Book Antiqua" w:hAnsi="Book Antiqua"/>
          <w:sz w:val="18"/>
          <w:szCs w:val="18"/>
          <w:lang w:val="en-US"/>
        </w:rPr>
        <w:t>.</w:t>
      </w:r>
      <w:r w:rsidRPr="00BA511F">
        <w:rPr>
          <w:rFonts w:ascii="Book Antiqua" w:hAnsi="Book Antiqua"/>
          <w:sz w:val="18"/>
          <w:szCs w:val="18"/>
          <w:lang w:val="en-US"/>
        </w:rPr>
        <w:t xml:space="preserve"> Different shades of </w:t>
      </w:r>
      <w:r>
        <w:rPr>
          <w:rFonts w:ascii="Book Antiqua" w:hAnsi="Book Antiqua"/>
          <w:sz w:val="18"/>
          <w:szCs w:val="18"/>
          <w:lang w:val="en-US"/>
        </w:rPr>
        <w:t>light blue</w:t>
      </w:r>
      <w:r w:rsidRPr="00BA511F">
        <w:rPr>
          <w:rFonts w:ascii="Book Antiqua" w:hAnsi="Book Antiqua"/>
          <w:sz w:val="18"/>
          <w:szCs w:val="18"/>
          <w:lang w:val="en-US"/>
        </w:rPr>
        <w:t xml:space="preserve"> are used to represent different species. Bold font and red branches depict the ASVs detected from our study (ASV numbers included). Taxonomy assigned to ASVs detected from our study</w:t>
      </w:r>
      <w:r w:rsidRPr="00BA511F">
        <w:t xml:space="preserve"> (</w:t>
      </w:r>
      <w:r w:rsidRPr="00BA511F">
        <w:rPr>
          <w:rFonts w:ascii="Book Antiqua" w:hAnsi="Book Antiqua"/>
          <w:sz w:val="18"/>
          <w:szCs w:val="18"/>
          <w:lang w:val="en-US"/>
        </w:rPr>
        <w:t xml:space="preserve">via RDP classifier implementation for DADA2 and SILVA version 138) </w:t>
      </w:r>
      <w:r>
        <w:rPr>
          <w:rFonts w:ascii="Book Antiqua" w:hAnsi="Book Antiqua"/>
          <w:sz w:val="18"/>
          <w:szCs w:val="18"/>
          <w:lang w:val="en-US"/>
        </w:rPr>
        <w:t>is</w:t>
      </w:r>
      <w:r w:rsidRPr="00BA511F">
        <w:rPr>
          <w:rFonts w:ascii="Book Antiqua" w:hAnsi="Book Antiqua"/>
          <w:sz w:val="18"/>
          <w:szCs w:val="18"/>
          <w:lang w:val="en-US"/>
        </w:rPr>
        <w:t xml:space="preserve"> provided in the tree.</w:t>
      </w:r>
    </w:p>
    <w:p w14:paraId="15696FEB" w14:textId="77777777" w:rsidR="00B24D16" w:rsidRDefault="00B24D16" w:rsidP="00B24D16">
      <w:pPr>
        <w:spacing w:after="0" w:line="360" w:lineRule="auto"/>
        <w:contextualSpacing/>
        <w:jc w:val="center"/>
        <w:rPr>
          <w:rFonts w:ascii="Book Antiqua" w:hAnsi="Book Antiqua"/>
          <w:color w:val="00B050"/>
        </w:rPr>
      </w:pPr>
      <w:r>
        <w:rPr>
          <w:rFonts w:ascii="Book Antiqua" w:hAnsi="Book Antiqua"/>
          <w:noProof/>
          <w:color w:val="00B050"/>
        </w:rPr>
        <w:lastRenderedPageBreak/>
        <w:drawing>
          <wp:inline distT="0" distB="0" distL="0" distR="0" wp14:anchorId="5C1A9872" wp14:editId="0357466D">
            <wp:extent cx="5400000" cy="772081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0" cy="7720818"/>
                    </a:xfrm>
                    <a:prstGeom prst="rect">
                      <a:avLst/>
                    </a:prstGeom>
                  </pic:spPr>
                </pic:pic>
              </a:graphicData>
            </a:graphic>
          </wp:inline>
        </w:drawing>
      </w:r>
    </w:p>
    <w:p w14:paraId="08F757C7" w14:textId="77777777" w:rsidR="00B24D16" w:rsidRPr="00BA511F" w:rsidRDefault="00B24D16" w:rsidP="00B24D16">
      <w:pPr>
        <w:spacing w:after="0" w:line="240" w:lineRule="auto"/>
        <w:jc w:val="both"/>
        <w:rPr>
          <w:rFonts w:ascii="Book Antiqua" w:hAnsi="Book Antiqua"/>
          <w:b/>
          <w:bCs/>
          <w:sz w:val="18"/>
          <w:szCs w:val="18"/>
          <w:lang w:val="en-US"/>
        </w:rPr>
      </w:pPr>
      <w:r w:rsidRPr="00BA511F">
        <w:rPr>
          <w:rFonts w:ascii="Book Antiqua" w:hAnsi="Book Antiqua"/>
          <w:b/>
          <w:bCs/>
          <w:sz w:val="18"/>
          <w:szCs w:val="18"/>
          <w:lang w:val="en-US"/>
        </w:rPr>
        <w:t>Figure S</w:t>
      </w:r>
      <w:r>
        <w:rPr>
          <w:rFonts w:ascii="Book Antiqua" w:hAnsi="Book Antiqua"/>
          <w:b/>
          <w:bCs/>
          <w:sz w:val="18"/>
          <w:szCs w:val="18"/>
          <w:lang w:val="en-US"/>
        </w:rPr>
        <w:t xml:space="preserve">9 </w:t>
      </w:r>
      <w:r w:rsidRPr="00BA511F">
        <w:rPr>
          <w:rFonts w:ascii="Book Antiqua" w:hAnsi="Book Antiqua"/>
          <w:b/>
          <w:bCs/>
          <w:sz w:val="18"/>
          <w:szCs w:val="18"/>
          <w:lang w:val="en-US"/>
        </w:rPr>
        <w:t>Phylogenetic tree</w:t>
      </w:r>
      <w:r>
        <w:rPr>
          <w:rFonts w:ascii="Book Antiqua" w:hAnsi="Book Antiqua"/>
          <w:b/>
          <w:bCs/>
          <w:sz w:val="18"/>
          <w:szCs w:val="18"/>
          <w:lang w:val="en-US"/>
        </w:rPr>
        <w:t xml:space="preserve"> for </w:t>
      </w:r>
      <w:r>
        <w:rPr>
          <w:rFonts w:ascii="Book Antiqua" w:hAnsi="Book Antiqua"/>
          <w:b/>
          <w:bCs/>
          <w:i/>
          <w:iCs/>
          <w:sz w:val="18"/>
          <w:szCs w:val="18"/>
          <w:lang w:val="en-US"/>
        </w:rPr>
        <w:t>Corynebacterium</w:t>
      </w:r>
    </w:p>
    <w:p w14:paraId="13EF12C3" w14:textId="77777777" w:rsidR="00B24D16" w:rsidRDefault="00B24D16" w:rsidP="00B24D16">
      <w:pPr>
        <w:jc w:val="both"/>
      </w:pPr>
      <w:r w:rsidRPr="00BA511F">
        <w:rPr>
          <w:rFonts w:ascii="Book Antiqua" w:hAnsi="Book Antiqua"/>
          <w:sz w:val="18"/>
          <w:szCs w:val="18"/>
          <w:lang w:val="en-US"/>
        </w:rPr>
        <w:t xml:space="preserve">Amplicon sequence variants (ASVs) belonging to </w:t>
      </w:r>
      <w:r>
        <w:rPr>
          <w:rFonts w:ascii="Book Antiqua" w:hAnsi="Book Antiqua"/>
          <w:i/>
          <w:iCs/>
          <w:sz w:val="18"/>
          <w:szCs w:val="18"/>
          <w:lang w:val="en-US"/>
        </w:rPr>
        <w:t>Corynebacterium</w:t>
      </w:r>
      <w:r w:rsidRPr="00BA511F">
        <w:rPr>
          <w:rFonts w:ascii="Book Antiqua" w:hAnsi="Book Antiqua"/>
          <w:sz w:val="18"/>
          <w:szCs w:val="18"/>
          <w:lang w:val="en-US"/>
        </w:rPr>
        <w:t xml:space="preserve"> and its </w:t>
      </w:r>
      <w:proofErr w:type="spellStart"/>
      <w:r w:rsidRPr="00BA511F">
        <w:rPr>
          <w:rFonts w:ascii="Book Antiqua" w:hAnsi="Book Antiqua"/>
          <w:sz w:val="18"/>
          <w:szCs w:val="18"/>
          <w:lang w:val="en-US"/>
        </w:rPr>
        <w:t>neighbours</w:t>
      </w:r>
      <w:proofErr w:type="spellEnd"/>
      <w:r w:rsidRPr="00BA511F">
        <w:rPr>
          <w:rFonts w:ascii="Book Antiqua" w:hAnsi="Book Antiqua"/>
          <w:sz w:val="18"/>
          <w:szCs w:val="18"/>
          <w:lang w:val="en-US"/>
        </w:rPr>
        <w:t xml:space="preserve"> were selected to build </w:t>
      </w:r>
      <w:r>
        <w:rPr>
          <w:rFonts w:ascii="Book Antiqua" w:hAnsi="Book Antiqua"/>
          <w:sz w:val="18"/>
          <w:szCs w:val="18"/>
          <w:lang w:val="en-US"/>
        </w:rPr>
        <w:t xml:space="preserve">a </w:t>
      </w:r>
      <w:r w:rsidRPr="00BA511F">
        <w:rPr>
          <w:rFonts w:ascii="Book Antiqua" w:hAnsi="Book Antiqua"/>
          <w:sz w:val="18"/>
          <w:szCs w:val="18"/>
          <w:lang w:val="en-US"/>
        </w:rPr>
        <w:t>genus-level tree using the SILVA ACT (Alignment, Classification and Tree Service) tool</w:t>
      </w:r>
      <w:r>
        <w:rPr>
          <w:rFonts w:ascii="Book Antiqua" w:hAnsi="Book Antiqua"/>
          <w:sz w:val="18"/>
          <w:szCs w:val="18"/>
          <w:lang w:val="en-US"/>
        </w:rPr>
        <w:t>.</w:t>
      </w:r>
      <w:r w:rsidRPr="00BA511F">
        <w:rPr>
          <w:rFonts w:ascii="Book Antiqua" w:hAnsi="Book Antiqua"/>
          <w:sz w:val="18"/>
          <w:szCs w:val="18"/>
          <w:lang w:val="en-US"/>
        </w:rPr>
        <w:t xml:space="preserve"> Different shades of </w:t>
      </w:r>
      <w:r>
        <w:rPr>
          <w:rFonts w:ascii="Book Antiqua" w:hAnsi="Book Antiqua"/>
          <w:sz w:val="18"/>
          <w:szCs w:val="18"/>
          <w:lang w:val="en-US"/>
        </w:rPr>
        <w:t>yellow</w:t>
      </w:r>
      <w:r w:rsidRPr="00BA511F">
        <w:rPr>
          <w:rFonts w:ascii="Book Antiqua" w:hAnsi="Book Antiqua"/>
          <w:sz w:val="18"/>
          <w:szCs w:val="18"/>
          <w:lang w:val="en-US"/>
        </w:rPr>
        <w:t xml:space="preserve"> are used to represent different species. Bold font and red branches depict the ASVs detected from our study (ASV numbers included). Taxonomy assigned to ASVs detected from our study</w:t>
      </w:r>
      <w:r w:rsidRPr="00BA511F">
        <w:t xml:space="preserve"> (</w:t>
      </w:r>
      <w:r w:rsidRPr="00BA511F">
        <w:rPr>
          <w:rFonts w:ascii="Book Antiqua" w:hAnsi="Book Antiqua"/>
          <w:sz w:val="18"/>
          <w:szCs w:val="18"/>
          <w:lang w:val="en-US"/>
        </w:rPr>
        <w:t xml:space="preserve">via RDP classifier implementation for DADA2 and SILVA version 138) </w:t>
      </w:r>
      <w:r>
        <w:rPr>
          <w:rFonts w:ascii="Book Antiqua" w:hAnsi="Book Antiqua"/>
          <w:sz w:val="18"/>
          <w:szCs w:val="18"/>
          <w:lang w:val="en-US"/>
        </w:rPr>
        <w:t>is</w:t>
      </w:r>
      <w:r w:rsidRPr="00BA511F">
        <w:rPr>
          <w:rFonts w:ascii="Book Antiqua" w:hAnsi="Book Antiqua"/>
          <w:sz w:val="18"/>
          <w:szCs w:val="18"/>
          <w:lang w:val="en-US"/>
        </w:rPr>
        <w:t xml:space="preserve"> provided in the tree.</w:t>
      </w:r>
    </w:p>
    <w:p w14:paraId="55AF6F6C" w14:textId="77777777" w:rsidR="00B24D16" w:rsidRDefault="00B24D16" w:rsidP="00B24D16">
      <w:pPr>
        <w:spacing w:after="0" w:line="360" w:lineRule="auto"/>
        <w:contextualSpacing/>
        <w:jc w:val="both"/>
        <w:rPr>
          <w:rFonts w:ascii="Book Antiqua" w:hAnsi="Book Antiqua"/>
          <w:color w:val="00B050"/>
        </w:rPr>
      </w:pPr>
      <w:r>
        <w:rPr>
          <w:rFonts w:ascii="Book Antiqua" w:hAnsi="Book Antiqua"/>
          <w:noProof/>
          <w:color w:val="00B050"/>
        </w:rPr>
        <w:lastRenderedPageBreak/>
        <w:drawing>
          <wp:inline distT="0" distB="0" distL="0" distR="0" wp14:anchorId="4635847C" wp14:editId="0E286E6E">
            <wp:extent cx="5580000" cy="7770482"/>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80000" cy="7770482"/>
                    </a:xfrm>
                    <a:prstGeom prst="rect">
                      <a:avLst/>
                    </a:prstGeom>
                  </pic:spPr>
                </pic:pic>
              </a:graphicData>
            </a:graphic>
          </wp:inline>
        </w:drawing>
      </w:r>
    </w:p>
    <w:p w14:paraId="46525EFF" w14:textId="77777777" w:rsidR="00B24D16" w:rsidRPr="00BA511F" w:rsidRDefault="00B24D16" w:rsidP="00B24D16">
      <w:pPr>
        <w:spacing w:after="0" w:line="240" w:lineRule="auto"/>
        <w:jc w:val="both"/>
        <w:rPr>
          <w:rFonts w:ascii="Book Antiqua" w:hAnsi="Book Antiqua"/>
          <w:b/>
          <w:bCs/>
          <w:sz w:val="18"/>
          <w:szCs w:val="18"/>
          <w:lang w:val="en-US"/>
        </w:rPr>
      </w:pPr>
      <w:r w:rsidRPr="00BA511F">
        <w:rPr>
          <w:rFonts w:ascii="Book Antiqua" w:hAnsi="Book Antiqua"/>
          <w:b/>
          <w:bCs/>
          <w:sz w:val="18"/>
          <w:szCs w:val="18"/>
          <w:lang w:val="en-US"/>
        </w:rPr>
        <w:t>Figure S</w:t>
      </w:r>
      <w:r>
        <w:rPr>
          <w:rFonts w:ascii="Book Antiqua" w:hAnsi="Book Antiqua"/>
          <w:b/>
          <w:bCs/>
          <w:sz w:val="18"/>
          <w:szCs w:val="18"/>
          <w:lang w:val="en-US"/>
        </w:rPr>
        <w:t xml:space="preserve">10 </w:t>
      </w:r>
      <w:r w:rsidRPr="00BA511F">
        <w:rPr>
          <w:rFonts w:ascii="Book Antiqua" w:hAnsi="Book Antiqua"/>
          <w:b/>
          <w:bCs/>
          <w:sz w:val="18"/>
          <w:szCs w:val="18"/>
          <w:lang w:val="en-US"/>
        </w:rPr>
        <w:t>Phylogenetic tree</w:t>
      </w:r>
      <w:r>
        <w:rPr>
          <w:rFonts w:ascii="Book Antiqua" w:hAnsi="Book Antiqua"/>
          <w:b/>
          <w:bCs/>
          <w:sz w:val="18"/>
          <w:szCs w:val="18"/>
          <w:lang w:val="en-US"/>
        </w:rPr>
        <w:t xml:space="preserve"> for </w:t>
      </w:r>
      <w:r>
        <w:rPr>
          <w:rFonts w:ascii="Book Antiqua" w:hAnsi="Book Antiqua"/>
          <w:b/>
          <w:bCs/>
          <w:i/>
          <w:iCs/>
          <w:sz w:val="18"/>
          <w:szCs w:val="18"/>
          <w:lang w:val="en-US"/>
        </w:rPr>
        <w:t>Staphylococcus</w:t>
      </w:r>
    </w:p>
    <w:p w14:paraId="61133187" w14:textId="77777777" w:rsidR="00B24D16" w:rsidRDefault="00B24D16" w:rsidP="00B24D16">
      <w:pPr>
        <w:jc w:val="both"/>
      </w:pPr>
      <w:r w:rsidRPr="00BA511F">
        <w:rPr>
          <w:rFonts w:ascii="Book Antiqua" w:hAnsi="Book Antiqua"/>
          <w:sz w:val="18"/>
          <w:szCs w:val="18"/>
          <w:lang w:val="en-US"/>
        </w:rPr>
        <w:t xml:space="preserve">Amplicon sequence variants (ASVs) belonging to </w:t>
      </w:r>
      <w:r>
        <w:rPr>
          <w:rFonts w:ascii="Book Antiqua" w:hAnsi="Book Antiqua"/>
          <w:i/>
          <w:iCs/>
          <w:sz w:val="18"/>
          <w:szCs w:val="18"/>
          <w:lang w:val="en-US"/>
        </w:rPr>
        <w:t>Staphylococcus</w:t>
      </w:r>
      <w:r w:rsidRPr="00BA511F">
        <w:rPr>
          <w:rFonts w:ascii="Book Antiqua" w:hAnsi="Book Antiqua"/>
          <w:sz w:val="18"/>
          <w:szCs w:val="18"/>
          <w:lang w:val="en-US"/>
        </w:rPr>
        <w:t xml:space="preserve"> and its </w:t>
      </w:r>
      <w:proofErr w:type="spellStart"/>
      <w:r w:rsidRPr="00BA511F">
        <w:rPr>
          <w:rFonts w:ascii="Book Antiqua" w:hAnsi="Book Antiqua"/>
          <w:sz w:val="18"/>
          <w:szCs w:val="18"/>
          <w:lang w:val="en-US"/>
        </w:rPr>
        <w:t>neighbours</w:t>
      </w:r>
      <w:proofErr w:type="spellEnd"/>
      <w:r w:rsidRPr="00BA511F">
        <w:rPr>
          <w:rFonts w:ascii="Book Antiqua" w:hAnsi="Book Antiqua"/>
          <w:sz w:val="18"/>
          <w:szCs w:val="18"/>
          <w:lang w:val="en-US"/>
        </w:rPr>
        <w:t xml:space="preserve"> were selected to build </w:t>
      </w:r>
      <w:r>
        <w:rPr>
          <w:rFonts w:ascii="Book Antiqua" w:hAnsi="Book Antiqua"/>
          <w:sz w:val="18"/>
          <w:szCs w:val="18"/>
          <w:lang w:val="en-US"/>
        </w:rPr>
        <w:t xml:space="preserve">a </w:t>
      </w:r>
      <w:r w:rsidRPr="00BA511F">
        <w:rPr>
          <w:rFonts w:ascii="Book Antiqua" w:hAnsi="Book Antiqua"/>
          <w:sz w:val="18"/>
          <w:szCs w:val="18"/>
          <w:lang w:val="en-US"/>
        </w:rPr>
        <w:t>genus-level tree using the SILVA ACT (Alignment, Classification and Tree Service) tool</w:t>
      </w:r>
      <w:r>
        <w:rPr>
          <w:rFonts w:ascii="Book Antiqua" w:hAnsi="Book Antiqua"/>
          <w:sz w:val="18"/>
          <w:szCs w:val="18"/>
          <w:lang w:val="en-US"/>
        </w:rPr>
        <w:t>.</w:t>
      </w:r>
      <w:r w:rsidRPr="00BA511F">
        <w:rPr>
          <w:rFonts w:ascii="Book Antiqua" w:hAnsi="Book Antiqua"/>
          <w:sz w:val="18"/>
          <w:szCs w:val="18"/>
          <w:lang w:val="en-US"/>
        </w:rPr>
        <w:t xml:space="preserve"> Different shades of </w:t>
      </w:r>
      <w:r>
        <w:rPr>
          <w:rFonts w:ascii="Book Antiqua" w:hAnsi="Book Antiqua"/>
          <w:sz w:val="18"/>
          <w:szCs w:val="18"/>
          <w:lang w:val="en-US"/>
        </w:rPr>
        <w:t>orange</w:t>
      </w:r>
      <w:r w:rsidRPr="00BA511F">
        <w:rPr>
          <w:rFonts w:ascii="Book Antiqua" w:hAnsi="Book Antiqua"/>
          <w:sz w:val="18"/>
          <w:szCs w:val="18"/>
          <w:lang w:val="en-US"/>
        </w:rPr>
        <w:t xml:space="preserve"> are used to represent different species. Bold font and red branches depict the ASVs detected from our study (ASV numbers included). Taxonomy assigned to ASVs detected from our study</w:t>
      </w:r>
      <w:r w:rsidRPr="00BA511F">
        <w:t xml:space="preserve"> (</w:t>
      </w:r>
      <w:r w:rsidRPr="00BA511F">
        <w:rPr>
          <w:rFonts w:ascii="Book Antiqua" w:hAnsi="Book Antiqua"/>
          <w:sz w:val="18"/>
          <w:szCs w:val="18"/>
          <w:lang w:val="en-US"/>
        </w:rPr>
        <w:t xml:space="preserve">via RDP classifier implementation for DADA2 and SILVA version 138) </w:t>
      </w:r>
      <w:r>
        <w:rPr>
          <w:rFonts w:ascii="Book Antiqua" w:hAnsi="Book Antiqua"/>
          <w:sz w:val="18"/>
          <w:szCs w:val="18"/>
          <w:lang w:val="en-US"/>
        </w:rPr>
        <w:t>is</w:t>
      </w:r>
      <w:r w:rsidRPr="00BA511F">
        <w:rPr>
          <w:rFonts w:ascii="Book Antiqua" w:hAnsi="Book Antiqua"/>
          <w:sz w:val="18"/>
          <w:szCs w:val="18"/>
          <w:lang w:val="en-US"/>
        </w:rPr>
        <w:t xml:space="preserve"> provided in the tree.</w:t>
      </w:r>
    </w:p>
    <w:p w14:paraId="38600087" w14:textId="77777777" w:rsidR="00B24D16" w:rsidRDefault="00B24D16" w:rsidP="00B24D16">
      <w:pPr>
        <w:spacing w:after="0" w:line="240" w:lineRule="auto"/>
        <w:jc w:val="center"/>
        <w:rPr>
          <w:rFonts w:ascii="Book Antiqua" w:hAnsi="Book Antiqua"/>
          <w:b/>
          <w:bCs/>
          <w:sz w:val="18"/>
          <w:szCs w:val="18"/>
          <w:lang w:val="en-US"/>
        </w:rPr>
      </w:pPr>
      <w:r>
        <w:rPr>
          <w:rFonts w:ascii="Book Antiqua" w:hAnsi="Book Antiqua"/>
          <w:b/>
          <w:bCs/>
          <w:noProof/>
          <w:sz w:val="18"/>
          <w:szCs w:val="18"/>
          <w:lang w:val="en-US"/>
        </w:rPr>
        <w:lastRenderedPageBreak/>
        <w:drawing>
          <wp:inline distT="0" distB="0" distL="0" distR="0" wp14:anchorId="40211C39" wp14:editId="51447B44">
            <wp:extent cx="5040000" cy="78906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8" cstate="print">
                      <a:extLst>
                        <a:ext uri="{28A0092B-C50C-407E-A947-70E740481C1C}">
                          <a14:useLocalDpi xmlns:a14="http://schemas.microsoft.com/office/drawing/2010/main" val="0"/>
                        </a:ext>
                      </a:extLst>
                    </a:blip>
                    <a:srcRect b="569"/>
                    <a:stretch/>
                  </pic:blipFill>
                  <pic:spPr bwMode="auto">
                    <a:xfrm>
                      <a:off x="0" y="0"/>
                      <a:ext cx="5040000" cy="7890625"/>
                    </a:xfrm>
                    <a:prstGeom prst="rect">
                      <a:avLst/>
                    </a:prstGeom>
                    <a:ln>
                      <a:noFill/>
                    </a:ln>
                    <a:extLst>
                      <a:ext uri="{53640926-AAD7-44D8-BBD7-CCE9431645EC}">
                        <a14:shadowObscured xmlns:a14="http://schemas.microsoft.com/office/drawing/2010/main"/>
                      </a:ext>
                    </a:extLst>
                  </pic:spPr>
                </pic:pic>
              </a:graphicData>
            </a:graphic>
          </wp:inline>
        </w:drawing>
      </w:r>
    </w:p>
    <w:p w14:paraId="560117E1" w14:textId="77777777" w:rsidR="00B24D16" w:rsidRPr="00BA511F" w:rsidRDefault="00B24D16" w:rsidP="00B24D16">
      <w:pPr>
        <w:spacing w:after="0" w:line="240" w:lineRule="auto"/>
        <w:jc w:val="both"/>
        <w:rPr>
          <w:rFonts w:ascii="Book Antiqua" w:hAnsi="Book Antiqua"/>
          <w:b/>
          <w:bCs/>
          <w:sz w:val="18"/>
          <w:szCs w:val="18"/>
          <w:lang w:val="en-US"/>
        </w:rPr>
      </w:pPr>
      <w:r w:rsidRPr="00BA511F">
        <w:rPr>
          <w:rFonts w:ascii="Book Antiqua" w:hAnsi="Book Antiqua"/>
          <w:b/>
          <w:bCs/>
          <w:sz w:val="18"/>
          <w:szCs w:val="18"/>
          <w:lang w:val="en-US"/>
        </w:rPr>
        <w:t>Figure S</w:t>
      </w:r>
      <w:r>
        <w:rPr>
          <w:rFonts w:ascii="Book Antiqua" w:hAnsi="Book Antiqua"/>
          <w:b/>
          <w:bCs/>
          <w:sz w:val="18"/>
          <w:szCs w:val="18"/>
          <w:lang w:val="en-US"/>
        </w:rPr>
        <w:t xml:space="preserve">11 </w:t>
      </w:r>
      <w:r w:rsidRPr="00BA511F">
        <w:rPr>
          <w:rFonts w:ascii="Book Antiqua" w:hAnsi="Book Antiqua"/>
          <w:b/>
          <w:bCs/>
          <w:sz w:val="18"/>
          <w:szCs w:val="18"/>
          <w:lang w:val="en-US"/>
        </w:rPr>
        <w:t>Phylogenetic tree</w:t>
      </w:r>
      <w:r>
        <w:rPr>
          <w:rFonts w:ascii="Book Antiqua" w:hAnsi="Book Antiqua"/>
          <w:b/>
          <w:bCs/>
          <w:sz w:val="18"/>
          <w:szCs w:val="18"/>
          <w:lang w:val="en-US"/>
        </w:rPr>
        <w:t xml:space="preserve"> for </w:t>
      </w:r>
      <w:r>
        <w:rPr>
          <w:rFonts w:ascii="Book Antiqua" w:hAnsi="Book Antiqua"/>
          <w:b/>
          <w:bCs/>
          <w:i/>
          <w:iCs/>
          <w:sz w:val="18"/>
          <w:szCs w:val="18"/>
          <w:lang w:val="en-US"/>
        </w:rPr>
        <w:t>Streptococcus</w:t>
      </w:r>
    </w:p>
    <w:p w14:paraId="02FDEE9B" w14:textId="77777777" w:rsidR="00B24D16" w:rsidRDefault="00B24D16" w:rsidP="00B24D16">
      <w:pPr>
        <w:jc w:val="both"/>
      </w:pPr>
      <w:r w:rsidRPr="00BA511F">
        <w:rPr>
          <w:rFonts w:ascii="Book Antiqua" w:hAnsi="Book Antiqua"/>
          <w:sz w:val="18"/>
          <w:szCs w:val="18"/>
          <w:lang w:val="en-US"/>
        </w:rPr>
        <w:t xml:space="preserve">Amplicon sequence variants (ASVs) belonging to </w:t>
      </w:r>
      <w:r>
        <w:rPr>
          <w:rFonts w:ascii="Book Antiqua" w:hAnsi="Book Antiqua"/>
          <w:i/>
          <w:iCs/>
          <w:sz w:val="18"/>
          <w:szCs w:val="18"/>
          <w:lang w:val="en-US"/>
        </w:rPr>
        <w:t>Streptococcus</w:t>
      </w:r>
      <w:r w:rsidRPr="00BA511F">
        <w:rPr>
          <w:rFonts w:ascii="Book Antiqua" w:hAnsi="Book Antiqua"/>
          <w:sz w:val="18"/>
          <w:szCs w:val="18"/>
          <w:lang w:val="en-US"/>
        </w:rPr>
        <w:t xml:space="preserve"> and its </w:t>
      </w:r>
      <w:proofErr w:type="spellStart"/>
      <w:r w:rsidRPr="00BA511F">
        <w:rPr>
          <w:rFonts w:ascii="Book Antiqua" w:hAnsi="Book Antiqua"/>
          <w:sz w:val="18"/>
          <w:szCs w:val="18"/>
          <w:lang w:val="en-US"/>
        </w:rPr>
        <w:t>neighbours</w:t>
      </w:r>
      <w:proofErr w:type="spellEnd"/>
      <w:r w:rsidRPr="00BA511F">
        <w:rPr>
          <w:rFonts w:ascii="Book Antiqua" w:hAnsi="Book Antiqua"/>
          <w:sz w:val="18"/>
          <w:szCs w:val="18"/>
          <w:lang w:val="en-US"/>
        </w:rPr>
        <w:t xml:space="preserve"> were selected to build </w:t>
      </w:r>
      <w:r>
        <w:rPr>
          <w:rFonts w:ascii="Book Antiqua" w:hAnsi="Book Antiqua"/>
          <w:sz w:val="18"/>
          <w:szCs w:val="18"/>
          <w:lang w:val="en-US"/>
        </w:rPr>
        <w:t xml:space="preserve">a </w:t>
      </w:r>
      <w:r w:rsidRPr="00BA511F">
        <w:rPr>
          <w:rFonts w:ascii="Book Antiqua" w:hAnsi="Book Antiqua"/>
          <w:sz w:val="18"/>
          <w:szCs w:val="18"/>
          <w:lang w:val="en-US"/>
        </w:rPr>
        <w:t>genus-level tree using the SILVA ACT (Alignment, Classification and Tree Service) tool</w:t>
      </w:r>
      <w:r>
        <w:rPr>
          <w:rFonts w:ascii="Book Antiqua" w:hAnsi="Book Antiqua"/>
          <w:sz w:val="18"/>
          <w:szCs w:val="18"/>
          <w:lang w:val="en-US"/>
        </w:rPr>
        <w:t>.</w:t>
      </w:r>
      <w:r w:rsidRPr="00BA511F">
        <w:rPr>
          <w:rFonts w:ascii="Book Antiqua" w:hAnsi="Book Antiqua"/>
          <w:sz w:val="18"/>
          <w:szCs w:val="18"/>
          <w:lang w:val="en-US"/>
        </w:rPr>
        <w:t xml:space="preserve"> Different shades of </w:t>
      </w:r>
      <w:r>
        <w:rPr>
          <w:rFonts w:ascii="Book Antiqua" w:hAnsi="Book Antiqua"/>
          <w:sz w:val="18"/>
          <w:szCs w:val="18"/>
          <w:lang w:val="en-US"/>
        </w:rPr>
        <w:t>maroon</w:t>
      </w:r>
      <w:r w:rsidRPr="00BA511F">
        <w:rPr>
          <w:rFonts w:ascii="Book Antiqua" w:hAnsi="Book Antiqua"/>
          <w:sz w:val="18"/>
          <w:szCs w:val="18"/>
          <w:lang w:val="en-US"/>
        </w:rPr>
        <w:t xml:space="preserve"> are used to represent different species. Bold font and red branches depict the ASVs detected from our study (ASV numbers included). Taxonomy assigned to ASVs detected from our study</w:t>
      </w:r>
      <w:r w:rsidRPr="00BA511F">
        <w:t xml:space="preserve"> (</w:t>
      </w:r>
      <w:r w:rsidRPr="00BA511F">
        <w:rPr>
          <w:rFonts w:ascii="Book Antiqua" w:hAnsi="Book Antiqua"/>
          <w:sz w:val="18"/>
          <w:szCs w:val="18"/>
          <w:lang w:val="en-US"/>
        </w:rPr>
        <w:t xml:space="preserve">via RDP classifier implementation for DADA2 </w:t>
      </w:r>
      <w:r>
        <w:rPr>
          <w:rFonts w:ascii="Book Antiqua" w:hAnsi="Book Antiqua"/>
          <w:sz w:val="18"/>
          <w:szCs w:val="18"/>
          <w:lang w:val="en-US"/>
        </w:rPr>
        <w:t>2</w:t>
      </w:r>
      <w:r w:rsidRPr="00BA511F">
        <w:rPr>
          <w:rFonts w:ascii="Book Antiqua" w:hAnsi="Book Antiqua"/>
          <w:sz w:val="18"/>
          <w:szCs w:val="18"/>
          <w:lang w:val="en-US"/>
        </w:rPr>
        <w:t xml:space="preserve">ILVA version 138) </w:t>
      </w:r>
      <w:r>
        <w:rPr>
          <w:rFonts w:ascii="Book Antiqua" w:hAnsi="Book Antiqua"/>
          <w:sz w:val="18"/>
          <w:szCs w:val="18"/>
          <w:lang w:val="en-US"/>
        </w:rPr>
        <w:t>is</w:t>
      </w:r>
      <w:r w:rsidRPr="00BA511F">
        <w:rPr>
          <w:rFonts w:ascii="Book Antiqua" w:hAnsi="Book Antiqua"/>
          <w:sz w:val="18"/>
          <w:szCs w:val="18"/>
          <w:lang w:val="en-US"/>
        </w:rPr>
        <w:t xml:space="preserve"> provided in the tree.</w:t>
      </w:r>
    </w:p>
    <w:p w14:paraId="62B757F2" w14:textId="77777777" w:rsidR="00B24D16" w:rsidRPr="00E565EC" w:rsidRDefault="00B24D16" w:rsidP="00B24D16">
      <w:pPr>
        <w:spacing w:after="0" w:line="360" w:lineRule="auto"/>
        <w:contextualSpacing/>
        <w:rPr>
          <w:rFonts w:ascii="Book Antiqua" w:hAnsi="Book Antiqua"/>
          <w:color w:val="00B050"/>
        </w:rPr>
      </w:pPr>
      <w:r>
        <w:rPr>
          <w:rFonts w:ascii="Book Antiqua" w:hAnsi="Book Antiqua"/>
          <w:noProof/>
          <w:color w:val="00B050"/>
        </w:rPr>
        <w:lastRenderedPageBreak/>
        <w:drawing>
          <wp:anchor distT="0" distB="0" distL="114300" distR="114300" simplePos="0" relativeHeight="251659264" behindDoc="0" locked="0" layoutInCell="1" allowOverlap="1" wp14:anchorId="4B39C142" wp14:editId="01B7EDDA">
            <wp:simplePos x="1539875" y="914400"/>
            <wp:positionH relativeFrom="column">
              <wp:posOffset>1543050</wp:posOffset>
            </wp:positionH>
            <wp:positionV relativeFrom="paragraph">
              <wp:align>top</wp:align>
            </wp:positionV>
            <wp:extent cx="4479036" cy="2897124"/>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79036" cy="2897124"/>
                    </a:xfrm>
                    <a:prstGeom prst="rect">
                      <a:avLst/>
                    </a:prstGeom>
                  </pic:spPr>
                </pic:pic>
              </a:graphicData>
            </a:graphic>
          </wp:anchor>
        </w:drawing>
      </w:r>
      <w:r>
        <w:rPr>
          <w:rFonts w:ascii="Book Antiqua" w:hAnsi="Book Antiqua"/>
          <w:color w:val="00B050"/>
        </w:rPr>
        <w:br w:type="textWrapping" w:clear="all"/>
      </w:r>
    </w:p>
    <w:p w14:paraId="2EB5BC21" w14:textId="4E957C60" w:rsidR="00B24D16" w:rsidRPr="00BA511F" w:rsidRDefault="00B24D16" w:rsidP="00B24D16">
      <w:pPr>
        <w:spacing w:after="0" w:line="240" w:lineRule="auto"/>
        <w:jc w:val="both"/>
        <w:rPr>
          <w:rFonts w:ascii="Book Antiqua" w:hAnsi="Book Antiqua"/>
          <w:b/>
          <w:bCs/>
          <w:sz w:val="18"/>
          <w:szCs w:val="18"/>
          <w:lang w:val="en-US"/>
        </w:rPr>
      </w:pPr>
      <w:r w:rsidRPr="00BA511F">
        <w:rPr>
          <w:rFonts w:ascii="Book Antiqua" w:hAnsi="Book Antiqua"/>
          <w:b/>
          <w:bCs/>
          <w:sz w:val="18"/>
          <w:szCs w:val="18"/>
          <w:lang w:val="en-US"/>
        </w:rPr>
        <w:t>Figure S</w:t>
      </w:r>
      <w:r>
        <w:rPr>
          <w:rFonts w:ascii="Book Antiqua" w:hAnsi="Book Antiqua"/>
          <w:b/>
          <w:bCs/>
          <w:sz w:val="18"/>
          <w:szCs w:val="18"/>
          <w:lang w:val="en-US"/>
        </w:rPr>
        <w:t>1</w:t>
      </w:r>
      <w:r w:rsidR="00353281">
        <w:rPr>
          <w:rFonts w:ascii="Book Antiqua" w:hAnsi="Book Antiqua"/>
          <w:b/>
          <w:bCs/>
          <w:sz w:val="18"/>
          <w:szCs w:val="18"/>
          <w:lang w:val="en-US"/>
        </w:rPr>
        <w:t>2</w:t>
      </w:r>
      <w:r>
        <w:rPr>
          <w:rFonts w:ascii="Book Antiqua" w:hAnsi="Book Antiqua"/>
          <w:b/>
          <w:bCs/>
          <w:sz w:val="18"/>
          <w:szCs w:val="18"/>
          <w:lang w:val="en-US"/>
        </w:rPr>
        <w:t xml:space="preserve"> </w:t>
      </w:r>
      <w:r w:rsidRPr="00BA511F">
        <w:rPr>
          <w:rFonts w:ascii="Book Antiqua" w:hAnsi="Book Antiqua"/>
          <w:b/>
          <w:bCs/>
          <w:sz w:val="18"/>
          <w:szCs w:val="18"/>
          <w:lang w:val="en-US"/>
        </w:rPr>
        <w:t>Phylogenetic tree</w:t>
      </w:r>
      <w:r>
        <w:rPr>
          <w:rFonts w:ascii="Book Antiqua" w:hAnsi="Book Antiqua"/>
          <w:b/>
          <w:bCs/>
          <w:sz w:val="18"/>
          <w:szCs w:val="18"/>
          <w:lang w:val="en-US"/>
        </w:rPr>
        <w:t xml:space="preserve"> for </w:t>
      </w:r>
      <w:proofErr w:type="spellStart"/>
      <w:r>
        <w:rPr>
          <w:rFonts w:ascii="Book Antiqua" w:hAnsi="Book Antiqua"/>
          <w:b/>
          <w:bCs/>
          <w:i/>
          <w:iCs/>
          <w:sz w:val="18"/>
          <w:szCs w:val="18"/>
          <w:lang w:val="en-US"/>
        </w:rPr>
        <w:t>Dolosigranulum</w:t>
      </w:r>
      <w:proofErr w:type="spellEnd"/>
    </w:p>
    <w:p w14:paraId="0CFF06F9" w14:textId="77777777" w:rsidR="00B24D16" w:rsidRDefault="00B24D16" w:rsidP="00B24D16">
      <w:pPr>
        <w:jc w:val="both"/>
        <w:rPr>
          <w:rFonts w:ascii="Book Antiqua" w:hAnsi="Book Antiqua"/>
          <w:sz w:val="18"/>
          <w:szCs w:val="18"/>
          <w:lang w:val="en-US"/>
        </w:rPr>
      </w:pPr>
      <w:r w:rsidRPr="00BA511F">
        <w:rPr>
          <w:rFonts w:ascii="Book Antiqua" w:hAnsi="Book Antiqua"/>
          <w:sz w:val="18"/>
          <w:szCs w:val="18"/>
          <w:lang w:val="en-US"/>
        </w:rPr>
        <w:t xml:space="preserve">Amplicon sequence variants (ASVs) belonging to </w:t>
      </w:r>
      <w:proofErr w:type="spellStart"/>
      <w:proofErr w:type="gramStart"/>
      <w:r>
        <w:rPr>
          <w:rFonts w:ascii="Book Antiqua" w:hAnsi="Book Antiqua"/>
          <w:i/>
          <w:iCs/>
          <w:sz w:val="18"/>
          <w:szCs w:val="18"/>
          <w:lang w:val="en-US"/>
        </w:rPr>
        <w:t>Dolosigranulum</w:t>
      </w:r>
      <w:proofErr w:type="spellEnd"/>
      <w:proofErr w:type="gramEnd"/>
      <w:r w:rsidRPr="00BA511F">
        <w:rPr>
          <w:rFonts w:ascii="Book Antiqua" w:hAnsi="Book Antiqua"/>
          <w:sz w:val="18"/>
          <w:szCs w:val="18"/>
          <w:lang w:val="en-US"/>
        </w:rPr>
        <w:t xml:space="preserve"> and its </w:t>
      </w:r>
      <w:proofErr w:type="spellStart"/>
      <w:r w:rsidRPr="00BA511F">
        <w:rPr>
          <w:rFonts w:ascii="Book Antiqua" w:hAnsi="Book Antiqua"/>
          <w:sz w:val="18"/>
          <w:szCs w:val="18"/>
          <w:lang w:val="en-US"/>
        </w:rPr>
        <w:t>neighbours</w:t>
      </w:r>
      <w:proofErr w:type="spellEnd"/>
      <w:r w:rsidRPr="00BA511F">
        <w:rPr>
          <w:rFonts w:ascii="Book Antiqua" w:hAnsi="Book Antiqua"/>
          <w:sz w:val="18"/>
          <w:szCs w:val="18"/>
          <w:lang w:val="en-US"/>
        </w:rPr>
        <w:t xml:space="preserve"> were selected to build </w:t>
      </w:r>
      <w:r>
        <w:rPr>
          <w:rFonts w:ascii="Book Antiqua" w:hAnsi="Book Antiqua"/>
          <w:sz w:val="18"/>
          <w:szCs w:val="18"/>
          <w:lang w:val="en-US"/>
        </w:rPr>
        <w:t xml:space="preserve">a </w:t>
      </w:r>
      <w:r w:rsidRPr="00BA511F">
        <w:rPr>
          <w:rFonts w:ascii="Book Antiqua" w:hAnsi="Book Antiqua"/>
          <w:sz w:val="18"/>
          <w:szCs w:val="18"/>
          <w:lang w:val="en-US"/>
        </w:rPr>
        <w:t>genus-level tree using the SILVA ACT (Alignment, Classification and Tree Service) tool</w:t>
      </w:r>
      <w:r>
        <w:rPr>
          <w:rFonts w:ascii="Book Antiqua" w:hAnsi="Book Antiqua"/>
          <w:sz w:val="18"/>
          <w:szCs w:val="18"/>
          <w:lang w:val="en-US"/>
        </w:rPr>
        <w:t>.</w:t>
      </w:r>
      <w:r w:rsidRPr="00BA511F">
        <w:rPr>
          <w:rFonts w:ascii="Book Antiqua" w:hAnsi="Book Antiqua"/>
          <w:sz w:val="18"/>
          <w:szCs w:val="18"/>
          <w:lang w:val="en-US"/>
        </w:rPr>
        <w:t xml:space="preserve"> Bold font and red branches depict the ASVs detected from our study (ASV numbers included). Taxonomy assigned to ASVs detected from our study</w:t>
      </w:r>
      <w:r w:rsidRPr="00BA511F">
        <w:t xml:space="preserve"> (</w:t>
      </w:r>
      <w:r w:rsidRPr="00BA511F">
        <w:rPr>
          <w:rFonts w:ascii="Book Antiqua" w:hAnsi="Book Antiqua"/>
          <w:sz w:val="18"/>
          <w:szCs w:val="18"/>
          <w:lang w:val="en-US"/>
        </w:rPr>
        <w:t xml:space="preserve">via RDP classifier implementation for DADA2 and SILVA version 138) </w:t>
      </w:r>
      <w:r>
        <w:rPr>
          <w:rFonts w:ascii="Book Antiqua" w:hAnsi="Book Antiqua"/>
          <w:sz w:val="18"/>
          <w:szCs w:val="18"/>
          <w:lang w:val="en-US"/>
        </w:rPr>
        <w:t>is</w:t>
      </w:r>
      <w:r w:rsidRPr="00BA511F">
        <w:rPr>
          <w:rFonts w:ascii="Book Antiqua" w:hAnsi="Book Antiqua"/>
          <w:sz w:val="18"/>
          <w:szCs w:val="18"/>
          <w:lang w:val="en-US"/>
        </w:rPr>
        <w:t xml:space="preserve"> provided in the tree.</w:t>
      </w:r>
    </w:p>
    <w:p w14:paraId="2EBB2ECA" w14:textId="77777777" w:rsidR="00B24D16" w:rsidRDefault="00B24D16" w:rsidP="00B24D16">
      <w:pPr>
        <w:jc w:val="both"/>
        <w:rPr>
          <w:rFonts w:ascii="Book Antiqua" w:hAnsi="Book Antiqua"/>
          <w:sz w:val="18"/>
          <w:szCs w:val="18"/>
          <w:lang w:val="en-US"/>
        </w:rPr>
      </w:pPr>
    </w:p>
    <w:p w14:paraId="5DFEB4ED" w14:textId="77777777" w:rsidR="00B24D16" w:rsidRDefault="00B24D16" w:rsidP="00B24D16">
      <w:pPr>
        <w:jc w:val="both"/>
        <w:rPr>
          <w:rFonts w:ascii="Book Antiqua" w:hAnsi="Book Antiqua"/>
          <w:sz w:val="18"/>
          <w:szCs w:val="18"/>
          <w:lang w:val="en-US"/>
        </w:rPr>
      </w:pPr>
    </w:p>
    <w:p w14:paraId="0F6FD51F" w14:textId="77777777" w:rsidR="00B24D16" w:rsidRDefault="00B24D16" w:rsidP="00B24D16">
      <w:pPr>
        <w:jc w:val="both"/>
        <w:rPr>
          <w:rFonts w:ascii="Book Antiqua" w:hAnsi="Book Antiqua"/>
          <w:sz w:val="18"/>
          <w:szCs w:val="18"/>
          <w:lang w:val="en-US"/>
        </w:rPr>
      </w:pPr>
    </w:p>
    <w:p w14:paraId="504FC4C0" w14:textId="77777777" w:rsidR="00B24D16" w:rsidRDefault="00B24D16" w:rsidP="00B24D16">
      <w:pPr>
        <w:jc w:val="both"/>
        <w:rPr>
          <w:rFonts w:ascii="Book Antiqua" w:hAnsi="Book Antiqua"/>
          <w:sz w:val="18"/>
          <w:szCs w:val="18"/>
          <w:lang w:val="en-US"/>
        </w:rPr>
      </w:pPr>
    </w:p>
    <w:p w14:paraId="1F3BE653" w14:textId="215731A9" w:rsidR="00B24D16" w:rsidRDefault="00B24D16" w:rsidP="00B24D16">
      <w:pPr>
        <w:jc w:val="both"/>
      </w:pPr>
    </w:p>
    <w:p w14:paraId="2918D838" w14:textId="42BA97B4" w:rsidR="00932DDA" w:rsidRDefault="00932DDA" w:rsidP="00B24D16">
      <w:pPr>
        <w:jc w:val="both"/>
      </w:pPr>
    </w:p>
    <w:p w14:paraId="0B5AAEE8" w14:textId="6AF4EFC8" w:rsidR="00932DDA" w:rsidRDefault="00932DDA" w:rsidP="00B24D16">
      <w:pPr>
        <w:jc w:val="both"/>
      </w:pPr>
    </w:p>
    <w:p w14:paraId="519FBD66" w14:textId="083F5168" w:rsidR="00932DDA" w:rsidRDefault="00932DDA" w:rsidP="00B24D16">
      <w:pPr>
        <w:jc w:val="both"/>
      </w:pPr>
    </w:p>
    <w:p w14:paraId="0022B8E2" w14:textId="38FDB8D7" w:rsidR="00932DDA" w:rsidRDefault="00932DDA" w:rsidP="00B24D16">
      <w:pPr>
        <w:jc w:val="both"/>
      </w:pPr>
    </w:p>
    <w:p w14:paraId="78A8E106" w14:textId="713BF0AD" w:rsidR="00932DDA" w:rsidRDefault="00932DDA" w:rsidP="00B24D16">
      <w:pPr>
        <w:jc w:val="both"/>
      </w:pPr>
    </w:p>
    <w:p w14:paraId="238D024D" w14:textId="675E9AF5" w:rsidR="00932DDA" w:rsidRDefault="00932DDA" w:rsidP="00B24D16">
      <w:pPr>
        <w:jc w:val="both"/>
      </w:pPr>
    </w:p>
    <w:p w14:paraId="336B9D98" w14:textId="29660493" w:rsidR="00932DDA" w:rsidRDefault="00932DDA" w:rsidP="00B24D16">
      <w:pPr>
        <w:jc w:val="both"/>
      </w:pPr>
    </w:p>
    <w:p w14:paraId="49CA467B" w14:textId="3BB8EAFC" w:rsidR="00932DDA" w:rsidRDefault="00932DDA" w:rsidP="00B24D16">
      <w:pPr>
        <w:jc w:val="both"/>
      </w:pPr>
    </w:p>
    <w:p w14:paraId="401B9C9D" w14:textId="01806BFE" w:rsidR="00932DDA" w:rsidRDefault="00932DDA" w:rsidP="00B24D16">
      <w:pPr>
        <w:jc w:val="both"/>
      </w:pPr>
    </w:p>
    <w:p w14:paraId="36BBAD17" w14:textId="32D580D0" w:rsidR="00932DDA" w:rsidRDefault="00932DDA" w:rsidP="00B24D16">
      <w:pPr>
        <w:jc w:val="both"/>
      </w:pPr>
    </w:p>
    <w:p w14:paraId="43BB8388" w14:textId="440ADBF1" w:rsidR="00932DDA" w:rsidRDefault="00932DDA" w:rsidP="00B24D16">
      <w:pPr>
        <w:jc w:val="both"/>
      </w:pPr>
    </w:p>
    <w:p w14:paraId="6FA48543" w14:textId="0CA43431" w:rsidR="00932DDA" w:rsidRDefault="00932DDA" w:rsidP="00B24D16">
      <w:pPr>
        <w:jc w:val="both"/>
      </w:pPr>
    </w:p>
    <w:p w14:paraId="1C4C61CD" w14:textId="794D1BA1" w:rsidR="00932DDA" w:rsidRDefault="00932DDA" w:rsidP="00932DDA">
      <w:pPr>
        <w:spacing w:after="0" w:line="480" w:lineRule="auto"/>
        <w:rPr>
          <w:rFonts w:ascii="Cambria Math" w:hAnsi="Cambria Math"/>
          <w:b/>
          <w:bCs/>
          <w:sz w:val="28"/>
          <w:szCs w:val="28"/>
        </w:rPr>
      </w:pPr>
      <w:r>
        <w:rPr>
          <w:rFonts w:ascii="Cambria Math" w:hAnsi="Cambria Math"/>
          <w:b/>
          <w:bCs/>
          <w:sz w:val="28"/>
          <w:szCs w:val="28"/>
        </w:rPr>
        <w:lastRenderedPageBreak/>
        <w:t>Section D</w:t>
      </w:r>
    </w:p>
    <w:p w14:paraId="3950B77C" w14:textId="3075CD78" w:rsidR="00932DDA" w:rsidRPr="00267631" w:rsidRDefault="00932DDA" w:rsidP="00932DDA">
      <w:pPr>
        <w:spacing w:after="0" w:line="480" w:lineRule="auto"/>
        <w:rPr>
          <w:rFonts w:ascii="Cambria Math" w:hAnsi="Cambria Math"/>
          <w:b/>
          <w:bCs/>
          <w:sz w:val="28"/>
          <w:szCs w:val="28"/>
        </w:rPr>
      </w:pPr>
      <w:r w:rsidRPr="00267631">
        <w:rPr>
          <w:rFonts w:ascii="Cambria Math" w:hAnsi="Cambria Math"/>
          <w:b/>
          <w:bCs/>
          <w:sz w:val="28"/>
          <w:szCs w:val="28"/>
        </w:rPr>
        <w:t xml:space="preserve">Extended results </w:t>
      </w:r>
      <w:r w:rsidR="007823B5" w:rsidRPr="00267631">
        <w:rPr>
          <w:rFonts w:ascii="Cambria Math" w:hAnsi="Cambria Math"/>
          <w:b/>
          <w:bCs/>
          <w:sz w:val="28"/>
          <w:szCs w:val="28"/>
        </w:rPr>
        <w:t>–</w:t>
      </w:r>
      <w:r w:rsidRPr="00267631">
        <w:rPr>
          <w:rFonts w:ascii="Cambria Math" w:hAnsi="Cambria Math"/>
          <w:b/>
          <w:bCs/>
          <w:sz w:val="28"/>
          <w:szCs w:val="28"/>
        </w:rPr>
        <w:t xml:space="preserve"> </w:t>
      </w:r>
      <w:r w:rsidR="001C511C" w:rsidRPr="00267631">
        <w:rPr>
          <w:rFonts w:ascii="Cambria Math" w:hAnsi="Cambria Math"/>
          <w:b/>
          <w:bCs/>
          <w:sz w:val="28"/>
          <w:szCs w:val="28"/>
        </w:rPr>
        <w:t xml:space="preserve">Figures </w:t>
      </w:r>
      <w:r w:rsidR="00A806C8" w:rsidRPr="00267631">
        <w:rPr>
          <w:rFonts w:ascii="Cambria Math" w:hAnsi="Cambria Math"/>
          <w:b/>
          <w:bCs/>
          <w:sz w:val="28"/>
          <w:szCs w:val="28"/>
        </w:rPr>
        <w:t xml:space="preserve">S13 </w:t>
      </w:r>
      <w:r w:rsidR="00267631" w:rsidRPr="00267631">
        <w:rPr>
          <w:rFonts w:ascii="Cambria Math" w:hAnsi="Cambria Math"/>
          <w:b/>
          <w:bCs/>
          <w:sz w:val="28"/>
          <w:szCs w:val="28"/>
        </w:rPr>
        <w:t>–</w:t>
      </w:r>
      <w:r w:rsidR="00A806C8" w:rsidRPr="00267631">
        <w:rPr>
          <w:rFonts w:ascii="Cambria Math" w:hAnsi="Cambria Math"/>
          <w:b/>
          <w:bCs/>
          <w:sz w:val="28"/>
          <w:szCs w:val="28"/>
        </w:rPr>
        <w:t xml:space="preserve"> S</w:t>
      </w:r>
      <w:r w:rsidR="00267631" w:rsidRPr="00267631">
        <w:rPr>
          <w:rFonts w:ascii="Cambria Math" w:hAnsi="Cambria Math"/>
          <w:b/>
          <w:bCs/>
          <w:sz w:val="28"/>
          <w:szCs w:val="28"/>
        </w:rPr>
        <w:t>24</w:t>
      </w:r>
    </w:p>
    <w:p w14:paraId="63433CB1" w14:textId="77777777" w:rsidR="00E119E2" w:rsidRPr="00E119E2" w:rsidRDefault="00E119E2" w:rsidP="00E119E2">
      <w:pPr>
        <w:spacing w:after="0" w:line="240" w:lineRule="auto"/>
        <w:rPr>
          <w:rFonts w:ascii="Cambria Math" w:hAnsi="Cambria Math"/>
          <w:b/>
          <w:bCs/>
          <w:sz w:val="20"/>
          <w:szCs w:val="20"/>
          <w:highlight w:val="yellow"/>
        </w:rPr>
      </w:pPr>
    </w:p>
    <w:p w14:paraId="57FFB932" w14:textId="7F8C4F1B" w:rsidR="00B24D16" w:rsidRDefault="007B32D5" w:rsidP="00B24D16">
      <w:pPr>
        <w:spacing w:after="0" w:line="240" w:lineRule="auto"/>
        <w:jc w:val="center"/>
        <w:rPr>
          <w:rFonts w:ascii="Book Antiqua" w:hAnsi="Book Antiqua"/>
          <w:b/>
          <w:bCs/>
          <w:color w:val="0D0D0D" w:themeColor="text1" w:themeTint="F2"/>
          <w:sz w:val="18"/>
          <w:szCs w:val="18"/>
          <w:lang w:val="en-US"/>
        </w:rPr>
      </w:pPr>
      <w:r>
        <w:rPr>
          <w:rFonts w:ascii="Book Antiqua" w:hAnsi="Book Antiqua"/>
          <w:b/>
          <w:bCs/>
          <w:noProof/>
          <w:color w:val="0D0D0D" w:themeColor="text1" w:themeTint="F2"/>
          <w:sz w:val="18"/>
          <w:szCs w:val="18"/>
          <w:lang w:val="en-US"/>
        </w:rPr>
        <w:drawing>
          <wp:inline distT="0" distB="0" distL="0" distR="0" wp14:anchorId="44C3A9E2" wp14:editId="0D834CF9">
            <wp:extent cx="5760000" cy="5949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0" cstate="print">
                      <a:extLst>
                        <a:ext uri="{28A0092B-C50C-407E-A947-70E740481C1C}">
                          <a14:useLocalDpi xmlns:a14="http://schemas.microsoft.com/office/drawing/2010/main" val="0"/>
                        </a:ext>
                      </a:extLst>
                    </a:blip>
                    <a:srcRect l="1330" r="2311"/>
                    <a:stretch/>
                  </pic:blipFill>
                  <pic:spPr bwMode="auto">
                    <a:xfrm>
                      <a:off x="0" y="0"/>
                      <a:ext cx="5760000" cy="5949815"/>
                    </a:xfrm>
                    <a:prstGeom prst="rect">
                      <a:avLst/>
                    </a:prstGeom>
                    <a:ln>
                      <a:noFill/>
                    </a:ln>
                    <a:extLst>
                      <a:ext uri="{53640926-AAD7-44D8-BBD7-CCE9431645EC}">
                        <a14:shadowObscured xmlns:a14="http://schemas.microsoft.com/office/drawing/2010/main"/>
                      </a:ext>
                    </a:extLst>
                  </pic:spPr>
                </pic:pic>
              </a:graphicData>
            </a:graphic>
          </wp:inline>
        </w:drawing>
      </w:r>
    </w:p>
    <w:p w14:paraId="0870921A" w14:textId="77777777" w:rsidR="00B24D16" w:rsidRDefault="00B24D16" w:rsidP="00B24D16">
      <w:pPr>
        <w:spacing w:after="0" w:line="240" w:lineRule="auto"/>
        <w:jc w:val="both"/>
        <w:rPr>
          <w:rFonts w:ascii="Book Antiqua" w:hAnsi="Book Antiqua"/>
          <w:b/>
          <w:bCs/>
          <w:color w:val="0D0D0D" w:themeColor="text1" w:themeTint="F2"/>
          <w:sz w:val="18"/>
          <w:szCs w:val="18"/>
          <w:lang w:val="en-US"/>
        </w:rPr>
      </w:pPr>
    </w:p>
    <w:p w14:paraId="61A1A83D" w14:textId="4A0C46C0" w:rsidR="00B24D16" w:rsidRPr="00E0075F" w:rsidRDefault="00B24D16" w:rsidP="00B24D16">
      <w:pPr>
        <w:spacing w:after="0" w:line="240" w:lineRule="auto"/>
        <w:jc w:val="both"/>
        <w:rPr>
          <w:rFonts w:ascii="Book Antiqua" w:hAnsi="Book Antiqua"/>
          <w:b/>
          <w:bCs/>
          <w:color w:val="0D0D0D" w:themeColor="text1" w:themeTint="F2"/>
          <w:sz w:val="18"/>
          <w:szCs w:val="18"/>
          <w:lang w:val="en-US"/>
        </w:rPr>
      </w:pPr>
      <w:r w:rsidRPr="00E0075F">
        <w:rPr>
          <w:rFonts w:ascii="Book Antiqua" w:hAnsi="Book Antiqua"/>
          <w:b/>
          <w:bCs/>
          <w:color w:val="0D0D0D" w:themeColor="text1" w:themeTint="F2"/>
          <w:sz w:val="18"/>
          <w:szCs w:val="18"/>
          <w:lang w:val="en-US"/>
        </w:rPr>
        <w:t xml:space="preserve">Figure </w:t>
      </w:r>
      <w:r>
        <w:rPr>
          <w:rFonts w:ascii="Book Antiqua" w:hAnsi="Book Antiqua"/>
          <w:b/>
          <w:bCs/>
          <w:color w:val="0D0D0D" w:themeColor="text1" w:themeTint="F2"/>
          <w:sz w:val="18"/>
          <w:szCs w:val="18"/>
          <w:lang w:val="en-US"/>
        </w:rPr>
        <w:t>S1</w:t>
      </w:r>
      <w:r w:rsidR="00CA0FE2">
        <w:rPr>
          <w:rFonts w:ascii="Book Antiqua" w:hAnsi="Book Antiqua"/>
          <w:b/>
          <w:bCs/>
          <w:color w:val="0D0D0D" w:themeColor="text1" w:themeTint="F2"/>
          <w:sz w:val="18"/>
          <w:szCs w:val="18"/>
          <w:lang w:val="en-US"/>
        </w:rPr>
        <w:t>3</w:t>
      </w:r>
      <w:r w:rsidRPr="00E0075F">
        <w:rPr>
          <w:rFonts w:ascii="Book Antiqua" w:hAnsi="Book Antiqua"/>
          <w:color w:val="0D0D0D" w:themeColor="text1" w:themeTint="F2"/>
          <w:sz w:val="18"/>
          <w:szCs w:val="18"/>
          <w:lang w:val="en-US"/>
        </w:rPr>
        <w:t xml:space="preserve"> </w:t>
      </w:r>
      <w:r w:rsidRPr="00E0075F">
        <w:rPr>
          <w:rFonts w:ascii="Book Antiqua" w:hAnsi="Book Antiqua"/>
          <w:b/>
          <w:bCs/>
          <w:color w:val="0D0D0D" w:themeColor="text1" w:themeTint="F2"/>
          <w:sz w:val="18"/>
          <w:szCs w:val="18"/>
          <w:lang w:val="en-US"/>
        </w:rPr>
        <w:t xml:space="preserve">Within-specimen (Shannon) diversity measured </w:t>
      </w:r>
      <w:r>
        <w:rPr>
          <w:rFonts w:ascii="Book Antiqua" w:hAnsi="Book Antiqua"/>
          <w:b/>
          <w:bCs/>
          <w:color w:val="0D0D0D" w:themeColor="text1" w:themeTint="F2"/>
          <w:sz w:val="18"/>
          <w:szCs w:val="18"/>
          <w:lang w:val="en-US"/>
        </w:rPr>
        <w:t>from</w:t>
      </w:r>
      <w:r w:rsidRPr="00E0075F">
        <w:rPr>
          <w:rFonts w:ascii="Book Antiqua" w:hAnsi="Book Antiqua"/>
          <w:b/>
          <w:bCs/>
          <w:color w:val="0D0D0D" w:themeColor="text1" w:themeTint="F2"/>
          <w:sz w:val="18"/>
          <w:szCs w:val="18"/>
          <w:lang w:val="en-US"/>
        </w:rPr>
        <w:t xml:space="preserve"> comparison groups during the first year of life. </w:t>
      </w:r>
    </w:p>
    <w:p w14:paraId="11C0203A" w14:textId="77777777" w:rsidR="00B24D16" w:rsidRPr="00E0075F" w:rsidRDefault="00B24D16" w:rsidP="00B24D16">
      <w:pPr>
        <w:spacing w:after="0" w:line="240" w:lineRule="auto"/>
        <w:jc w:val="both"/>
        <w:rPr>
          <w:rFonts w:ascii="Book Antiqua" w:hAnsi="Book Antiqua"/>
          <w:color w:val="0D0D0D" w:themeColor="text1" w:themeTint="F2"/>
          <w:sz w:val="18"/>
          <w:szCs w:val="18"/>
          <w:lang w:val="en-US"/>
        </w:rPr>
      </w:pPr>
      <w:r w:rsidRPr="00E0075F">
        <w:rPr>
          <w:rFonts w:ascii="Book Antiqua" w:hAnsi="Book Antiqua"/>
          <w:color w:val="0D0D0D" w:themeColor="text1" w:themeTint="F2"/>
          <w:sz w:val="18"/>
          <w:szCs w:val="18"/>
          <w:lang w:val="en-US"/>
        </w:rPr>
        <w:t xml:space="preserve">Boxplots represent Shannon diversity indices measured from specimens at monthly intervals during the first year of life. Specimen collection timepoints are grouped into three intervals </w:t>
      </w:r>
      <w:r>
        <w:rPr>
          <w:rFonts w:ascii="Book Antiqua" w:hAnsi="Book Antiqua"/>
          <w:color w:val="0D0D0D" w:themeColor="text1" w:themeTint="F2"/>
          <w:sz w:val="18"/>
          <w:szCs w:val="18"/>
          <w:lang w:val="en-US"/>
        </w:rPr>
        <w:t>(</w:t>
      </w:r>
      <w:r w:rsidRPr="00EF7E48">
        <w:rPr>
          <w:rFonts w:ascii="Book Antiqua" w:hAnsi="Book Antiqua"/>
          <w:color w:val="0D0D0D" w:themeColor="text1" w:themeTint="F2"/>
          <w:sz w:val="18"/>
          <w:szCs w:val="18"/>
          <w:lang w:val="en-US"/>
        </w:rPr>
        <w:t xml:space="preserve">interval A: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01-</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03</w:t>
      </w:r>
      <w:r>
        <w:rPr>
          <w:rFonts w:ascii="Book Antiqua" w:hAnsi="Book Antiqua"/>
          <w:color w:val="0D0D0D" w:themeColor="text1" w:themeTint="F2"/>
          <w:sz w:val="18"/>
          <w:szCs w:val="18"/>
          <w:lang w:val="en-US"/>
        </w:rPr>
        <w:t xml:space="preserve">, </w:t>
      </w:r>
      <w:r w:rsidRPr="00EF7E48">
        <w:rPr>
          <w:rFonts w:ascii="Book Antiqua" w:hAnsi="Book Antiqua"/>
          <w:color w:val="0D0D0D" w:themeColor="text1" w:themeTint="F2"/>
          <w:sz w:val="18"/>
          <w:szCs w:val="18"/>
          <w:lang w:val="en-US"/>
        </w:rPr>
        <w:t xml:space="preserve">interval B: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04-</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06</w:t>
      </w:r>
      <w:r>
        <w:rPr>
          <w:rFonts w:ascii="Book Antiqua" w:hAnsi="Book Antiqua"/>
          <w:color w:val="0D0D0D" w:themeColor="text1" w:themeTint="F2"/>
          <w:sz w:val="18"/>
          <w:szCs w:val="18"/>
          <w:lang w:val="en-US"/>
        </w:rPr>
        <w:t xml:space="preserve">, </w:t>
      </w:r>
      <w:r w:rsidRPr="00EF7E48">
        <w:rPr>
          <w:rFonts w:ascii="Book Antiqua" w:hAnsi="Book Antiqua"/>
          <w:color w:val="0D0D0D" w:themeColor="text1" w:themeTint="F2"/>
          <w:sz w:val="18"/>
          <w:szCs w:val="18"/>
          <w:lang w:val="en-US"/>
        </w:rPr>
        <w:t xml:space="preserve">and interval C: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07-</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12</w:t>
      </w:r>
      <w:r>
        <w:rPr>
          <w:rFonts w:ascii="Book Antiqua" w:hAnsi="Book Antiqua"/>
          <w:color w:val="0D0D0D" w:themeColor="text1" w:themeTint="F2"/>
          <w:sz w:val="18"/>
          <w:szCs w:val="18"/>
          <w:lang w:val="en-US"/>
        </w:rPr>
        <w:t>)</w:t>
      </w:r>
      <w:r w:rsidRPr="00E0075F">
        <w:rPr>
          <w:rFonts w:ascii="Book Antiqua" w:hAnsi="Book Antiqua"/>
          <w:color w:val="0D0D0D" w:themeColor="text1" w:themeTint="F2"/>
          <w:sz w:val="18"/>
          <w:szCs w:val="18"/>
          <w:lang w:val="en-US"/>
        </w:rPr>
        <w:t>. Mixed Linear Models (MLMs) were built for each of the three specimen collection intervals to investigate associations between Shannon diversity and covariates. Median values are presented by horizontal lines within each of the boxplots while upper and lower ranges of the boxplots represent the 75% and 25% quartiles, respectively. Maximum and minimum values, excluding outliers, are presented by whiskers. Dots at each of the timepoints represent mean values. Each connecting line between boxplots within a specimen collection interval represents changes in Shannon diversity indices for each of the participants. All p-values were adjusted for confounders. Statistically significant p-values are shown presented in red font.</w:t>
      </w:r>
    </w:p>
    <w:p w14:paraId="12A11269" w14:textId="77777777" w:rsidR="00B24D16" w:rsidRDefault="00B24D16" w:rsidP="00B24D16">
      <w:pPr>
        <w:spacing w:after="0" w:line="360" w:lineRule="auto"/>
        <w:jc w:val="both"/>
        <w:rPr>
          <w:rFonts w:ascii="Book Antiqua" w:hAnsi="Book Antiqua"/>
          <w:bCs/>
          <w:color w:val="0D0D0D" w:themeColor="text1" w:themeTint="F2"/>
        </w:rPr>
      </w:pPr>
    </w:p>
    <w:p w14:paraId="484C089B" w14:textId="52C4547D" w:rsidR="00B24D16" w:rsidRDefault="00033D9F" w:rsidP="00B24D16">
      <w:pPr>
        <w:spacing w:after="0" w:line="360" w:lineRule="auto"/>
        <w:jc w:val="both"/>
        <w:rPr>
          <w:rFonts w:ascii="Book Antiqua" w:hAnsi="Book Antiqua"/>
          <w:bCs/>
          <w:color w:val="0D0D0D" w:themeColor="text1" w:themeTint="F2"/>
        </w:rPr>
      </w:pPr>
      <w:r>
        <w:rPr>
          <w:rFonts w:ascii="Book Antiqua" w:hAnsi="Book Antiqua"/>
          <w:bCs/>
          <w:noProof/>
          <w:color w:val="0D0D0D" w:themeColor="text1" w:themeTint="F2"/>
        </w:rPr>
        <w:lastRenderedPageBreak/>
        <w:drawing>
          <wp:inline distT="0" distB="0" distL="0" distR="0" wp14:anchorId="50EA16DA" wp14:editId="6BB97307">
            <wp:extent cx="5760000" cy="57625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1" cstate="print">
                      <a:extLst>
                        <a:ext uri="{28A0092B-C50C-407E-A947-70E740481C1C}">
                          <a14:useLocalDpi xmlns:a14="http://schemas.microsoft.com/office/drawing/2010/main" val="0"/>
                        </a:ext>
                      </a:extLst>
                    </a:blip>
                    <a:srcRect l="1157" r="2022"/>
                    <a:stretch/>
                  </pic:blipFill>
                  <pic:spPr bwMode="auto">
                    <a:xfrm>
                      <a:off x="0" y="0"/>
                      <a:ext cx="5760000" cy="5762554"/>
                    </a:xfrm>
                    <a:prstGeom prst="rect">
                      <a:avLst/>
                    </a:prstGeom>
                    <a:ln>
                      <a:noFill/>
                    </a:ln>
                    <a:extLst>
                      <a:ext uri="{53640926-AAD7-44D8-BBD7-CCE9431645EC}">
                        <a14:shadowObscured xmlns:a14="http://schemas.microsoft.com/office/drawing/2010/main"/>
                      </a:ext>
                    </a:extLst>
                  </pic:spPr>
                </pic:pic>
              </a:graphicData>
            </a:graphic>
          </wp:inline>
        </w:drawing>
      </w:r>
    </w:p>
    <w:p w14:paraId="27F30092" w14:textId="16928789" w:rsidR="00B24D16" w:rsidRPr="00E0075F" w:rsidRDefault="00B24D16" w:rsidP="00B24D16">
      <w:pPr>
        <w:spacing w:after="0" w:line="240" w:lineRule="auto"/>
        <w:jc w:val="both"/>
        <w:rPr>
          <w:rFonts w:ascii="Book Antiqua" w:hAnsi="Book Antiqua"/>
          <w:b/>
          <w:bCs/>
          <w:color w:val="0D0D0D" w:themeColor="text1" w:themeTint="F2"/>
          <w:sz w:val="18"/>
          <w:szCs w:val="18"/>
          <w:lang w:val="en-US"/>
        </w:rPr>
      </w:pPr>
      <w:r w:rsidRPr="00E0075F">
        <w:rPr>
          <w:rFonts w:ascii="Book Antiqua" w:hAnsi="Book Antiqua"/>
          <w:b/>
          <w:bCs/>
          <w:color w:val="0D0D0D" w:themeColor="text1" w:themeTint="F2"/>
          <w:sz w:val="18"/>
          <w:szCs w:val="18"/>
          <w:lang w:val="en-US"/>
        </w:rPr>
        <w:t xml:space="preserve">Figure </w:t>
      </w:r>
      <w:r>
        <w:rPr>
          <w:rFonts w:ascii="Book Antiqua" w:hAnsi="Book Antiqua"/>
          <w:b/>
          <w:bCs/>
          <w:color w:val="0D0D0D" w:themeColor="text1" w:themeTint="F2"/>
          <w:sz w:val="18"/>
          <w:szCs w:val="18"/>
          <w:lang w:val="en-US"/>
        </w:rPr>
        <w:t>S1</w:t>
      </w:r>
      <w:r w:rsidR="00E119E2">
        <w:rPr>
          <w:rFonts w:ascii="Book Antiqua" w:hAnsi="Book Antiqua"/>
          <w:b/>
          <w:bCs/>
          <w:color w:val="0D0D0D" w:themeColor="text1" w:themeTint="F2"/>
          <w:sz w:val="18"/>
          <w:szCs w:val="18"/>
          <w:lang w:val="en-US"/>
        </w:rPr>
        <w:t>4</w:t>
      </w:r>
      <w:r w:rsidRPr="00E0075F">
        <w:rPr>
          <w:rFonts w:ascii="Book Antiqua" w:hAnsi="Book Antiqua"/>
          <w:color w:val="0D0D0D" w:themeColor="text1" w:themeTint="F2"/>
          <w:sz w:val="18"/>
          <w:szCs w:val="18"/>
          <w:lang w:val="en-US"/>
        </w:rPr>
        <w:t xml:space="preserve"> </w:t>
      </w:r>
      <w:r w:rsidRPr="00E0075F">
        <w:rPr>
          <w:rFonts w:ascii="Book Antiqua" w:hAnsi="Book Antiqua"/>
          <w:b/>
          <w:bCs/>
          <w:color w:val="0D0D0D" w:themeColor="text1" w:themeTint="F2"/>
          <w:sz w:val="18"/>
          <w:szCs w:val="18"/>
          <w:lang w:val="en-US"/>
        </w:rPr>
        <w:t xml:space="preserve">Within-specimen (Chao1) diversity measured </w:t>
      </w:r>
      <w:r>
        <w:rPr>
          <w:rFonts w:ascii="Book Antiqua" w:hAnsi="Book Antiqua"/>
          <w:b/>
          <w:bCs/>
          <w:color w:val="0D0D0D" w:themeColor="text1" w:themeTint="F2"/>
          <w:sz w:val="18"/>
          <w:szCs w:val="18"/>
          <w:lang w:val="en-US"/>
        </w:rPr>
        <w:t>from</w:t>
      </w:r>
      <w:r w:rsidRPr="00E0075F">
        <w:rPr>
          <w:rFonts w:ascii="Book Antiqua" w:hAnsi="Book Antiqua"/>
          <w:b/>
          <w:bCs/>
          <w:color w:val="0D0D0D" w:themeColor="text1" w:themeTint="F2"/>
          <w:sz w:val="18"/>
          <w:szCs w:val="18"/>
          <w:lang w:val="en-US"/>
        </w:rPr>
        <w:t xml:space="preserve"> comparison groups during the first year of life. </w:t>
      </w:r>
    </w:p>
    <w:p w14:paraId="3069A7D9" w14:textId="77777777" w:rsidR="00B24D16" w:rsidRPr="00E0075F" w:rsidRDefault="00B24D16" w:rsidP="00B24D16">
      <w:pPr>
        <w:spacing w:after="0" w:line="240" w:lineRule="auto"/>
        <w:jc w:val="both"/>
        <w:rPr>
          <w:rFonts w:ascii="Book Antiqua" w:hAnsi="Book Antiqua"/>
          <w:color w:val="0D0D0D" w:themeColor="text1" w:themeTint="F2"/>
          <w:sz w:val="18"/>
          <w:szCs w:val="18"/>
          <w:lang w:val="en-US"/>
        </w:rPr>
      </w:pPr>
      <w:r w:rsidRPr="00E0075F">
        <w:rPr>
          <w:rFonts w:ascii="Book Antiqua" w:hAnsi="Book Antiqua"/>
          <w:color w:val="0D0D0D" w:themeColor="text1" w:themeTint="F2"/>
          <w:sz w:val="18"/>
          <w:szCs w:val="18"/>
          <w:lang w:val="en-US"/>
        </w:rPr>
        <w:t xml:space="preserve">Boxplots represent Chao1 diversity indices measured from specimens at monthly intervals during the first year of life. Specimen collection timepoints are grouped into three intervals </w:t>
      </w:r>
      <w:r>
        <w:rPr>
          <w:rFonts w:ascii="Book Antiqua" w:hAnsi="Book Antiqua"/>
          <w:color w:val="0D0D0D" w:themeColor="text1" w:themeTint="F2"/>
          <w:sz w:val="18"/>
          <w:szCs w:val="18"/>
          <w:lang w:val="en-US"/>
        </w:rPr>
        <w:t>(</w:t>
      </w:r>
      <w:r w:rsidRPr="00EF7E48">
        <w:rPr>
          <w:rFonts w:ascii="Book Antiqua" w:hAnsi="Book Antiqua"/>
          <w:color w:val="0D0D0D" w:themeColor="text1" w:themeTint="F2"/>
          <w:sz w:val="18"/>
          <w:szCs w:val="18"/>
          <w:lang w:val="en-US"/>
        </w:rPr>
        <w:t xml:space="preserve">interval A: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01-</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03</w:t>
      </w:r>
      <w:r>
        <w:rPr>
          <w:rFonts w:ascii="Book Antiqua" w:hAnsi="Book Antiqua"/>
          <w:color w:val="0D0D0D" w:themeColor="text1" w:themeTint="F2"/>
          <w:sz w:val="18"/>
          <w:szCs w:val="18"/>
          <w:lang w:val="en-US"/>
        </w:rPr>
        <w:t xml:space="preserve">, </w:t>
      </w:r>
      <w:r w:rsidRPr="00EF7E48">
        <w:rPr>
          <w:rFonts w:ascii="Book Antiqua" w:hAnsi="Book Antiqua"/>
          <w:color w:val="0D0D0D" w:themeColor="text1" w:themeTint="F2"/>
          <w:sz w:val="18"/>
          <w:szCs w:val="18"/>
          <w:lang w:val="en-US"/>
        </w:rPr>
        <w:t xml:space="preserve">interval B: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04-</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06</w:t>
      </w:r>
      <w:r>
        <w:rPr>
          <w:rFonts w:ascii="Book Antiqua" w:hAnsi="Book Antiqua"/>
          <w:color w:val="0D0D0D" w:themeColor="text1" w:themeTint="F2"/>
          <w:sz w:val="18"/>
          <w:szCs w:val="18"/>
          <w:lang w:val="en-US"/>
        </w:rPr>
        <w:t xml:space="preserve">, </w:t>
      </w:r>
      <w:r w:rsidRPr="00EF7E48">
        <w:rPr>
          <w:rFonts w:ascii="Book Antiqua" w:hAnsi="Book Antiqua"/>
          <w:color w:val="0D0D0D" w:themeColor="text1" w:themeTint="F2"/>
          <w:sz w:val="18"/>
          <w:szCs w:val="18"/>
          <w:lang w:val="en-US"/>
        </w:rPr>
        <w:t xml:space="preserve">and interval C: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07-</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12</w:t>
      </w:r>
      <w:r>
        <w:rPr>
          <w:rFonts w:ascii="Book Antiqua" w:hAnsi="Book Antiqua"/>
          <w:color w:val="0D0D0D" w:themeColor="text1" w:themeTint="F2"/>
          <w:sz w:val="18"/>
          <w:szCs w:val="18"/>
          <w:lang w:val="en-US"/>
        </w:rPr>
        <w:t>)</w:t>
      </w:r>
      <w:r w:rsidRPr="00E0075F">
        <w:rPr>
          <w:rFonts w:ascii="Book Antiqua" w:hAnsi="Book Antiqua"/>
          <w:color w:val="0D0D0D" w:themeColor="text1" w:themeTint="F2"/>
          <w:sz w:val="18"/>
          <w:szCs w:val="18"/>
          <w:lang w:val="en-US"/>
        </w:rPr>
        <w:t>. Mixed Linear Models (MLMs) were built for each of the three specimen collection intervals to investigate associations between Chao1 diversity and covariates. Median values are presented by horizontal lines within each of the boxplots while upper and lower ranges of the boxplots represent the 75% and 25% quartiles, respectively. Maximum and minimum values, excluding outliers, are presented by whiskers. Dots at each of the timepoints represent mean values. Each connecting line between boxplots within a specimen collection interval represents changes in Chao1 diversity indices for each of the participants. All p-values were adjusted for confounders. Statistically significant p-values are shown presented in red font.</w:t>
      </w:r>
    </w:p>
    <w:p w14:paraId="6058FC42" w14:textId="77777777" w:rsidR="00B24D16" w:rsidRDefault="00B24D16" w:rsidP="00B24D16">
      <w:pPr>
        <w:spacing w:after="0" w:line="360" w:lineRule="auto"/>
        <w:jc w:val="both"/>
        <w:rPr>
          <w:rFonts w:ascii="Book Antiqua" w:hAnsi="Book Antiqua"/>
          <w:bCs/>
          <w:color w:val="0D0D0D" w:themeColor="text1" w:themeTint="F2"/>
        </w:rPr>
      </w:pPr>
    </w:p>
    <w:p w14:paraId="50D2544E" w14:textId="7F915CC5" w:rsidR="00B24D16" w:rsidRDefault="0001097F" w:rsidP="00B24D16">
      <w:pPr>
        <w:spacing w:after="0" w:line="360" w:lineRule="auto"/>
        <w:jc w:val="center"/>
        <w:rPr>
          <w:rFonts w:ascii="Book Antiqua" w:hAnsi="Book Antiqua"/>
          <w:bCs/>
          <w:color w:val="0D0D0D" w:themeColor="text1" w:themeTint="F2"/>
        </w:rPr>
      </w:pPr>
      <w:r>
        <w:rPr>
          <w:rFonts w:ascii="Book Antiqua" w:hAnsi="Book Antiqua"/>
          <w:bCs/>
          <w:noProof/>
          <w:color w:val="0D0D0D" w:themeColor="text1" w:themeTint="F2"/>
        </w:rPr>
        <w:lastRenderedPageBreak/>
        <w:drawing>
          <wp:inline distT="0" distB="0" distL="0" distR="0" wp14:anchorId="06A0FC30" wp14:editId="7B23C0D7">
            <wp:extent cx="5645426" cy="5689268"/>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2" cstate="print">
                      <a:extLst>
                        <a:ext uri="{28A0092B-C50C-407E-A947-70E740481C1C}">
                          <a14:useLocalDpi xmlns:a14="http://schemas.microsoft.com/office/drawing/2010/main" val="0"/>
                        </a:ext>
                      </a:extLst>
                    </a:blip>
                    <a:srcRect l="925" r="571"/>
                    <a:stretch/>
                  </pic:blipFill>
                  <pic:spPr bwMode="auto">
                    <a:xfrm>
                      <a:off x="0" y="0"/>
                      <a:ext cx="5645755" cy="5689600"/>
                    </a:xfrm>
                    <a:prstGeom prst="rect">
                      <a:avLst/>
                    </a:prstGeom>
                    <a:ln>
                      <a:noFill/>
                    </a:ln>
                    <a:extLst>
                      <a:ext uri="{53640926-AAD7-44D8-BBD7-CCE9431645EC}">
                        <a14:shadowObscured xmlns:a14="http://schemas.microsoft.com/office/drawing/2010/main"/>
                      </a:ext>
                    </a:extLst>
                  </pic:spPr>
                </pic:pic>
              </a:graphicData>
            </a:graphic>
          </wp:inline>
        </w:drawing>
      </w:r>
    </w:p>
    <w:p w14:paraId="2FF9167E" w14:textId="0E203CB1" w:rsidR="00B24D16" w:rsidRPr="00E0075F" w:rsidRDefault="00B24D16" w:rsidP="00B24D16">
      <w:pPr>
        <w:spacing w:after="0" w:line="240" w:lineRule="auto"/>
        <w:jc w:val="both"/>
        <w:rPr>
          <w:rFonts w:ascii="Book Antiqua" w:hAnsi="Book Antiqua"/>
          <w:b/>
          <w:bCs/>
          <w:color w:val="0D0D0D" w:themeColor="text1" w:themeTint="F2"/>
          <w:sz w:val="18"/>
          <w:szCs w:val="18"/>
          <w:lang w:val="en-US"/>
        </w:rPr>
      </w:pPr>
      <w:r w:rsidRPr="00E0075F">
        <w:rPr>
          <w:rFonts w:ascii="Book Antiqua" w:hAnsi="Book Antiqua"/>
          <w:b/>
          <w:bCs/>
          <w:color w:val="0D0D0D" w:themeColor="text1" w:themeTint="F2"/>
          <w:sz w:val="18"/>
          <w:szCs w:val="18"/>
          <w:lang w:val="en-US"/>
        </w:rPr>
        <w:t xml:space="preserve">Figure </w:t>
      </w:r>
      <w:r>
        <w:rPr>
          <w:rFonts w:ascii="Book Antiqua" w:hAnsi="Book Antiqua"/>
          <w:b/>
          <w:bCs/>
          <w:color w:val="0D0D0D" w:themeColor="text1" w:themeTint="F2"/>
          <w:sz w:val="18"/>
          <w:szCs w:val="18"/>
          <w:lang w:val="en-US"/>
        </w:rPr>
        <w:t>S1</w:t>
      </w:r>
      <w:r w:rsidR="005F4E22">
        <w:rPr>
          <w:rFonts w:ascii="Book Antiqua" w:hAnsi="Book Antiqua"/>
          <w:b/>
          <w:bCs/>
          <w:color w:val="0D0D0D" w:themeColor="text1" w:themeTint="F2"/>
          <w:sz w:val="18"/>
          <w:szCs w:val="18"/>
          <w:lang w:val="en-US"/>
        </w:rPr>
        <w:t>5</w:t>
      </w:r>
      <w:r w:rsidRPr="00E0075F">
        <w:rPr>
          <w:rFonts w:ascii="Book Antiqua" w:hAnsi="Book Antiqua"/>
          <w:b/>
          <w:bCs/>
          <w:color w:val="0D0D0D" w:themeColor="text1" w:themeTint="F2"/>
          <w:sz w:val="18"/>
          <w:szCs w:val="18"/>
          <w:lang w:val="en-US"/>
        </w:rPr>
        <w:t xml:space="preserve"> Between-specimen (Aitchison distance) diversity measured within and between covariate </w:t>
      </w:r>
      <w:r w:rsidR="009A1DE4">
        <w:rPr>
          <w:rFonts w:ascii="Book Antiqua" w:hAnsi="Book Antiqua"/>
          <w:b/>
          <w:bCs/>
          <w:color w:val="0D0D0D" w:themeColor="text1" w:themeTint="F2"/>
          <w:sz w:val="18"/>
          <w:szCs w:val="18"/>
          <w:lang w:val="en-US"/>
        </w:rPr>
        <w:t>groups</w:t>
      </w:r>
      <w:r w:rsidRPr="00E0075F">
        <w:rPr>
          <w:rFonts w:ascii="Book Antiqua" w:hAnsi="Book Antiqua"/>
          <w:b/>
          <w:bCs/>
          <w:color w:val="0D0D0D" w:themeColor="text1" w:themeTint="F2"/>
          <w:sz w:val="18"/>
          <w:szCs w:val="18"/>
          <w:lang w:val="en-US"/>
        </w:rPr>
        <w:t xml:space="preserve"> </w:t>
      </w:r>
      <w:r w:rsidR="005D5EB7">
        <w:rPr>
          <w:rFonts w:ascii="Book Antiqua" w:hAnsi="Book Antiqua"/>
          <w:b/>
          <w:bCs/>
          <w:color w:val="0D0D0D" w:themeColor="text1" w:themeTint="F2"/>
          <w:sz w:val="18"/>
          <w:szCs w:val="18"/>
          <w:lang w:val="en-US"/>
        </w:rPr>
        <w:t xml:space="preserve">at five timepoints </w:t>
      </w:r>
      <w:r w:rsidRPr="00E0075F">
        <w:rPr>
          <w:rFonts w:ascii="Book Antiqua" w:hAnsi="Book Antiqua"/>
          <w:b/>
          <w:bCs/>
          <w:color w:val="0D0D0D" w:themeColor="text1" w:themeTint="F2"/>
          <w:sz w:val="18"/>
          <w:szCs w:val="18"/>
          <w:lang w:val="en-US"/>
        </w:rPr>
        <w:t xml:space="preserve">during the first year of life. </w:t>
      </w:r>
    </w:p>
    <w:p w14:paraId="01E0B7AB" w14:textId="2D5B04C9" w:rsidR="00B24D16" w:rsidRPr="00E0075F" w:rsidRDefault="00B24D16" w:rsidP="00B24D16">
      <w:pPr>
        <w:spacing w:after="0" w:line="240" w:lineRule="auto"/>
        <w:jc w:val="both"/>
        <w:rPr>
          <w:rFonts w:ascii="Book Antiqua" w:hAnsi="Book Antiqua"/>
          <w:color w:val="0D0D0D" w:themeColor="text1" w:themeTint="F2"/>
          <w:sz w:val="18"/>
          <w:szCs w:val="18"/>
          <w:lang w:val="en-US"/>
        </w:rPr>
      </w:pPr>
      <w:r w:rsidRPr="00E0075F">
        <w:rPr>
          <w:rFonts w:ascii="Book Antiqua" w:hAnsi="Book Antiqua"/>
          <w:color w:val="0D0D0D" w:themeColor="text1" w:themeTint="F2"/>
          <w:sz w:val="18"/>
          <w:szCs w:val="18"/>
          <w:lang w:val="en-US"/>
        </w:rPr>
        <w:t xml:space="preserve">Boxplots represent beta diversity (Aitchison distance) measured </w:t>
      </w:r>
      <w:r w:rsidR="00741556">
        <w:rPr>
          <w:rFonts w:ascii="Book Antiqua" w:hAnsi="Book Antiqua"/>
          <w:color w:val="0D0D0D" w:themeColor="text1" w:themeTint="F2"/>
          <w:sz w:val="18"/>
          <w:szCs w:val="18"/>
          <w:lang w:val="en-US"/>
        </w:rPr>
        <w:t>between</w:t>
      </w:r>
      <w:r w:rsidRPr="00E0075F">
        <w:rPr>
          <w:rFonts w:ascii="Book Antiqua" w:hAnsi="Book Antiqua"/>
          <w:color w:val="0D0D0D" w:themeColor="text1" w:themeTint="F2"/>
          <w:sz w:val="18"/>
          <w:szCs w:val="18"/>
          <w:lang w:val="en-US"/>
        </w:rPr>
        <w:t xml:space="preserve"> specimens </w:t>
      </w:r>
      <w:r w:rsidR="005D5EB7">
        <w:rPr>
          <w:rFonts w:ascii="Book Antiqua" w:hAnsi="Book Antiqua"/>
          <w:color w:val="0D0D0D" w:themeColor="text1" w:themeTint="F2"/>
          <w:sz w:val="18"/>
          <w:szCs w:val="18"/>
          <w:lang w:val="en-US"/>
        </w:rPr>
        <w:t>at five timepoints (M01, M03, M06, M09 and M12)</w:t>
      </w:r>
      <w:r w:rsidRPr="00E0075F">
        <w:rPr>
          <w:rFonts w:ascii="Book Antiqua" w:hAnsi="Book Antiqua"/>
          <w:color w:val="0D0D0D" w:themeColor="text1" w:themeTint="F2"/>
          <w:sz w:val="18"/>
          <w:szCs w:val="18"/>
          <w:lang w:val="en-US"/>
        </w:rPr>
        <w:t xml:space="preserve">. Boxplots colors correspond to covariate </w:t>
      </w:r>
      <w:r w:rsidR="009A1DE4">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Each color-filled boxplot represents pairwise specimen beta diversi</w:t>
      </w:r>
      <w:r>
        <w:rPr>
          <w:rFonts w:ascii="Book Antiqua" w:hAnsi="Book Antiqua"/>
          <w:color w:val="0D0D0D" w:themeColor="text1" w:themeTint="F2"/>
          <w:sz w:val="18"/>
          <w:szCs w:val="18"/>
          <w:lang w:val="en-US"/>
        </w:rPr>
        <w:t>ty</w:t>
      </w:r>
      <w:r w:rsidRPr="00E0075F">
        <w:rPr>
          <w:rFonts w:ascii="Book Antiqua" w:hAnsi="Book Antiqua"/>
          <w:color w:val="0D0D0D" w:themeColor="text1" w:themeTint="F2"/>
          <w:sz w:val="18"/>
          <w:szCs w:val="18"/>
          <w:lang w:val="en-US"/>
        </w:rPr>
        <w:t xml:space="preserve"> within the covariate level (within-level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Each grey filled boxplot represents pairwise specimen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between different </w:t>
      </w:r>
      <w:r w:rsidR="009A1DE4">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xml:space="preserve"> of the covariate tested (between-level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Each grey boxplot has two dots above and below the median which correspond to the </w:t>
      </w:r>
      <w:r w:rsidR="009A1DE4">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xml:space="preserve"> for which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w:t>
      </w:r>
      <w:r>
        <w:rPr>
          <w:rFonts w:ascii="Book Antiqua" w:hAnsi="Book Antiqua"/>
          <w:color w:val="0D0D0D" w:themeColor="text1" w:themeTint="F2"/>
          <w:sz w:val="18"/>
          <w:szCs w:val="18"/>
          <w:lang w:val="en-US"/>
        </w:rPr>
        <w:t>is</w:t>
      </w:r>
      <w:r w:rsidRPr="00E0075F">
        <w:rPr>
          <w:rFonts w:ascii="Book Antiqua" w:hAnsi="Book Antiqua"/>
          <w:color w:val="0D0D0D" w:themeColor="text1" w:themeTint="F2"/>
          <w:sz w:val="18"/>
          <w:szCs w:val="18"/>
          <w:lang w:val="en-US"/>
        </w:rPr>
        <w:t xml:space="preserve"> being compared. Median values are presented by horizontal lines within each of the boxplots while upper and lower ranges of the boxplots represent the 75% and 25% quartiles, respectively. Maximum and minimum values, excluding outliers, are presented by whiskers. All p-values were adjusted for confounders. P-values in brackets were corrected using the </w:t>
      </w:r>
      <w:proofErr w:type="spellStart"/>
      <w:r w:rsidRPr="00E0075F">
        <w:rPr>
          <w:rFonts w:ascii="Book Antiqua" w:hAnsi="Book Antiqua"/>
          <w:color w:val="0D0D0D" w:themeColor="text1" w:themeTint="F2"/>
          <w:sz w:val="18"/>
          <w:szCs w:val="18"/>
          <w:lang w:val="en-US"/>
        </w:rPr>
        <w:t>Benjamini</w:t>
      </w:r>
      <w:proofErr w:type="spellEnd"/>
      <w:r w:rsidRPr="00E0075F">
        <w:rPr>
          <w:rFonts w:ascii="Book Antiqua" w:hAnsi="Book Antiqua"/>
          <w:color w:val="0D0D0D" w:themeColor="text1" w:themeTint="F2"/>
          <w:sz w:val="18"/>
          <w:szCs w:val="18"/>
          <w:lang w:val="en-US"/>
        </w:rPr>
        <w:t>-Hochberg (BH) adjustment for false discovery rate. Statistically significant p-values are presented in red font.</w:t>
      </w:r>
    </w:p>
    <w:p w14:paraId="24F2D112" w14:textId="6B635388" w:rsidR="00B24D16" w:rsidRDefault="00B418B4" w:rsidP="00B24D16">
      <w:pPr>
        <w:spacing w:after="0" w:line="360" w:lineRule="auto"/>
        <w:jc w:val="center"/>
        <w:rPr>
          <w:rFonts w:ascii="Book Antiqua" w:hAnsi="Book Antiqua"/>
          <w:bCs/>
          <w:color w:val="0D0D0D" w:themeColor="text1" w:themeTint="F2"/>
        </w:rPr>
      </w:pPr>
      <w:r>
        <w:rPr>
          <w:rFonts w:ascii="Book Antiqua" w:hAnsi="Book Antiqua"/>
          <w:bCs/>
          <w:noProof/>
          <w:color w:val="0D0D0D" w:themeColor="text1" w:themeTint="F2"/>
        </w:rPr>
        <w:lastRenderedPageBreak/>
        <w:drawing>
          <wp:inline distT="0" distB="0" distL="0" distR="0" wp14:anchorId="5C888409" wp14:editId="66F7E944">
            <wp:extent cx="5654278" cy="586723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3" cstate="print">
                      <a:extLst>
                        <a:ext uri="{28A0092B-C50C-407E-A947-70E740481C1C}">
                          <a14:useLocalDpi xmlns:a14="http://schemas.microsoft.com/office/drawing/2010/main" val="0"/>
                        </a:ext>
                      </a:extLst>
                    </a:blip>
                    <a:srcRect l="873" r="472"/>
                    <a:stretch/>
                  </pic:blipFill>
                  <pic:spPr bwMode="auto">
                    <a:xfrm>
                      <a:off x="0" y="0"/>
                      <a:ext cx="5654436" cy="5867400"/>
                    </a:xfrm>
                    <a:prstGeom prst="rect">
                      <a:avLst/>
                    </a:prstGeom>
                    <a:ln>
                      <a:noFill/>
                    </a:ln>
                    <a:extLst>
                      <a:ext uri="{53640926-AAD7-44D8-BBD7-CCE9431645EC}">
                        <a14:shadowObscured xmlns:a14="http://schemas.microsoft.com/office/drawing/2010/main"/>
                      </a:ext>
                    </a:extLst>
                  </pic:spPr>
                </pic:pic>
              </a:graphicData>
            </a:graphic>
          </wp:inline>
        </w:drawing>
      </w:r>
    </w:p>
    <w:p w14:paraId="124B70FE" w14:textId="1D298629" w:rsidR="00B24D16" w:rsidRPr="00E0075F" w:rsidRDefault="00B24D16" w:rsidP="00B24D16">
      <w:pPr>
        <w:spacing w:after="0" w:line="240" w:lineRule="auto"/>
        <w:jc w:val="both"/>
        <w:rPr>
          <w:rFonts w:ascii="Book Antiqua" w:hAnsi="Book Antiqua"/>
          <w:b/>
          <w:bCs/>
          <w:color w:val="0D0D0D" w:themeColor="text1" w:themeTint="F2"/>
          <w:sz w:val="18"/>
          <w:szCs w:val="18"/>
          <w:lang w:val="en-US"/>
        </w:rPr>
      </w:pPr>
      <w:r w:rsidRPr="00E0075F">
        <w:rPr>
          <w:rFonts w:ascii="Book Antiqua" w:hAnsi="Book Antiqua"/>
          <w:b/>
          <w:bCs/>
          <w:color w:val="0D0D0D" w:themeColor="text1" w:themeTint="F2"/>
          <w:sz w:val="18"/>
          <w:szCs w:val="18"/>
          <w:lang w:val="en-US"/>
        </w:rPr>
        <w:t xml:space="preserve">Figure </w:t>
      </w:r>
      <w:r>
        <w:rPr>
          <w:rFonts w:ascii="Book Antiqua" w:hAnsi="Book Antiqua"/>
          <w:b/>
          <w:bCs/>
          <w:color w:val="0D0D0D" w:themeColor="text1" w:themeTint="F2"/>
          <w:sz w:val="18"/>
          <w:szCs w:val="18"/>
          <w:lang w:val="en-US"/>
        </w:rPr>
        <w:t>S1</w:t>
      </w:r>
      <w:r w:rsidR="005F4E22">
        <w:rPr>
          <w:rFonts w:ascii="Book Antiqua" w:hAnsi="Book Antiqua"/>
          <w:b/>
          <w:bCs/>
          <w:color w:val="0D0D0D" w:themeColor="text1" w:themeTint="F2"/>
          <w:sz w:val="18"/>
          <w:szCs w:val="18"/>
          <w:lang w:val="en-US"/>
        </w:rPr>
        <w:t>6</w:t>
      </w:r>
      <w:r w:rsidRPr="00E0075F">
        <w:rPr>
          <w:rFonts w:ascii="Book Antiqua" w:hAnsi="Book Antiqua"/>
          <w:b/>
          <w:bCs/>
          <w:color w:val="0D0D0D" w:themeColor="text1" w:themeTint="F2"/>
          <w:sz w:val="18"/>
          <w:szCs w:val="18"/>
          <w:lang w:val="en-US"/>
        </w:rPr>
        <w:t xml:space="preserve"> Between-specimen (Bray-</w:t>
      </w:r>
      <w:proofErr w:type="gramStart"/>
      <w:r w:rsidRPr="00E0075F">
        <w:rPr>
          <w:rFonts w:ascii="Book Antiqua" w:hAnsi="Book Antiqua"/>
          <w:b/>
          <w:bCs/>
          <w:color w:val="0D0D0D" w:themeColor="text1" w:themeTint="F2"/>
          <w:sz w:val="18"/>
          <w:szCs w:val="18"/>
          <w:lang w:val="en-US"/>
        </w:rPr>
        <w:t>Curtis</w:t>
      </w:r>
      <w:proofErr w:type="gramEnd"/>
      <w:r w:rsidRPr="00E0075F">
        <w:rPr>
          <w:rFonts w:ascii="Book Antiqua" w:hAnsi="Book Antiqua"/>
          <w:b/>
          <w:bCs/>
          <w:color w:val="0D0D0D" w:themeColor="text1" w:themeTint="F2"/>
          <w:sz w:val="18"/>
          <w:szCs w:val="18"/>
          <w:lang w:val="en-US"/>
        </w:rPr>
        <w:t xml:space="preserve"> dissimilarity) diversity measured within and between covariate </w:t>
      </w:r>
      <w:r w:rsidR="009A1DE4">
        <w:rPr>
          <w:rFonts w:ascii="Book Antiqua" w:hAnsi="Book Antiqua"/>
          <w:b/>
          <w:bCs/>
          <w:color w:val="0D0D0D" w:themeColor="text1" w:themeTint="F2"/>
          <w:sz w:val="18"/>
          <w:szCs w:val="18"/>
          <w:lang w:val="en-US"/>
        </w:rPr>
        <w:t>groups</w:t>
      </w:r>
      <w:r w:rsidRPr="00E0075F">
        <w:rPr>
          <w:rFonts w:ascii="Book Antiqua" w:hAnsi="Book Antiqua"/>
          <w:b/>
          <w:bCs/>
          <w:color w:val="0D0D0D" w:themeColor="text1" w:themeTint="F2"/>
          <w:sz w:val="18"/>
          <w:szCs w:val="18"/>
          <w:lang w:val="en-US"/>
        </w:rPr>
        <w:t xml:space="preserve"> </w:t>
      </w:r>
      <w:r w:rsidR="00BD08D2">
        <w:rPr>
          <w:rFonts w:ascii="Book Antiqua" w:hAnsi="Book Antiqua"/>
          <w:b/>
          <w:bCs/>
          <w:color w:val="0D0D0D" w:themeColor="text1" w:themeTint="F2"/>
          <w:sz w:val="18"/>
          <w:szCs w:val="18"/>
          <w:lang w:val="en-US"/>
        </w:rPr>
        <w:t>at five timepoints during</w:t>
      </w:r>
      <w:r w:rsidR="00080060">
        <w:rPr>
          <w:rFonts w:ascii="Book Antiqua" w:hAnsi="Book Antiqua"/>
          <w:b/>
          <w:bCs/>
          <w:color w:val="0D0D0D" w:themeColor="text1" w:themeTint="F2"/>
          <w:sz w:val="18"/>
          <w:szCs w:val="18"/>
          <w:lang w:val="en-US"/>
        </w:rPr>
        <w:t xml:space="preserve"> the</w:t>
      </w:r>
      <w:r w:rsidRPr="00E0075F">
        <w:rPr>
          <w:rFonts w:ascii="Book Antiqua" w:hAnsi="Book Antiqua"/>
          <w:b/>
          <w:bCs/>
          <w:color w:val="0D0D0D" w:themeColor="text1" w:themeTint="F2"/>
          <w:sz w:val="18"/>
          <w:szCs w:val="18"/>
          <w:lang w:val="en-US"/>
        </w:rPr>
        <w:t xml:space="preserve"> first year of life. </w:t>
      </w:r>
    </w:p>
    <w:p w14:paraId="733A7565" w14:textId="52C21F5F" w:rsidR="00B24D16" w:rsidRPr="00E0075F" w:rsidRDefault="00B24D16" w:rsidP="00B24D16">
      <w:pPr>
        <w:spacing w:after="0" w:line="240" w:lineRule="auto"/>
        <w:jc w:val="both"/>
        <w:rPr>
          <w:rFonts w:ascii="Book Antiqua" w:hAnsi="Book Antiqua"/>
          <w:color w:val="0D0D0D" w:themeColor="text1" w:themeTint="F2"/>
          <w:sz w:val="18"/>
          <w:szCs w:val="18"/>
          <w:lang w:val="en-US"/>
        </w:rPr>
      </w:pPr>
      <w:r w:rsidRPr="00E0075F">
        <w:rPr>
          <w:rFonts w:ascii="Book Antiqua" w:hAnsi="Book Antiqua"/>
          <w:color w:val="0D0D0D" w:themeColor="text1" w:themeTint="F2"/>
          <w:sz w:val="18"/>
          <w:szCs w:val="18"/>
          <w:lang w:val="en-US"/>
        </w:rPr>
        <w:t>Boxplots represent beta diversity (Bray-</w:t>
      </w:r>
      <w:proofErr w:type="gramStart"/>
      <w:r w:rsidRPr="00E0075F">
        <w:rPr>
          <w:rFonts w:ascii="Book Antiqua" w:hAnsi="Book Antiqua"/>
          <w:color w:val="0D0D0D" w:themeColor="text1" w:themeTint="F2"/>
          <w:sz w:val="18"/>
          <w:szCs w:val="18"/>
          <w:lang w:val="en-US"/>
        </w:rPr>
        <w:t>Curtis</w:t>
      </w:r>
      <w:proofErr w:type="gramEnd"/>
      <w:r w:rsidRPr="00E0075F">
        <w:rPr>
          <w:rFonts w:ascii="Book Antiqua" w:hAnsi="Book Antiqua"/>
          <w:color w:val="0D0D0D" w:themeColor="text1" w:themeTint="F2"/>
          <w:sz w:val="18"/>
          <w:szCs w:val="18"/>
          <w:lang w:val="en-US"/>
        </w:rPr>
        <w:t xml:space="preserve"> dissimilarity) measured </w:t>
      </w:r>
      <w:r w:rsidR="00080060">
        <w:rPr>
          <w:rFonts w:ascii="Book Antiqua" w:hAnsi="Book Antiqua"/>
          <w:color w:val="0D0D0D" w:themeColor="text1" w:themeTint="F2"/>
          <w:sz w:val="18"/>
          <w:szCs w:val="18"/>
          <w:lang w:val="en-US"/>
        </w:rPr>
        <w:t>between</w:t>
      </w:r>
      <w:r w:rsidRPr="00E0075F">
        <w:rPr>
          <w:rFonts w:ascii="Book Antiqua" w:hAnsi="Book Antiqua"/>
          <w:color w:val="0D0D0D" w:themeColor="text1" w:themeTint="F2"/>
          <w:sz w:val="18"/>
          <w:szCs w:val="18"/>
          <w:lang w:val="en-US"/>
        </w:rPr>
        <w:t xml:space="preserve"> specimens </w:t>
      </w:r>
      <w:r w:rsidR="00080060">
        <w:rPr>
          <w:rFonts w:ascii="Book Antiqua" w:hAnsi="Book Antiqua"/>
          <w:color w:val="0D0D0D" w:themeColor="text1" w:themeTint="F2"/>
          <w:sz w:val="18"/>
          <w:szCs w:val="18"/>
          <w:lang w:val="en-US"/>
        </w:rPr>
        <w:t>at five timepoints (M01, M03, M06, M09 and M12)</w:t>
      </w:r>
      <w:r w:rsidRPr="00E0075F">
        <w:rPr>
          <w:rFonts w:ascii="Book Antiqua" w:hAnsi="Book Antiqua"/>
          <w:color w:val="0D0D0D" w:themeColor="text1" w:themeTint="F2"/>
          <w:sz w:val="18"/>
          <w:szCs w:val="18"/>
          <w:lang w:val="en-US"/>
        </w:rPr>
        <w:t xml:space="preserve">. Boxplots colors correspond to covariate </w:t>
      </w:r>
      <w:r w:rsidR="009A1DE4">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Each color-filled boxplot represents pairwise specimen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within the covariate level (within-level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Each grey filled boxplot represents pairwise specimen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between different </w:t>
      </w:r>
      <w:r w:rsidR="009A1DE4">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xml:space="preserve"> of the covariate tested (between-level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Each grey boxplot has two dots above and below the median which correspond to the </w:t>
      </w:r>
      <w:r w:rsidR="009A1DE4">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xml:space="preserve"> for which beta diversit</w:t>
      </w:r>
      <w:r>
        <w:rPr>
          <w:rFonts w:ascii="Book Antiqua" w:hAnsi="Book Antiqua"/>
          <w:color w:val="0D0D0D" w:themeColor="text1" w:themeTint="F2"/>
          <w:sz w:val="18"/>
          <w:szCs w:val="18"/>
          <w:lang w:val="en-US"/>
        </w:rPr>
        <w:t>y is</w:t>
      </w:r>
      <w:r w:rsidRPr="00E0075F">
        <w:rPr>
          <w:rFonts w:ascii="Book Antiqua" w:hAnsi="Book Antiqua"/>
          <w:color w:val="0D0D0D" w:themeColor="text1" w:themeTint="F2"/>
          <w:sz w:val="18"/>
          <w:szCs w:val="18"/>
          <w:lang w:val="en-US"/>
        </w:rPr>
        <w:t xml:space="preserve"> being compared. Median values are presented by horizontal lines within each of the boxplots while upper and lower ranges of the boxplots represent the 75% and 25% quartiles, respectively. Maximum and minimum values, excluding outliers, are presented by whiskers. All p-values were adjusted for confounders. P-values in brackets were corrected using the </w:t>
      </w:r>
      <w:proofErr w:type="spellStart"/>
      <w:r w:rsidRPr="00E0075F">
        <w:rPr>
          <w:rFonts w:ascii="Book Antiqua" w:hAnsi="Book Antiqua"/>
          <w:color w:val="0D0D0D" w:themeColor="text1" w:themeTint="F2"/>
          <w:sz w:val="18"/>
          <w:szCs w:val="18"/>
          <w:lang w:val="en-US"/>
        </w:rPr>
        <w:t>Benjamini</w:t>
      </w:r>
      <w:proofErr w:type="spellEnd"/>
      <w:r w:rsidRPr="00E0075F">
        <w:rPr>
          <w:rFonts w:ascii="Book Antiqua" w:hAnsi="Book Antiqua"/>
          <w:color w:val="0D0D0D" w:themeColor="text1" w:themeTint="F2"/>
          <w:sz w:val="18"/>
          <w:szCs w:val="18"/>
          <w:lang w:val="en-US"/>
        </w:rPr>
        <w:t>-Hochberg (BH) adjustment for false discovery rate. Statistically significant p-values are presented in red font.</w:t>
      </w:r>
    </w:p>
    <w:p w14:paraId="24B69B94" w14:textId="4DF9166B" w:rsidR="00B24D16" w:rsidRDefault="00374398" w:rsidP="00B24D16">
      <w:pPr>
        <w:jc w:val="center"/>
      </w:pPr>
      <w:r>
        <w:rPr>
          <w:noProof/>
        </w:rPr>
        <w:lastRenderedPageBreak/>
        <w:drawing>
          <wp:inline distT="0" distB="0" distL="0" distR="0" wp14:anchorId="67DDDA44" wp14:editId="2A19027E">
            <wp:extent cx="5760000" cy="58652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24" cstate="print">
                      <a:extLst>
                        <a:ext uri="{28A0092B-C50C-407E-A947-70E740481C1C}">
                          <a14:useLocalDpi xmlns:a14="http://schemas.microsoft.com/office/drawing/2010/main" val="0"/>
                        </a:ext>
                      </a:extLst>
                    </a:blip>
                    <a:srcRect l="1379" r="1939"/>
                    <a:stretch/>
                  </pic:blipFill>
                  <pic:spPr bwMode="auto">
                    <a:xfrm>
                      <a:off x="0" y="0"/>
                      <a:ext cx="5760000" cy="5865270"/>
                    </a:xfrm>
                    <a:prstGeom prst="rect">
                      <a:avLst/>
                    </a:prstGeom>
                    <a:ln>
                      <a:noFill/>
                    </a:ln>
                    <a:extLst>
                      <a:ext uri="{53640926-AAD7-44D8-BBD7-CCE9431645EC}">
                        <a14:shadowObscured xmlns:a14="http://schemas.microsoft.com/office/drawing/2010/main"/>
                      </a:ext>
                    </a:extLst>
                  </pic:spPr>
                </pic:pic>
              </a:graphicData>
            </a:graphic>
          </wp:inline>
        </w:drawing>
      </w:r>
    </w:p>
    <w:p w14:paraId="282A7772" w14:textId="3BED171E" w:rsidR="00B53A33" w:rsidRPr="00E0075F" w:rsidRDefault="00B53A33" w:rsidP="00B53A33">
      <w:pPr>
        <w:spacing w:after="0" w:line="240" w:lineRule="auto"/>
        <w:jc w:val="both"/>
        <w:rPr>
          <w:rFonts w:ascii="Book Antiqua" w:hAnsi="Book Antiqua"/>
          <w:b/>
          <w:bCs/>
          <w:color w:val="0D0D0D" w:themeColor="text1" w:themeTint="F2"/>
          <w:sz w:val="18"/>
          <w:szCs w:val="18"/>
          <w:lang w:val="en-US"/>
        </w:rPr>
      </w:pPr>
      <w:r w:rsidRPr="00E0075F">
        <w:rPr>
          <w:rFonts w:ascii="Book Antiqua" w:hAnsi="Book Antiqua"/>
          <w:b/>
          <w:bCs/>
          <w:color w:val="0D0D0D" w:themeColor="text1" w:themeTint="F2"/>
          <w:sz w:val="18"/>
          <w:szCs w:val="18"/>
          <w:lang w:val="en-US"/>
        </w:rPr>
        <w:t xml:space="preserve">Figure </w:t>
      </w:r>
      <w:r>
        <w:rPr>
          <w:rFonts w:ascii="Book Antiqua" w:hAnsi="Book Antiqua"/>
          <w:b/>
          <w:bCs/>
          <w:color w:val="0D0D0D" w:themeColor="text1" w:themeTint="F2"/>
          <w:sz w:val="18"/>
          <w:szCs w:val="18"/>
          <w:lang w:val="en-US"/>
        </w:rPr>
        <w:t>S1</w:t>
      </w:r>
      <w:r w:rsidR="005D6BDD">
        <w:rPr>
          <w:rFonts w:ascii="Book Antiqua" w:hAnsi="Book Antiqua"/>
          <w:b/>
          <w:bCs/>
          <w:color w:val="0D0D0D" w:themeColor="text1" w:themeTint="F2"/>
          <w:sz w:val="18"/>
          <w:szCs w:val="18"/>
          <w:lang w:val="en-US"/>
        </w:rPr>
        <w:t>7</w:t>
      </w:r>
      <w:r w:rsidRPr="00E0075F">
        <w:rPr>
          <w:rFonts w:ascii="Book Antiqua" w:hAnsi="Book Antiqua"/>
          <w:color w:val="0D0D0D" w:themeColor="text1" w:themeTint="F2"/>
          <w:sz w:val="18"/>
          <w:szCs w:val="18"/>
          <w:lang w:val="en-US"/>
        </w:rPr>
        <w:t xml:space="preserve"> </w:t>
      </w:r>
      <w:r w:rsidRPr="00E0075F">
        <w:rPr>
          <w:rFonts w:ascii="Book Antiqua" w:hAnsi="Book Antiqua"/>
          <w:b/>
          <w:bCs/>
          <w:color w:val="0D0D0D" w:themeColor="text1" w:themeTint="F2"/>
          <w:sz w:val="18"/>
          <w:szCs w:val="18"/>
          <w:lang w:val="en-US"/>
        </w:rPr>
        <w:t xml:space="preserve">Within-specimen (Shannon) diversity measured </w:t>
      </w:r>
      <w:r>
        <w:rPr>
          <w:rFonts w:ascii="Book Antiqua" w:hAnsi="Book Antiqua"/>
          <w:b/>
          <w:bCs/>
          <w:color w:val="0D0D0D" w:themeColor="text1" w:themeTint="F2"/>
          <w:sz w:val="18"/>
          <w:szCs w:val="18"/>
          <w:lang w:val="en-US"/>
        </w:rPr>
        <w:t>from</w:t>
      </w:r>
      <w:r w:rsidRPr="00E0075F">
        <w:rPr>
          <w:rFonts w:ascii="Book Antiqua" w:hAnsi="Book Antiqua"/>
          <w:b/>
          <w:bCs/>
          <w:color w:val="0D0D0D" w:themeColor="text1" w:themeTint="F2"/>
          <w:sz w:val="18"/>
          <w:szCs w:val="18"/>
          <w:lang w:val="en-US"/>
        </w:rPr>
        <w:t xml:space="preserve"> comparison groups during the first year of life. </w:t>
      </w:r>
    </w:p>
    <w:p w14:paraId="0035211E" w14:textId="77777777" w:rsidR="00B53A33" w:rsidRPr="00E0075F" w:rsidRDefault="00B53A33" w:rsidP="00B53A33">
      <w:pPr>
        <w:spacing w:after="0" w:line="240" w:lineRule="auto"/>
        <w:jc w:val="both"/>
        <w:rPr>
          <w:rFonts w:ascii="Book Antiqua" w:hAnsi="Book Antiqua"/>
          <w:color w:val="0D0D0D" w:themeColor="text1" w:themeTint="F2"/>
          <w:sz w:val="18"/>
          <w:szCs w:val="18"/>
          <w:lang w:val="en-US"/>
        </w:rPr>
      </w:pPr>
      <w:r w:rsidRPr="00E0075F">
        <w:rPr>
          <w:rFonts w:ascii="Book Antiqua" w:hAnsi="Book Antiqua"/>
          <w:color w:val="0D0D0D" w:themeColor="text1" w:themeTint="F2"/>
          <w:sz w:val="18"/>
          <w:szCs w:val="18"/>
          <w:lang w:val="en-US"/>
        </w:rPr>
        <w:t xml:space="preserve">Boxplots represent Shannon diversity indices measured from specimens at monthly intervals during the first year of life. Specimen collection timepoints are grouped into three intervals </w:t>
      </w:r>
      <w:r>
        <w:rPr>
          <w:rFonts w:ascii="Book Antiqua" w:hAnsi="Book Antiqua"/>
          <w:color w:val="0D0D0D" w:themeColor="text1" w:themeTint="F2"/>
          <w:sz w:val="18"/>
          <w:szCs w:val="18"/>
          <w:lang w:val="en-US"/>
        </w:rPr>
        <w:t>(</w:t>
      </w:r>
      <w:r w:rsidRPr="00EF7E48">
        <w:rPr>
          <w:rFonts w:ascii="Book Antiqua" w:hAnsi="Book Antiqua"/>
          <w:color w:val="0D0D0D" w:themeColor="text1" w:themeTint="F2"/>
          <w:sz w:val="18"/>
          <w:szCs w:val="18"/>
          <w:lang w:val="en-US"/>
        </w:rPr>
        <w:t xml:space="preserve">interval A: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01-</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03</w:t>
      </w:r>
      <w:r>
        <w:rPr>
          <w:rFonts w:ascii="Book Antiqua" w:hAnsi="Book Antiqua"/>
          <w:color w:val="0D0D0D" w:themeColor="text1" w:themeTint="F2"/>
          <w:sz w:val="18"/>
          <w:szCs w:val="18"/>
          <w:lang w:val="en-US"/>
        </w:rPr>
        <w:t xml:space="preserve">, </w:t>
      </w:r>
      <w:r w:rsidRPr="00EF7E48">
        <w:rPr>
          <w:rFonts w:ascii="Book Antiqua" w:hAnsi="Book Antiqua"/>
          <w:color w:val="0D0D0D" w:themeColor="text1" w:themeTint="F2"/>
          <w:sz w:val="18"/>
          <w:szCs w:val="18"/>
          <w:lang w:val="en-US"/>
        </w:rPr>
        <w:t xml:space="preserve">interval B: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04-</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06</w:t>
      </w:r>
      <w:r>
        <w:rPr>
          <w:rFonts w:ascii="Book Antiqua" w:hAnsi="Book Antiqua"/>
          <w:color w:val="0D0D0D" w:themeColor="text1" w:themeTint="F2"/>
          <w:sz w:val="18"/>
          <w:szCs w:val="18"/>
          <w:lang w:val="en-US"/>
        </w:rPr>
        <w:t xml:space="preserve">, </w:t>
      </w:r>
      <w:r w:rsidRPr="00EF7E48">
        <w:rPr>
          <w:rFonts w:ascii="Book Antiqua" w:hAnsi="Book Antiqua"/>
          <w:color w:val="0D0D0D" w:themeColor="text1" w:themeTint="F2"/>
          <w:sz w:val="18"/>
          <w:szCs w:val="18"/>
          <w:lang w:val="en-US"/>
        </w:rPr>
        <w:t xml:space="preserve">and interval C: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07-</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12</w:t>
      </w:r>
      <w:r>
        <w:rPr>
          <w:rFonts w:ascii="Book Antiqua" w:hAnsi="Book Antiqua"/>
          <w:color w:val="0D0D0D" w:themeColor="text1" w:themeTint="F2"/>
          <w:sz w:val="18"/>
          <w:szCs w:val="18"/>
          <w:lang w:val="en-US"/>
        </w:rPr>
        <w:t>)</w:t>
      </w:r>
      <w:r w:rsidRPr="00E0075F">
        <w:rPr>
          <w:rFonts w:ascii="Book Antiqua" w:hAnsi="Book Antiqua"/>
          <w:color w:val="0D0D0D" w:themeColor="text1" w:themeTint="F2"/>
          <w:sz w:val="18"/>
          <w:szCs w:val="18"/>
          <w:lang w:val="en-US"/>
        </w:rPr>
        <w:t>. Mixed Linear Models (MLMs) were built for each of the three specimen collection intervals to investigate associations between Shannon diversity and covariates. Median values are presented by horizontal lines within each of the boxplots while upper and lower ranges of the boxplots represent the 75% and 25% quartiles, respectively. Maximum and minimum values, excluding outliers, are presented by whiskers. Dots at each of the timepoints represent mean values. Each connecting line between boxplots within a specimen collection interval represents changes in Shannon diversity indices for each of the participants. All p-values were adjusted for confounders. Statistically significant p-values are shown presented in red font.</w:t>
      </w:r>
    </w:p>
    <w:p w14:paraId="21719091" w14:textId="77777777" w:rsidR="00B24D16" w:rsidRDefault="00B24D16" w:rsidP="00B24D16">
      <w:pPr>
        <w:spacing w:after="0" w:line="480" w:lineRule="auto"/>
        <w:contextualSpacing/>
        <w:jc w:val="both"/>
        <w:rPr>
          <w:rFonts w:ascii="Cambria Math" w:hAnsi="Cambria Math"/>
        </w:rPr>
      </w:pPr>
    </w:p>
    <w:p w14:paraId="1CC3DDC6" w14:textId="77777777" w:rsidR="00B24D16" w:rsidRDefault="00B24D16" w:rsidP="00B24D16">
      <w:pPr>
        <w:spacing w:after="0" w:line="480" w:lineRule="auto"/>
        <w:contextualSpacing/>
        <w:jc w:val="both"/>
        <w:rPr>
          <w:rFonts w:ascii="Cambria Math" w:hAnsi="Cambria Math"/>
        </w:rPr>
      </w:pPr>
    </w:p>
    <w:p w14:paraId="211FB944" w14:textId="77777777" w:rsidR="00B24D16" w:rsidRDefault="00B24D16" w:rsidP="00B24D16">
      <w:pPr>
        <w:spacing w:after="0" w:line="480" w:lineRule="auto"/>
        <w:contextualSpacing/>
        <w:jc w:val="both"/>
        <w:rPr>
          <w:rFonts w:ascii="Cambria Math" w:hAnsi="Cambria Math"/>
        </w:rPr>
      </w:pPr>
    </w:p>
    <w:p w14:paraId="5913325B" w14:textId="77777777" w:rsidR="00B24D16" w:rsidRDefault="00B24D16" w:rsidP="00B24D16">
      <w:pPr>
        <w:spacing w:after="0" w:line="480" w:lineRule="auto"/>
        <w:contextualSpacing/>
        <w:jc w:val="both"/>
        <w:rPr>
          <w:rFonts w:ascii="Cambria Math" w:hAnsi="Cambria Math"/>
        </w:rPr>
      </w:pPr>
    </w:p>
    <w:p w14:paraId="507F9FEE" w14:textId="5468D4FA" w:rsidR="00B24D16" w:rsidRDefault="005D6BDD" w:rsidP="00B24D16">
      <w:pPr>
        <w:spacing w:after="0" w:line="480" w:lineRule="auto"/>
        <w:contextualSpacing/>
        <w:jc w:val="center"/>
        <w:rPr>
          <w:rFonts w:ascii="Cambria Math" w:hAnsi="Cambria Math"/>
        </w:rPr>
      </w:pPr>
      <w:r>
        <w:rPr>
          <w:rFonts w:ascii="Cambria Math" w:hAnsi="Cambria Math"/>
          <w:noProof/>
        </w:rPr>
        <w:lastRenderedPageBreak/>
        <w:drawing>
          <wp:inline distT="0" distB="0" distL="0" distR="0" wp14:anchorId="54BF58EE" wp14:editId="653A2463">
            <wp:extent cx="5760000" cy="562015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5" cstate="print">
                      <a:extLst>
                        <a:ext uri="{28A0092B-C50C-407E-A947-70E740481C1C}">
                          <a14:useLocalDpi xmlns:a14="http://schemas.microsoft.com/office/drawing/2010/main" val="0"/>
                        </a:ext>
                      </a:extLst>
                    </a:blip>
                    <a:srcRect l="1318" r="364"/>
                    <a:stretch/>
                  </pic:blipFill>
                  <pic:spPr bwMode="auto">
                    <a:xfrm>
                      <a:off x="0" y="0"/>
                      <a:ext cx="5760000" cy="5620152"/>
                    </a:xfrm>
                    <a:prstGeom prst="rect">
                      <a:avLst/>
                    </a:prstGeom>
                    <a:ln>
                      <a:noFill/>
                    </a:ln>
                    <a:extLst>
                      <a:ext uri="{53640926-AAD7-44D8-BBD7-CCE9431645EC}">
                        <a14:shadowObscured xmlns:a14="http://schemas.microsoft.com/office/drawing/2010/main"/>
                      </a:ext>
                    </a:extLst>
                  </pic:spPr>
                </pic:pic>
              </a:graphicData>
            </a:graphic>
          </wp:inline>
        </w:drawing>
      </w:r>
    </w:p>
    <w:p w14:paraId="05526BB6" w14:textId="6B336D84" w:rsidR="00086B01" w:rsidRPr="00E0075F" w:rsidRDefault="00086B01" w:rsidP="00086B01">
      <w:pPr>
        <w:spacing w:after="0" w:line="240" w:lineRule="auto"/>
        <w:jc w:val="both"/>
        <w:rPr>
          <w:rFonts w:ascii="Book Antiqua" w:hAnsi="Book Antiqua"/>
          <w:b/>
          <w:bCs/>
          <w:color w:val="0D0D0D" w:themeColor="text1" w:themeTint="F2"/>
          <w:sz w:val="18"/>
          <w:szCs w:val="18"/>
          <w:lang w:val="en-US"/>
        </w:rPr>
      </w:pPr>
      <w:r w:rsidRPr="00E0075F">
        <w:rPr>
          <w:rFonts w:ascii="Book Antiqua" w:hAnsi="Book Antiqua"/>
          <w:b/>
          <w:bCs/>
          <w:color w:val="0D0D0D" w:themeColor="text1" w:themeTint="F2"/>
          <w:sz w:val="18"/>
          <w:szCs w:val="18"/>
          <w:lang w:val="en-US"/>
        </w:rPr>
        <w:t xml:space="preserve">Figure </w:t>
      </w:r>
      <w:r>
        <w:rPr>
          <w:rFonts w:ascii="Book Antiqua" w:hAnsi="Book Antiqua"/>
          <w:b/>
          <w:bCs/>
          <w:color w:val="0D0D0D" w:themeColor="text1" w:themeTint="F2"/>
          <w:sz w:val="18"/>
          <w:szCs w:val="18"/>
          <w:lang w:val="en-US"/>
        </w:rPr>
        <w:t>S18</w:t>
      </w:r>
      <w:r w:rsidRPr="00E0075F">
        <w:rPr>
          <w:rFonts w:ascii="Book Antiqua" w:hAnsi="Book Antiqua"/>
          <w:color w:val="0D0D0D" w:themeColor="text1" w:themeTint="F2"/>
          <w:sz w:val="18"/>
          <w:szCs w:val="18"/>
          <w:lang w:val="en-US"/>
        </w:rPr>
        <w:t xml:space="preserve"> </w:t>
      </w:r>
      <w:r w:rsidRPr="00E0075F">
        <w:rPr>
          <w:rFonts w:ascii="Book Antiqua" w:hAnsi="Book Antiqua"/>
          <w:b/>
          <w:bCs/>
          <w:color w:val="0D0D0D" w:themeColor="text1" w:themeTint="F2"/>
          <w:sz w:val="18"/>
          <w:szCs w:val="18"/>
          <w:lang w:val="en-US"/>
        </w:rPr>
        <w:t xml:space="preserve">Within-specimen (Chao1) diversity measured </w:t>
      </w:r>
      <w:r>
        <w:rPr>
          <w:rFonts w:ascii="Book Antiqua" w:hAnsi="Book Antiqua"/>
          <w:b/>
          <w:bCs/>
          <w:color w:val="0D0D0D" w:themeColor="text1" w:themeTint="F2"/>
          <w:sz w:val="18"/>
          <w:szCs w:val="18"/>
          <w:lang w:val="en-US"/>
        </w:rPr>
        <w:t>from</w:t>
      </w:r>
      <w:r w:rsidRPr="00E0075F">
        <w:rPr>
          <w:rFonts w:ascii="Book Antiqua" w:hAnsi="Book Antiqua"/>
          <w:b/>
          <w:bCs/>
          <w:color w:val="0D0D0D" w:themeColor="text1" w:themeTint="F2"/>
          <w:sz w:val="18"/>
          <w:szCs w:val="18"/>
          <w:lang w:val="en-US"/>
        </w:rPr>
        <w:t xml:space="preserve"> comparison groups during the first year of life. </w:t>
      </w:r>
    </w:p>
    <w:p w14:paraId="45FAC57C" w14:textId="77777777" w:rsidR="00086B01" w:rsidRPr="00E0075F" w:rsidRDefault="00086B01" w:rsidP="00086B01">
      <w:pPr>
        <w:spacing w:after="0" w:line="240" w:lineRule="auto"/>
        <w:jc w:val="both"/>
        <w:rPr>
          <w:rFonts w:ascii="Book Antiqua" w:hAnsi="Book Antiqua"/>
          <w:color w:val="0D0D0D" w:themeColor="text1" w:themeTint="F2"/>
          <w:sz w:val="18"/>
          <w:szCs w:val="18"/>
          <w:lang w:val="en-US"/>
        </w:rPr>
      </w:pPr>
      <w:r w:rsidRPr="00E0075F">
        <w:rPr>
          <w:rFonts w:ascii="Book Antiqua" w:hAnsi="Book Antiqua"/>
          <w:color w:val="0D0D0D" w:themeColor="text1" w:themeTint="F2"/>
          <w:sz w:val="18"/>
          <w:szCs w:val="18"/>
          <w:lang w:val="en-US"/>
        </w:rPr>
        <w:t xml:space="preserve">Boxplots represent Chao1 diversity indices measured from specimens at monthly intervals during the first year of life. Specimen collection timepoints are grouped into three intervals </w:t>
      </w:r>
      <w:r>
        <w:rPr>
          <w:rFonts w:ascii="Book Antiqua" w:hAnsi="Book Antiqua"/>
          <w:color w:val="0D0D0D" w:themeColor="text1" w:themeTint="F2"/>
          <w:sz w:val="18"/>
          <w:szCs w:val="18"/>
          <w:lang w:val="en-US"/>
        </w:rPr>
        <w:t>(</w:t>
      </w:r>
      <w:r w:rsidRPr="00EF7E48">
        <w:rPr>
          <w:rFonts w:ascii="Book Antiqua" w:hAnsi="Book Antiqua"/>
          <w:color w:val="0D0D0D" w:themeColor="text1" w:themeTint="F2"/>
          <w:sz w:val="18"/>
          <w:szCs w:val="18"/>
          <w:lang w:val="en-US"/>
        </w:rPr>
        <w:t xml:space="preserve">interval A: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01-</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03</w:t>
      </w:r>
      <w:r>
        <w:rPr>
          <w:rFonts w:ascii="Book Antiqua" w:hAnsi="Book Antiqua"/>
          <w:color w:val="0D0D0D" w:themeColor="text1" w:themeTint="F2"/>
          <w:sz w:val="18"/>
          <w:szCs w:val="18"/>
          <w:lang w:val="en-US"/>
        </w:rPr>
        <w:t xml:space="preserve">, </w:t>
      </w:r>
      <w:r w:rsidRPr="00EF7E48">
        <w:rPr>
          <w:rFonts w:ascii="Book Antiqua" w:hAnsi="Book Antiqua"/>
          <w:color w:val="0D0D0D" w:themeColor="text1" w:themeTint="F2"/>
          <w:sz w:val="18"/>
          <w:szCs w:val="18"/>
          <w:lang w:val="en-US"/>
        </w:rPr>
        <w:t xml:space="preserve">interval B: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04-</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06</w:t>
      </w:r>
      <w:r>
        <w:rPr>
          <w:rFonts w:ascii="Book Antiqua" w:hAnsi="Book Antiqua"/>
          <w:color w:val="0D0D0D" w:themeColor="text1" w:themeTint="F2"/>
          <w:sz w:val="18"/>
          <w:szCs w:val="18"/>
          <w:lang w:val="en-US"/>
        </w:rPr>
        <w:t xml:space="preserve">, </w:t>
      </w:r>
      <w:r w:rsidRPr="00EF7E48">
        <w:rPr>
          <w:rFonts w:ascii="Book Antiqua" w:hAnsi="Book Antiqua"/>
          <w:color w:val="0D0D0D" w:themeColor="text1" w:themeTint="F2"/>
          <w:sz w:val="18"/>
          <w:szCs w:val="18"/>
          <w:lang w:val="en-US"/>
        </w:rPr>
        <w:t xml:space="preserve">and interval C: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07-</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12</w:t>
      </w:r>
      <w:r>
        <w:rPr>
          <w:rFonts w:ascii="Book Antiqua" w:hAnsi="Book Antiqua"/>
          <w:color w:val="0D0D0D" w:themeColor="text1" w:themeTint="F2"/>
          <w:sz w:val="18"/>
          <w:szCs w:val="18"/>
          <w:lang w:val="en-US"/>
        </w:rPr>
        <w:t>)</w:t>
      </w:r>
      <w:r w:rsidRPr="00E0075F">
        <w:rPr>
          <w:rFonts w:ascii="Book Antiqua" w:hAnsi="Book Antiqua"/>
          <w:color w:val="0D0D0D" w:themeColor="text1" w:themeTint="F2"/>
          <w:sz w:val="18"/>
          <w:szCs w:val="18"/>
          <w:lang w:val="en-US"/>
        </w:rPr>
        <w:t>. Mixed Linear Models (MLMs) were built for each of the three specimen collection intervals to investigate associations between Chao1 diversity and covariates. Median values are presented by horizontal lines within each of the boxplots while upper and lower ranges of the boxplots represent the 75% and 25% quartiles, respectively. Maximum and minimum values, excluding outliers, are presented by whiskers. Dots at each of the timepoints represent mean values. Each connecting line between boxplots within a specimen collection interval represents changes in Chao1 diversity indices for each of the participants. All p-values were adjusted for confounders. Statistically significant p-values are shown presented in red font.</w:t>
      </w:r>
    </w:p>
    <w:p w14:paraId="47E80B3C" w14:textId="77777777" w:rsidR="00B24D16" w:rsidRDefault="00B24D16" w:rsidP="00B24D16">
      <w:pPr>
        <w:spacing w:after="0" w:line="480" w:lineRule="auto"/>
        <w:contextualSpacing/>
        <w:jc w:val="both"/>
        <w:rPr>
          <w:rFonts w:ascii="Cambria Math" w:hAnsi="Cambria Math"/>
        </w:rPr>
      </w:pPr>
    </w:p>
    <w:p w14:paraId="2C03DD28" w14:textId="77777777" w:rsidR="00B24D16" w:rsidRDefault="00B24D16" w:rsidP="00B24D16">
      <w:pPr>
        <w:spacing w:after="0" w:line="480" w:lineRule="auto"/>
        <w:contextualSpacing/>
        <w:jc w:val="both"/>
        <w:rPr>
          <w:rFonts w:ascii="Cambria Math" w:hAnsi="Cambria Math"/>
        </w:rPr>
      </w:pPr>
    </w:p>
    <w:p w14:paraId="2B4811A3" w14:textId="77777777" w:rsidR="00B24D16" w:rsidRDefault="00B24D16" w:rsidP="00B24D16">
      <w:pPr>
        <w:spacing w:after="0" w:line="480" w:lineRule="auto"/>
        <w:contextualSpacing/>
        <w:jc w:val="both"/>
        <w:rPr>
          <w:rFonts w:ascii="Cambria Math" w:hAnsi="Cambria Math"/>
        </w:rPr>
      </w:pPr>
    </w:p>
    <w:p w14:paraId="06D96659" w14:textId="77777777" w:rsidR="00B24D16" w:rsidRDefault="00B24D16" w:rsidP="00B24D16">
      <w:pPr>
        <w:spacing w:after="0" w:line="480" w:lineRule="auto"/>
        <w:contextualSpacing/>
        <w:jc w:val="both"/>
        <w:rPr>
          <w:rFonts w:ascii="Cambria Math" w:hAnsi="Cambria Math"/>
        </w:rPr>
      </w:pPr>
    </w:p>
    <w:p w14:paraId="5D38066C" w14:textId="77777777" w:rsidR="00B24D16" w:rsidRDefault="00B24D16" w:rsidP="00B24D16">
      <w:pPr>
        <w:spacing w:after="0" w:line="480" w:lineRule="auto"/>
        <w:contextualSpacing/>
        <w:jc w:val="both"/>
        <w:rPr>
          <w:rFonts w:ascii="Cambria Math" w:hAnsi="Cambria Math"/>
        </w:rPr>
      </w:pPr>
    </w:p>
    <w:p w14:paraId="495B4FE0" w14:textId="0BCB99C1" w:rsidR="00B24D16" w:rsidRDefault="007B4520" w:rsidP="00B24D16">
      <w:pPr>
        <w:spacing w:after="0" w:line="480" w:lineRule="auto"/>
        <w:contextualSpacing/>
        <w:jc w:val="center"/>
        <w:rPr>
          <w:rFonts w:ascii="Cambria Math" w:hAnsi="Cambria Math"/>
        </w:rPr>
      </w:pPr>
      <w:r>
        <w:rPr>
          <w:rFonts w:ascii="Cambria Math" w:hAnsi="Cambria Math"/>
          <w:noProof/>
        </w:rPr>
        <w:lastRenderedPageBreak/>
        <w:drawing>
          <wp:inline distT="0" distB="0" distL="0" distR="0" wp14:anchorId="1CD63604" wp14:editId="1F6C6334">
            <wp:extent cx="5760000" cy="583328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26" cstate="print">
                      <a:extLst>
                        <a:ext uri="{28A0092B-C50C-407E-A947-70E740481C1C}">
                          <a14:useLocalDpi xmlns:a14="http://schemas.microsoft.com/office/drawing/2010/main" val="0"/>
                        </a:ext>
                      </a:extLst>
                    </a:blip>
                    <a:srcRect l="935" r="1098"/>
                    <a:stretch/>
                  </pic:blipFill>
                  <pic:spPr bwMode="auto">
                    <a:xfrm>
                      <a:off x="0" y="0"/>
                      <a:ext cx="5760000" cy="5833287"/>
                    </a:xfrm>
                    <a:prstGeom prst="rect">
                      <a:avLst/>
                    </a:prstGeom>
                    <a:ln>
                      <a:noFill/>
                    </a:ln>
                    <a:extLst>
                      <a:ext uri="{53640926-AAD7-44D8-BBD7-CCE9431645EC}">
                        <a14:shadowObscured xmlns:a14="http://schemas.microsoft.com/office/drawing/2010/main"/>
                      </a:ext>
                    </a:extLst>
                  </pic:spPr>
                </pic:pic>
              </a:graphicData>
            </a:graphic>
          </wp:inline>
        </w:drawing>
      </w:r>
    </w:p>
    <w:p w14:paraId="6CDAA208" w14:textId="39BCD013" w:rsidR="007B4520" w:rsidRPr="00E0075F" w:rsidRDefault="007B4520" w:rsidP="007B4520">
      <w:pPr>
        <w:spacing w:after="0" w:line="240" w:lineRule="auto"/>
        <w:jc w:val="both"/>
        <w:rPr>
          <w:rFonts w:ascii="Book Antiqua" w:hAnsi="Book Antiqua"/>
          <w:b/>
          <w:bCs/>
          <w:color w:val="0D0D0D" w:themeColor="text1" w:themeTint="F2"/>
          <w:sz w:val="18"/>
          <w:szCs w:val="18"/>
          <w:lang w:val="en-US"/>
        </w:rPr>
      </w:pPr>
      <w:r w:rsidRPr="00E0075F">
        <w:rPr>
          <w:rFonts w:ascii="Book Antiqua" w:hAnsi="Book Antiqua"/>
          <w:b/>
          <w:bCs/>
          <w:color w:val="0D0D0D" w:themeColor="text1" w:themeTint="F2"/>
          <w:sz w:val="18"/>
          <w:szCs w:val="18"/>
          <w:lang w:val="en-US"/>
        </w:rPr>
        <w:t xml:space="preserve">Figure </w:t>
      </w:r>
      <w:r>
        <w:rPr>
          <w:rFonts w:ascii="Book Antiqua" w:hAnsi="Book Antiqua"/>
          <w:b/>
          <w:bCs/>
          <w:color w:val="0D0D0D" w:themeColor="text1" w:themeTint="F2"/>
          <w:sz w:val="18"/>
          <w:szCs w:val="18"/>
          <w:lang w:val="en-US"/>
        </w:rPr>
        <w:t>S19</w:t>
      </w:r>
      <w:r w:rsidRPr="00E0075F">
        <w:rPr>
          <w:rFonts w:ascii="Book Antiqua" w:hAnsi="Book Antiqua"/>
          <w:b/>
          <w:bCs/>
          <w:color w:val="0D0D0D" w:themeColor="text1" w:themeTint="F2"/>
          <w:sz w:val="18"/>
          <w:szCs w:val="18"/>
          <w:lang w:val="en-US"/>
        </w:rPr>
        <w:t xml:space="preserve"> Between-specimen (Aitchison distance) diversity measured within and between covariate </w:t>
      </w:r>
      <w:r w:rsidR="009A1DE4">
        <w:rPr>
          <w:rFonts w:ascii="Book Antiqua" w:hAnsi="Book Antiqua"/>
          <w:b/>
          <w:bCs/>
          <w:color w:val="0D0D0D" w:themeColor="text1" w:themeTint="F2"/>
          <w:sz w:val="18"/>
          <w:szCs w:val="18"/>
          <w:lang w:val="en-US"/>
        </w:rPr>
        <w:t>groups</w:t>
      </w:r>
      <w:r w:rsidRPr="00E0075F">
        <w:rPr>
          <w:rFonts w:ascii="Book Antiqua" w:hAnsi="Book Antiqua"/>
          <w:b/>
          <w:bCs/>
          <w:color w:val="0D0D0D" w:themeColor="text1" w:themeTint="F2"/>
          <w:sz w:val="18"/>
          <w:szCs w:val="18"/>
          <w:lang w:val="en-US"/>
        </w:rPr>
        <w:t xml:space="preserve"> </w:t>
      </w:r>
      <w:r>
        <w:rPr>
          <w:rFonts w:ascii="Book Antiqua" w:hAnsi="Book Antiqua"/>
          <w:b/>
          <w:bCs/>
          <w:color w:val="0D0D0D" w:themeColor="text1" w:themeTint="F2"/>
          <w:sz w:val="18"/>
          <w:szCs w:val="18"/>
          <w:lang w:val="en-US"/>
        </w:rPr>
        <w:t xml:space="preserve">at five timepoints </w:t>
      </w:r>
      <w:r w:rsidRPr="00E0075F">
        <w:rPr>
          <w:rFonts w:ascii="Book Antiqua" w:hAnsi="Book Antiqua"/>
          <w:b/>
          <w:bCs/>
          <w:color w:val="0D0D0D" w:themeColor="text1" w:themeTint="F2"/>
          <w:sz w:val="18"/>
          <w:szCs w:val="18"/>
          <w:lang w:val="en-US"/>
        </w:rPr>
        <w:t xml:space="preserve">during the first year of life. </w:t>
      </w:r>
    </w:p>
    <w:p w14:paraId="1A8701B9" w14:textId="4ED5E5EF" w:rsidR="007B4520" w:rsidRPr="00E0075F" w:rsidRDefault="007B4520" w:rsidP="007B4520">
      <w:pPr>
        <w:spacing w:after="0" w:line="240" w:lineRule="auto"/>
        <w:jc w:val="both"/>
        <w:rPr>
          <w:rFonts w:ascii="Book Antiqua" w:hAnsi="Book Antiqua"/>
          <w:color w:val="0D0D0D" w:themeColor="text1" w:themeTint="F2"/>
          <w:sz w:val="18"/>
          <w:szCs w:val="18"/>
          <w:lang w:val="en-US"/>
        </w:rPr>
      </w:pPr>
      <w:r w:rsidRPr="00E0075F">
        <w:rPr>
          <w:rFonts w:ascii="Book Antiqua" w:hAnsi="Book Antiqua"/>
          <w:color w:val="0D0D0D" w:themeColor="text1" w:themeTint="F2"/>
          <w:sz w:val="18"/>
          <w:szCs w:val="18"/>
          <w:lang w:val="en-US"/>
        </w:rPr>
        <w:t xml:space="preserve">Boxplots represent beta diversity (Aitchison distance) measured </w:t>
      </w:r>
      <w:r>
        <w:rPr>
          <w:rFonts w:ascii="Book Antiqua" w:hAnsi="Book Antiqua"/>
          <w:color w:val="0D0D0D" w:themeColor="text1" w:themeTint="F2"/>
          <w:sz w:val="18"/>
          <w:szCs w:val="18"/>
          <w:lang w:val="en-US"/>
        </w:rPr>
        <w:t>between</w:t>
      </w:r>
      <w:r w:rsidRPr="00E0075F">
        <w:rPr>
          <w:rFonts w:ascii="Book Antiqua" w:hAnsi="Book Antiqua"/>
          <w:color w:val="0D0D0D" w:themeColor="text1" w:themeTint="F2"/>
          <w:sz w:val="18"/>
          <w:szCs w:val="18"/>
          <w:lang w:val="en-US"/>
        </w:rPr>
        <w:t xml:space="preserve"> specimens </w:t>
      </w:r>
      <w:r>
        <w:rPr>
          <w:rFonts w:ascii="Book Antiqua" w:hAnsi="Book Antiqua"/>
          <w:color w:val="0D0D0D" w:themeColor="text1" w:themeTint="F2"/>
          <w:sz w:val="18"/>
          <w:szCs w:val="18"/>
          <w:lang w:val="en-US"/>
        </w:rPr>
        <w:t>at five timepoints (M01, M03, M06, M09 and M12)</w:t>
      </w:r>
      <w:r w:rsidRPr="00E0075F">
        <w:rPr>
          <w:rFonts w:ascii="Book Antiqua" w:hAnsi="Book Antiqua"/>
          <w:color w:val="0D0D0D" w:themeColor="text1" w:themeTint="F2"/>
          <w:sz w:val="18"/>
          <w:szCs w:val="18"/>
          <w:lang w:val="en-US"/>
        </w:rPr>
        <w:t xml:space="preserve">. Boxplots colors correspond to covariate </w:t>
      </w:r>
      <w:r w:rsidR="009A1DE4">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Each color-filled boxplot represents pairwise specimen beta diversi</w:t>
      </w:r>
      <w:r>
        <w:rPr>
          <w:rFonts w:ascii="Book Antiqua" w:hAnsi="Book Antiqua"/>
          <w:color w:val="0D0D0D" w:themeColor="text1" w:themeTint="F2"/>
          <w:sz w:val="18"/>
          <w:szCs w:val="18"/>
          <w:lang w:val="en-US"/>
        </w:rPr>
        <w:t>ty</w:t>
      </w:r>
      <w:r w:rsidRPr="00E0075F">
        <w:rPr>
          <w:rFonts w:ascii="Book Antiqua" w:hAnsi="Book Antiqua"/>
          <w:color w:val="0D0D0D" w:themeColor="text1" w:themeTint="F2"/>
          <w:sz w:val="18"/>
          <w:szCs w:val="18"/>
          <w:lang w:val="en-US"/>
        </w:rPr>
        <w:t xml:space="preserve"> within the covariate level (within-level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Each grey filled boxplot represents pairwise specimen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between different </w:t>
      </w:r>
      <w:r w:rsidR="009A1DE4">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xml:space="preserve"> of the covariate tested (between-level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Each grey boxplot has two dots above and below the median which correspond to the </w:t>
      </w:r>
      <w:r w:rsidR="009A1DE4">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xml:space="preserve"> for which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w:t>
      </w:r>
      <w:r>
        <w:rPr>
          <w:rFonts w:ascii="Book Antiqua" w:hAnsi="Book Antiqua"/>
          <w:color w:val="0D0D0D" w:themeColor="text1" w:themeTint="F2"/>
          <w:sz w:val="18"/>
          <w:szCs w:val="18"/>
          <w:lang w:val="en-US"/>
        </w:rPr>
        <w:t>is</w:t>
      </w:r>
      <w:r w:rsidRPr="00E0075F">
        <w:rPr>
          <w:rFonts w:ascii="Book Antiqua" w:hAnsi="Book Antiqua"/>
          <w:color w:val="0D0D0D" w:themeColor="text1" w:themeTint="F2"/>
          <w:sz w:val="18"/>
          <w:szCs w:val="18"/>
          <w:lang w:val="en-US"/>
        </w:rPr>
        <w:t xml:space="preserve"> being compared. Median values are presented by horizontal lines within each of the boxplots while upper and lower ranges of the boxplots represent the 75% and 25% quartiles, respectively. Maximum and minimum values, excluding outliers, are presented by whiskers. All p-values were adjusted for confounders. P-values in brackets were corrected using the </w:t>
      </w:r>
      <w:proofErr w:type="spellStart"/>
      <w:r w:rsidRPr="00E0075F">
        <w:rPr>
          <w:rFonts w:ascii="Book Antiqua" w:hAnsi="Book Antiqua"/>
          <w:color w:val="0D0D0D" w:themeColor="text1" w:themeTint="F2"/>
          <w:sz w:val="18"/>
          <w:szCs w:val="18"/>
          <w:lang w:val="en-US"/>
        </w:rPr>
        <w:t>Benjamini</w:t>
      </w:r>
      <w:proofErr w:type="spellEnd"/>
      <w:r w:rsidRPr="00E0075F">
        <w:rPr>
          <w:rFonts w:ascii="Book Antiqua" w:hAnsi="Book Antiqua"/>
          <w:color w:val="0D0D0D" w:themeColor="text1" w:themeTint="F2"/>
          <w:sz w:val="18"/>
          <w:szCs w:val="18"/>
          <w:lang w:val="en-US"/>
        </w:rPr>
        <w:t>-Hochberg (BH) adjustment for false discovery rate. Statistically significant p-values are presented in red font.</w:t>
      </w:r>
    </w:p>
    <w:p w14:paraId="1450DA17" w14:textId="48BF10FE" w:rsidR="00B24D16" w:rsidRDefault="00230756" w:rsidP="00B24D16">
      <w:pPr>
        <w:spacing w:after="0" w:line="480" w:lineRule="auto"/>
        <w:contextualSpacing/>
        <w:jc w:val="center"/>
        <w:rPr>
          <w:rFonts w:ascii="Cambria Math" w:hAnsi="Cambria Math"/>
        </w:rPr>
      </w:pPr>
      <w:r>
        <w:rPr>
          <w:rFonts w:ascii="Cambria Math" w:hAnsi="Cambria Math"/>
          <w:noProof/>
        </w:rPr>
        <w:lastRenderedPageBreak/>
        <w:drawing>
          <wp:inline distT="0" distB="0" distL="0" distR="0" wp14:anchorId="64FBC8CC" wp14:editId="3301766B">
            <wp:extent cx="5760000" cy="60128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27" cstate="print">
                      <a:extLst>
                        <a:ext uri="{28A0092B-C50C-407E-A947-70E740481C1C}">
                          <a14:useLocalDpi xmlns:a14="http://schemas.microsoft.com/office/drawing/2010/main" val="0"/>
                        </a:ext>
                      </a:extLst>
                    </a:blip>
                    <a:srcRect l="1059" r="1161"/>
                    <a:stretch/>
                  </pic:blipFill>
                  <pic:spPr bwMode="auto">
                    <a:xfrm>
                      <a:off x="0" y="0"/>
                      <a:ext cx="5760000" cy="6012820"/>
                    </a:xfrm>
                    <a:prstGeom prst="rect">
                      <a:avLst/>
                    </a:prstGeom>
                    <a:ln>
                      <a:noFill/>
                    </a:ln>
                    <a:extLst>
                      <a:ext uri="{53640926-AAD7-44D8-BBD7-CCE9431645EC}">
                        <a14:shadowObscured xmlns:a14="http://schemas.microsoft.com/office/drawing/2010/main"/>
                      </a:ext>
                    </a:extLst>
                  </pic:spPr>
                </pic:pic>
              </a:graphicData>
            </a:graphic>
          </wp:inline>
        </w:drawing>
      </w:r>
    </w:p>
    <w:p w14:paraId="5E187BD4" w14:textId="01B6FC51" w:rsidR="007231FE" w:rsidRPr="00E0075F" w:rsidRDefault="007231FE" w:rsidP="007231FE">
      <w:pPr>
        <w:spacing w:after="0" w:line="240" w:lineRule="auto"/>
        <w:jc w:val="both"/>
        <w:rPr>
          <w:rFonts w:ascii="Book Antiqua" w:hAnsi="Book Antiqua"/>
          <w:b/>
          <w:bCs/>
          <w:color w:val="0D0D0D" w:themeColor="text1" w:themeTint="F2"/>
          <w:sz w:val="18"/>
          <w:szCs w:val="18"/>
          <w:lang w:val="en-US"/>
        </w:rPr>
      </w:pPr>
      <w:r w:rsidRPr="00E0075F">
        <w:rPr>
          <w:rFonts w:ascii="Book Antiqua" w:hAnsi="Book Antiqua"/>
          <w:b/>
          <w:bCs/>
          <w:color w:val="0D0D0D" w:themeColor="text1" w:themeTint="F2"/>
          <w:sz w:val="18"/>
          <w:szCs w:val="18"/>
          <w:lang w:val="en-US"/>
        </w:rPr>
        <w:t xml:space="preserve">Figure </w:t>
      </w:r>
      <w:r>
        <w:rPr>
          <w:rFonts w:ascii="Book Antiqua" w:hAnsi="Book Antiqua"/>
          <w:b/>
          <w:bCs/>
          <w:color w:val="0D0D0D" w:themeColor="text1" w:themeTint="F2"/>
          <w:sz w:val="18"/>
          <w:szCs w:val="18"/>
          <w:lang w:val="en-US"/>
        </w:rPr>
        <w:t>S20</w:t>
      </w:r>
      <w:r w:rsidRPr="00E0075F">
        <w:rPr>
          <w:rFonts w:ascii="Book Antiqua" w:hAnsi="Book Antiqua"/>
          <w:b/>
          <w:bCs/>
          <w:color w:val="0D0D0D" w:themeColor="text1" w:themeTint="F2"/>
          <w:sz w:val="18"/>
          <w:szCs w:val="18"/>
          <w:lang w:val="en-US"/>
        </w:rPr>
        <w:t xml:space="preserve"> Between-specimen (Bray-</w:t>
      </w:r>
      <w:proofErr w:type="gramStart"/>
      <w:r w:rsidRPr="00E0075F">
        <w:rPr>
          <w:rFonts w:ascii="Book Antiqua" w:hAnsi="Book Antiqua"/>
          <w:b/>
          <w:bCs/>
          <w:color w:val="0D0D0D" w:themeColor="text1" w:themeTint="F2"/>
          <w:sz w:val="18"/>
          <w:szCs w:val="18"/>
          <w:lang w:val="en-US"/>
        </w:rPr>
        <w:t>Curtis</w:t>
      </w:r>
      <w:proofErr w:type="gramEnd"/>
      <w:r w:rsidRPr="00E0075F">
        <w:rPr>
          <w:rFonts w:ascii="Book Antiqua" w:hAnsi="Book Antiqua"/>
          <w:b/>
          <w:bCs/>
          <w:color w:val="0D0D0D" w:themeColor="text1" w:themeTint="F2"/>
          <w:sz w:val="18"/>
          <w:szCs w:val="18"/>
          <w:lang w:val="en-US"/>
        </w:rPr>
        <w:t xml:space="preserve"> dissimilarity) diversity measured within and between covariate </w:t>
      </w:r>
      <w:r w:rsidR="009A1DE4">
        <w:rPr>
          <w:rFonts w:ascii="Book Antiqua" w:hAnsi="Book Antiqua"/>
          <w:b/>
          <w:bCs/>
          <w:color w:val="0D0D0D" w:themeColor="text1" w:themeTint="F2"/>
          <w:sz w:val="18"/>
          <w:szCs w:val="18"/>
          <w:lang w:val="en-US"/>
        </w:rPr>
        <w:t>groups</w:t>
      </w:r>
      <w:r w:rsidRPr="00E0075F">
        <w:rPr>
          <w:rFonts w:ascii="Book Antiqua" w:hAnsi="Book Antiqua"/>
          <w:b/>
          <w:bCs/>
          <w:color w:val="0D0D0D" w:themeColor="text1" w:themeTint="F2"/>
          <w:sz w:val="18"/>
          <w:szCs w:val="18"/>
          <w:lang w:val="en-US"/>
        </w:rPr>
        <w:t xml:space="preserve"> </w:t>
      </w:r>
      <w:r>
        <w:rPr>
          <w:rFonts w:ascii="Book Antiqua" w:hAnsi="Book Antiqua"/>
          <w:b/>
          <w:bCs/>
          <w:color w:val="0D0D0D" w:themeColor="text1" w:themeTint="F2"/>
          <w:sz w:val="18"/>
          <w:szCs w:val="18"/>
          <w:lang w:val="en-US"/>
        </w:rPr>
        <w:t>at five timepoints during the</w:t>
      </w:r>
      <w:r w:rsidRPr="00E0075F">
        <w:rPr>
          <w:rFonts w:ascii="Book Antiqua" w:hAnsi="Book Antiqua"/>
          <w:b/>
          <w:bCs/>
          <w:color w:val="0D0D0D" w:themeColor="text1" w:themeTint="F2"/>
          <w:sz w:val="18"/>
          <w:szCs w:val="18"/>
          <w:lang w:val="en-US"/>
        </w:rPr>
        <w:t xml:space="preserve"> first year of life. </w:t>
      </w:r>
    </w:p>
    <w:p w14:paraId="6C535B57" w14:textId="47486C68" w:rsidR="007231FE" w:rsidRPr="00E0075F" w:rsidRDefault="007231FE" w:rsidP="007231FE">
      <w:pPr>
        <w:spacing w:after="0" w:line="240" w:lineRule="auto"/>
        <w:jc w:val="both"/>
        <w:rPr>
          <w:rFonts w:ascii="Book Antiqua" w:hAnsi="Book Antiqua"/>
          <w:color w:val="0D0D0D" w:themeColor="text1" w:themeTint="F2"/>
          <w:sz w:val="18"/>
          <w:szCs w:val="18"/>
          <w:lang w:val="en-US"/>
        </w:rPr>
      </w:pPr>
      <w:r w:rsidRPr="00E0075F">
        <w:rPr>
          <w:rFonts w:ascii="Book Antiqua" w:hAnsi="Book Antiqua"/>
          <w:color w:val="0D0D0D" w:themeColor="text1" w:themeTint="F2"/>
          <w:sz w:val="18"/>
          <w:szCs w:val="18"/>
          <w:lang w:val="en-US"/>
        </w:rPr>
        <w:t>Boxplots represent beta diversity (Bray-</w:t>
      </w:r>
      <w:proofErr w:type="gramStart"/>
      <w:r w:rsidRPr="00E0075F">
        <w:rPr>
          <w:rFonts w:ascii="Book Antiqua" w:hAnsi="Book Antiqua"/>
          <w:color w:val="0D0D0D" w:themeColor="text1" w:themeTint="F2"/>
          <w:sz w:val="18"/>
          <w:szCs w:val="18"/>
          <w:lang w:val="en-US"/>
        </w:rPr>
        <w:t>Curtis</w:t>
      </w:r>
      <w:proofErr w:type="gramEnd"/>
      <w:r w:rsidRPr="00E0075F">
        <w:rPr>
          <w:rFonts w:ascii="Book Antiqua" w:hAnsi="Book Antiqua"/>
          <w:color w:val="0D0D0D" w:themeColor="text1" w:themeTint="F2"/>
          <w:sz w:val="18"/>
          <w:szCs w:val="18"/>
          <w:lang w:val="en-US"/>
        </w:rPr>
        <w:t xml:space="preserve"> dissimilarity) measured </w:t>
      </w:r>
      <w:r>
        <w:rPr>
          <w:rFonts w:ascii="Book Antiqua" w:hAnsi="Book Antiqua"/>
          <w:color w:val="0D0D0D" w:themeColor="text1" w:themeTint="F2"/>
          <w:sz w:val="18"/>
          <w:szCs w:val="18"/>
          <w:lang w:val="en-US"/>
        </w:rPr>
        <w:t>between</w:t>
      </w:r>
      <w:r w:rsidRPr="00E0075F">
        <w:rPr>
          <w:rFonts w:ascii="Book Antiqua" w:hAnsi="Book Antiqua"/>
          <w:color w:val="0D0D0D" w:themeColor="text1" w:themeTint="F2"/>
          <w:sz w:val="18"/>
          <w:szCs w:val="18"/>
          <w:lang w:val="en-US"/>
        </w:rPr>
        <w:t xml:space="preserve"> specimens </w:t>
      </w:r>
      <w:r>
        <w:rPr>
          <w:rFonts w:ascii="Book Antiqua" w:hAnsi="Book Antiqua"/>
          <w:color w:val="0D0D0D" w:themeColor="text1" w:themeTint="F2"/>
          <w:sz w:val="18"/>
          <w:szCs w:val="18"/>
          <w:lang w:val="en-US"/>
        </w:rPr>
        <w:t>at five timepoints (M01, M03, M06, M09 and M12)</w:t>
      </w:r>
      <w:r w:rsidRPr="00E0075F">
        <w:rPr>
          <w:rFonts w:ascii="Book Antiqua" w:hAnsi="Book Antiqua"/>
          <w:color w:val="0D0D0D" w:themeColor="text1" w:themeTint="F2"/>
          <w:sz w:val="18"/>
          <w:szCs w:val="18"/>
          <w:lang w:val="en-US"/>
        </w:rPr>
        <w:t xml:space="preserve">. Boxplots colors correspond to covariate </w:t>
      </w:r>
      <w:r w:rsidR="009A1DE4">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Each color-filled boxplot represents pairwise specimen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within the covariate level (within-level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Each grey filled boxplot represents pairwise specimen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between different </w:t>
      </w:r>
      <w:r w:rsidR="009A1DE4">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xml:space="preserve"> of the covariate tested (between-level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Each grey boxplot has two dots above and below the median which correspond to the </w:t>
      </w:r>
      <w:r w:rsidR="009A1DE4">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xml:space="preserve"> for which beta diversit</w:t>
      </w:r>
      <w:r>
        <w:rPr>
          <w:rFonts w:ascii="Book Antiqua" w:hAnsi="Book Antiqua"/>
          <w:color w:val="0D0D0D" w:themeColor="text1" w:themeTint="F2"/>
          <w:sz w:val="18"/>
          <w:szCs w:val="18"/>
          <w:lang w:val="en-US"/>
        </w:rPr>
        <w:t>y is</w:t>
      </w:r>
      <w:r w:rsidRPr="00E0075F">
        <w:rPr>
          <w:rFonts w:ascii="Book Antiqua" w:hAnsi="Book Antiqua"/>
          <w:color w:val="0D0D0D" w:themeColor="text1" w:themeTint="F2"/>
          <w:sz w:val="18"/>
          <w:szCs w:val="18"/>
          <w:lang w:val="en-US"/>
        </w:rPr>
        <w:t xml:space="preserve"> being compared. Median values are presented by horizontal lines within each of the boxplots while upper and lower ranges of the boxplots represent the 75% and 25% quartiles, respectively. Maximum and minimum values, excluding outliers, are presented by whiskers. All p-values were adjusted for confounders. P-values in brackets were corrected using the </w:t>
      </w:r>
      <w:proofErr w:type="spellStart"/>
      <w:r w:rsidRPr="00E0075F">
        <w:rPr>
          <w:rFonts w:ascii="Book Antiqua" w:hAnsi="Book Antiqua"/>
          <w:color w:val="0D0D0D" w:themeColor="text1" w:themeTint="F2"/>
          <w:sz w:val="18"/>
          <w:szCs w:val="18"/>
          <w:lang w:val="en-US"/>
        </w:rPr>
        <w:t>Benjamini</w:t>
      </w:r>
      <w:proofErr w:type="spellEnd"/>
      <w:r w:rsidRPr="00E0075F">
        <w:rPr>
          <w:rFonts w:ascii="Book Antiqua" w:hAnsi="Book Antiqua"/>
          <w:color w:val="0D0D0D" w:themeColor="text1" w:themeTint="F2"/>
          <w:sz w:val="18"/>
          <w:szCs w:val="18"/>
          <w:lang w:val="en-US"/>
        </w:rPr>
        <w:t>-Hochberg (BH) adjustment for false discovery rate. Statistically significant p-values are presented in red font.</w:t>
      </w:r>
    </w:p>
    <w:p w14:paraId="572E4C4D" w14:textId="422DFBCD" w:rsidR="00B24D16" w:rsidRDefault="002B58C9" w:rsidP="00B24D16">
      <w:pPr>
        <w:jc w:val="center"/>
      </w:pPr>
      <w:r>
        <w:rPr>
          <w:noProof/>
        </w:rPr>
        <w:lastRenderedPageBreak/>
        <w:drawing>
          <wp:inline distT="0" distB="0" distL="0" distR="0" wp14:anchorId="7921BDB6" wp14:editId="115BA5BA">
            <wp:extent cx="5760000" cy="474843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8" cstate="print">
                      <a:extLst>
                        <a:ext uri="{28A0092B-C50C-407E-A947-70E740481C1C}">
                          <a14:useLocalDpi xmlns:a14="http://schemas.microsoft.com/office/drawing/2010/main" val="0"/>
                        </a:ext>
                      </a:extLst>
                    </a:blip>
                    <a:srcRect l="1058" r="471"/>
                    <a:stretch/>
                  </pic:blipFill>
                  <pic:spPr bwMode="auto">
                    <a:xfrm>
                      <a:off x="0" y="0"/>
                      <a:ext cx="5760000" cy="4748439"/>
                    </a:xfrm>
                    <a:prstGeom prst="rect">
                      <a:avLst/>
                    </a:prstGeom>
                    <a:ln>
                      <a:noFill/>
                    </a:ln>
                    <a:extLst>
                      <a:ext uri="{53640926-AAD7-44D8-BBD7-CCE9431645EC}">
                        <a14:shadowObscured xmlns:a14="http://schemas.microsoft.com/office/drawing/2010/main"/>
                      </a:ext>
                    </a:extLst>
                  </pic:spPr>
                </pic:pic>
              </a:graphicData>
            </a:graphic>
          </wp:inline>
        </w:drawing>
      </w:r>
    </w:p>
    <w:p w14:paraId="7852F71D" w14:textId="01C66439" w:rsidR="00F65F8E" w:rsidRPr="00E0075F" w:rsidRDefault="00F65F8E" w:rsidP="00F65F8E">
      <w:pPr>
        <w:spacing w:after="0" w:line="240" w:lineRule="auto"/>
        <w:jc w:val="both"/>
        <w:rPr>
          <w:rFonts w:ascii="Book Antiqua" w:hAnsi="Book Antiqua"/>
          <w:b/>
          <w:bCs/>
          <w:color w:val="0D0D0D" w:themeColor="text1" w:themeTint="F2"/>
          <w:sz w:val="18"/>
          <w:szCs w:val="18"/>
          <w:lang w:val="en-US"/>
        </w:rPr>
      </w:pPr>
      <w:r w:rsidRPr="00E0075F">
        <w:rPr>
          <w:rFonts w:ascii="Book Antiqua" w:hAnsi="Book Antiqua"/>
          <w:b/>
          <w:bCs/>
          <w:color w:val="0D0D0D" w:themeColor="text1" w:themeTint="F2"/>
          <w:sz w:val="18"/>
          <w:szCs w:val="18"/>
          <w:lang w:val="en-US"/>
        </w:rPr>
        <w:t xml:space="preserve">Figure </w:t>
      </w:r>
      <w:r>
        <w:rPr>
          <w:rFonts w:ascii="Book Antiqua" w:hAnsi="Book Antiqua"/>
          <w:b/>
          <w:bCs/>
          <w:color w:val="0D0D0D" w:themeColor="text1" w:themeTint="F2"/>
          <w:sz w:val="18"/>
          <w:szCs w:val="18"/>
          <w:lang w:val="en-US"/>
        </w:rPr>
        <w:t>S21</w:t>
      </w:r>
      <w:r w:rsidRPr="00E0075F">
        <w:rPr>
          <w:rFonts w:ascii="Book Antiqua" w:hAnsi="Book Antiqua"/>
          <w:color w:val="0D0D0D" w:themeColor="text1" w:themeTint="F2"/>
          <w:sz w:val="18"/>
          <w:szCs w:val="18"/>
          <w:lang w:val="en-US"/>
        </w:rPr>
        <w:t xml:space="preserve"> </w:t>
      </w:r>
      <w:r w:rsidRPr="00E0075F">
        <w:rPr>
          <w:rFonts w:ascii="Book Antiqua" w:hAnsi="Book Antiqua"/>
          <w:b/>
          <w:bCs/>
          <w:color w:val="0D0D0D" w:themeColor="text1" w:themeTint="F2"/>
          <w:sz w:val="18"/>
          <w:szCs w:val="18"/>
          <w:lang w:val="en-US"/>
        </w:rPr>
        <w:t xml:space="preserve">Within-specimen (Shannon) diversity measured </w:t>
      </w:r>
      <w:r>
        <w:rPr>
          <w:rFonts w:ascii="Book Antiqua" w:hAnsi="Book Antiqua"/>
          <w:b/>
          <w:bCs/>
          <w:color w:val="0D0D0D" w:themeColor="text1" w:themeTint="F2"/>
          <w:sz w:val="18"/>
          <w:szCs w:val="18"/>
          <w:lang w:val="en-US"/>
        </w:rPr>
        <w:t>from</w:t>
      </w:r>
      <w:r w:rsidRPr="00E0075F">
        <w:rPr>
          <w:rFonts w:ascii="Book Antiqua" w:hAnsi="Book Antiqua"/>
          <w:b/>
          <w:bCs/>
          <w:color w:val="0D0D0D" w:themeColor="text1" w:themeTint="F2"/>
          <w:sz w:val="18"/>
          <w:szCs w:val="18"/>
          <w:lang w:val="en-US"/>
        </w:rPr>
        <w:t xml:space="preserve"> comparison groups during the first year of life. </w:t>
      </w:r>
    </w:p>
    <w:p w14:paraId="21DF1490" w14:textId="77777777" w:rsidR="00F65F8E" w:rsidRPr="00E0075F" w:rsidRDefault="00F65F8E" w:rsidP="00F65F8E">
      <w:pPr>
        <w:spacing w:after="0" w:line="240" w:lineRule="auto"/>
        <w:jc w:val="both"/>
        <w:rPr>
          <w:rFonts w:ascii="Book Antiqua" w:hAnsi="Book Antiqua"/>
          <w:color w:val="0D0D0D" w:themeColor="text1" w:themeTint="F2"/>
          <w:sz w:val="18"/>
          <w:szCs w:val="18"/>
          <w:lang w:val="en-US"/>
        </w:rPr>
      </w:pPr>
      <w:r w:rsidRPr="00E0075F">
        <w:rPr>
          <w:rFonts w:ascii="Book Antiqua" w:hAnsi="Book Antiqua"/>
          <w:color w:val="0D0D0D" w:themeColor="text1" w:themeTint="F2"/>
          <w:sz w:val="18"/>
          <w:szCs w:val="18"/>
          <w:lang w:val="en-US"/>
        </w:rPr>
        <w:t xml:space="preserve">Boxplots represent Shannon diversity indices measured from specimens at monthly intervals during the first year of life. Specimen collection timepoints are grouped into three intervals </w:t>
      </w:r>
      <w:r>
        <w:rPr>
          <w:rFonts w:ascii="Book Antiqua" w:hAnsi="Book Antiqua"/>
          <w:color w:val="0D0D0D" w:themeColor="text1" w:themeTint="F2"/>
          <w:sz w:val="18"/>
          <w:szCs w:val="18"/>
          <w:lang w:val="en-US"/>
        </w:rPr>
        <w:t>(</w:t>
      </w:r>
      <w:r w:rsidRPr="00EF7E48">
        <w:rPr>
          <w:rFonts w:ascii="Book Antiqua" w:hAnsi="Book Antiqua"/>
          <w:color w:val="0D0D0D" w:themeColor="text1" w:themeTint="F2"/>
          <w:sz w:val="18"/>
          <w:szCs w:val="18"/>
          <w:lang w:val="en-US"/>
        </w:rPr>
        <w:t xml:space="preserve">interval A: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01-</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03</w:t>
      </w:r>
      <w:r>
        <w:rPr>
          <w:rFonts w:ascii="Book Antiqua" w:hAnsi="Book Antiqua"/>
          <w:color w:val="0D0D0D" w:themeColor="text1" w:themeTint="F2"/>
          <w:sz w:val="18"/>
          <w:szCs w:val="18"/>
          <w:lang w:val="en-US"/>
        </w:rPr>
        <w:t xml:space="preserve">, </w:t>
      </w:r>
      <w:r w:rsidRPr="00EF7E48">
        <w:rPr>
          <w:rFonts w:ascii="Book Antiqua" w:hAnsi="Book Antiqua"/>
          <w:color w:val="0D0D0D" w:themeColor="text1" w:themeTint="F2"/>
          <w:sz w:val="18"/>
          <w:szCs w:val="18"/>
          <w:lang w:val="en-US"/>
        </w:rPr>
        <w:t xml:space="preserve">interval B: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04-</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06</w:t>
      </w:r>
      <w:r>
        <w:rPr>
          <w:rFonts w:ascii="Book Antiqua" w:hAnsi="Book Antiqua"/>
          <w:color w:val="0D0D0D" w:themeColor="text1" w:themeTint="F2"/>
          <w:sz w:val="18"/>
          <w:szCs w:val="18"/>
          <w:lang w:val="en-US"/>
        </w:rPr>
        <w:t xml:space="preserve">, </w:t>
      </w:r>
      <w:r w:rsidRPr="00EF7E48">
        <w:rPr>
          <w:rFonts w:ascii="Book Antiqua" w:hAnsi="Book Antiqua"/>
          <w:color w:val="0D0D0D" w:themeColor="text1" w:themeTint="F2"/>
          <w:sz w:val="18"/>
          <w:szCs w:val="18"/>
          <w:lang w:val="en-US"/>
        </w:rPr>
        <w:t xml:space="preserve">and interval C: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07-</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12</w:t>
      </w:r>
      <w:r>
        <w:rPr>
          <w:rFonts w:ascii="Book Antiqua" w:hAnsi="Book Antiqua"/>
          <w:color w:val="0D0D0D" w:themeColor="text1" w:themeTint="F2"/>
          <w:sz w:val="18"/>
          <w:szCs w:val="18"/>
          <w:lang w:val="en-US"/>
        </w:rPr>
        <w:t>)</w:t>
      </w:r>
      <w:r w:rsidRPr="00E0075F">
        <w:rPr>
          <w:rFonts w:ascii="Book Antiqua" w:hAnsi="Book Antiqua"/>
          <w:color w:val="0D0D0D" w:themeColor="text1" w:themeTint="F2"/>
          <w:sz w:val="18"/>
          <w:szCs w:val="18"/>
          <w:lang w:val="en-US"/>
        </w:rPr>
        <w:t>. Mixed Linear Models (MLMs) were built for each of the three specimen collection intervals to investigate associations between Shannon diversity and covariates. Median values are presented by horizontal lines within each of the boxplots while upper and lower ranges of the boxplots represent the 75% and 25% quartiles, respectively. Maximum and minimum values, excluding outliers, are presented by whiskers. Dots at each of the timepoints represent mean values. Each connecting line between boxplots within a specimen collection interval represents changes in Shannon diversity indices for each of the participants. All p-values were adjusted for confounders. Statistically significant p-values are shown presented in red font.</w:t>
      </w:r>
    </w:p>
    <w:p w14:paraId="6FEA3284" w14:textId="77777777" w:rsidR="00B24D16" w:rsidRDefault="00B24D16" w:rsidP="00B24D16">
      <w:pPr>
        <w:spacing w:after="0" w:line="480" w:lineRule="auto"/>
        <w:contextualSpacing/>
        <w:jc w:val="both"/>
        <w:rPr>
          <w:rFonts w:ascii="Cambria Math" w:hAnsi="Cambria Math"/>
        </w:rPr>
      </w:pPr>
    </w:p>
    <w:p w14:paraId="06A0D709" w14:textId="77777777" w:rsidR="00B24D16" w:rsidRDefault="00B24D16" w:rsidP="00B24D16">
      <w:pPr>
        <w:spacing w:after="0" w:line="480" w:lineRule="auto"/>
        <w:contextualSpacing/>
        <w:jc w:val="both"/>
        <w:rPr>
          <w:rFonts w:ascii="Cambria Math" w:hAnsi="Cambria Math"/>
        </w:rPr>
      </w:pPr>
    </w:p>
    <w:p w14:paraId="63662918" w14:textId="77777777" w:rsidR="00B24D16" w:rsidRDefault="00B24D16" w:rsidP="00B24D16">
      <w:pPr>
        <w:spacing w:after="0" w:line="480" w:lineRule="auto"/>
        <w:contextualSpacing/>
        <w:jc w:val="both"/>
        <w:rPr>
          <w:rFonts w:ascii="Cambria Math" w:hAnsi="Cambria Math"/>
        </w:rPr>
      </w:pPr>
    </w:p>
    <w:p w14:paraId="614359BB" w14:textId="77777777" w:rsidR="00B24D16" w:rsidRDefault="00B24D16" w:rsidP="00B24D16">
      <w:pPr>
        <w:spacing w:after="0" w:line="480" w:lineRule="auto"/>
        <w:contextualSpacing/>
        <w:jc w:val="both"/>
        <w:rPr>
          <w:rFonts w:ascii="Cambria Math" w:hAnsi="Cambria Math"/>
        </w:rPr>
      </w:pPr>
    </w:p>
    <w:p w14:paraId="6FD636DE" w14:textId="334D8AA3" w:rsidR="00B24D16" w:rsidRDefault="002B58C9" w:rsidP="00B24D16">
      <w:pPr>
        <w:spacing w:after="0" w:line="480" w:lineRule="auto"/>
        <w:contextualSpacing/>
        <w:jc w:val="center"/>
        <w:rPr>
          <w:rFonts w:ascii="Cambria Math" w:hAnsi="Cambria Math"/>
        </w:rPr>
      </w:pPr>
      <w:r>
        <w:rPr>
          <w:rFonts w:ascii="Cambria Math" w:hAnsi="Cambria Math"/>
          <w:noProof/>
        </w:rPr>
        <w:lastRenderedPageBreak/>
        <w:drawing>
          <wp:inline distT="0" distB="0" distL="0" distR="0" wp14:anchorId="40CC65E8" wp14:editId="75C2A604">
            <wp:extent cx="5760000" cy="468585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9" cstate="print">
                      <a:extLst>
                        <a:ext uri="{28A0092B-C50C-407E-A947-70E740481C1C}">
                          <a14:useLocalDpi xmlns:a14="http://schemas.microsoft.com/office/drawing/2010/main" val="0"/>
                        </a:ext>
                      </a:extLst>
                    </a:blip>
                    <a:srcRect l="1122" r="591"/>
                    <a:stretch/>
                  </pic:blipFill>
                  <pic:spPr bwMode="auto">
                    <a:xfrm>
                      <a:off x="0" y="0"/>
                      <a:ext cx="5760000" cy="4685851"/>
                    </a:xfrm>
                    <a:prstGeom prst="rect">
                      <a:avLst/>
                    </a:prstGeom>
                    <a:ln>
                      <a:noFill/>
                    </a:ln>
                    <a:extLst>
                      <a:ext uri="{53640926-AAD7-44D8-BBD7-CCE9431645EC}">
                        <a14:shadowObscured xmlns:a14="http://schemas.microsoft.com/office/drawing/2010/main"/>
                      </a:ext>
                    </a:extLst>
                  </pic:spPr>
                </pic:pic>
              </a:graphicData>
            </a:graphic>
          </wp:inline>
        </w:drawing>
      </w:r>
    </w:p>
    <w:p w14:paraId="06DA33C2" w14:textId="20464D2F" w:rsidR="00F65F8E" w:rsidRPr="00E0075F" w:rsidRDefault="00F65F8E" w:rsidP="00F65F8E">
      <w:pPr>
        <w:spacing w:after="0" w:line="240" w:lineRule="auto"/>
        <w:jc w:val="both"/>
        <w:rPr>
          <w:rFonts w:ascii="Book Antiqua" w:hAnsi="Book Antiqua"/>
          <w:b/>
          <w:bCs/>
          <w:color w:val="0D0D0D" w:themeColor="text1" w:themeTint="F2"/>
          <w:sz w:val="18"/>
          <w:szCs w:val="18"/>
          <w:lang w:val="en-US"/>
        </w:rPr>
      </w:pPr>
      <w:r w:rsidRPr="00E0075F">
        <w:rPr>
          <w:rFonts w:ascii="Book Antiqua" w:hAnsi="Book Antiqua"/>
          <w:b/>
          <w:bCs/>
          <w:color w:val="0D0D0D" w:themeColor="text1" w:themeTint="F2"/>
          <w:sz w:val="18"/>
          <w:szCs w:val="18"/>
          <w:lang w:val="en-US"/>
        </w:rPr>
        <w:t xml:space="preserve">Figure </w:t>
      </w:r>
      <w:r>
        <w:rPr>
          <w:rFonts w:ascii="Book Antiqua" w:hAnsi="Book Antiqua"/>
          <w:b/>
          <w:bCs/>
          <w:color w:val="0D0D0D" w:themeColor="text1" w:themeTint="F2"/>
          <w:sz w:val="18"/>
          <w:szCs w:val="18"/>
          <w:lang w:val="en-US"/>
        </w:rPr>
        <w:t>S22</w:t>
      </w:r>
      <w:r w:rsidRPr="00E0075F">
        <w:rPr>
          <w:rFonts w:ascii="Book Antiqua" w:hAnsi="Book Antiqua"/>
          <w:color w:val="0D0D0D" w:themeColor="text1" w:themeTint="F2"/>
          <w:sz w:val="18"/>
          <w:szCs w:val="18"/>
          <w:lang w:val="en-US"/>
        </w:rPr>
        <w:t xml:space="preserve"> </w:t>
      </w:r>
      <w:r w:rsidRPr="00E0075F">
        <w:rPr>
          <w:rFonts w:ascii="Book Antiqua" w:hAnsi="Book Antiqua"/>
          <w:b/>
          <w:bCs/>
          <w:color w:val="0D0D0D" w:themeColor="text1" w:themeTint="F2"/>
          <w:sz w:val="18"/>
          <w:szCs w:val="18"/>
          <w:lang w:val="en-US"/>
        </w:rPr>
        <w:t xml:space="preserve">Within-specimen (Chao1) diversity measured </w:t>
      </w:r>
      <w:r>
        <w:rPr>
          <w:rFonts w:ascii="Book Antiqua" w:hAnsi="Book Antiqua"/>
          <w:b/>
          <w:bCs/>
          <w:color w:val="0D0D0D" w:themeColor="text1" w:themeTint="F2"/>
          <w:sz w:val="18"/>
          <w:szCs w:val="18"/>
          <w:lang w:val="en-US"/>
        </w:rPr>
        <w:t>from</w:t>
      </w:r>
      <w:r w:rsidRPr="00E0075F">
        <w:rPr>
          <w:rFonts w:ascii="Book Antiqua" w:hAnsi="Book Antiqua"/>
          <w:b/>
          <w:bCs/>
          <w:color w:val="0D0D0D" w:themeColor="text1" w:themeTint="F2"/>
          <w:sz w:val="18"/>
          <w:szCs w:val="18"/>
          <w:lang w:val="en-US"/>
        </w:rPr>
        <w:t xml:space="preserve"> comparison groups during the first year of life. </w:t>
      </w:r>
    </w:p>
    <w:p w14:paraId="7C004D66" w14:textId="77777777" w:rsidR="00F65F8E" w:rsidRPr="00E0075F" w:rsidRDefault="00F65F8E" w:rsidP="00F65F8E">
      <w:pPr>
        <w:spacing w:after="0" w:line="240" w:lineRule="auto"/>
        <w:jc w:val="both"/>
        <w:rPr>
          <w:rFonts w:ascii="Book Antiqua" w:hAnsi="Book Antiqua"/>
          <w:color w:val="0D0D0D" w:themeColor="text1" w:themeTint="F2"/>
          <w:sz w:val="18"/>
          <w:szCs w:val="18"/>
          <w:lang w:val="en-US"/>
        </w:rPr>
      </w:pPr>
      <w:r w:rsidRPr="00E0075F">
        <w:rPr>
          <w:rFonts w:ascii="Book Antiqua" w:hAnsi="Book Antiqua"/>
          <w:color w:val="0D0D0D" w:themeColor="text1" w:themeTint="F2"/>
          <w:sz w:val="18"/>
          <w:szCs w:val="18"/>
          <w:lang w:val="en-US"/>
        </w:rPr>
        <w:t xml:space="preserve">Boxplots represent Chao1 diversity indices measured from specimens at monthly intervals during the first year of life. Specimen collection timepoints are grouped into three intervals </w:t>
      </w:r>
      <w:r>
        <w:rPr>
          <w:rFonts w:ascii="Book Antiqua" w:hAnsi="Book Antiqua"/>
          <w:color w:val="0D0D0D" w:themeColor="text1" w:themeTint="F2"/>
          <w:sz w:val="18"/>
          <w:szCs w:val="18"/>
          <w:lang w:val="en-US"/>
        </w:rPr>
        <w:t>(</w:t>
      </w:r>
      <w:r w:rsidRPr="00EF7E48">
        <w:rPr>
          <w:rFonts w:ascii="Book Antiqua" w:hAnsi="Book Antiqua"/>
          <w:color w:val="0D0D0D" w:themeColor="text1" w:themeTint="F2"/>
          <w:sz w:val="18"/>
          <w:szCs w:val="18"/>
          <w:lang w:val="en-US"/>
        </w:rPr>
        <w:t xml:space="preserve">interval A: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01-</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03</w:t>
      </w:r>
      <w:r>
        <w:rPr>
          <w:rFonts w:ascii="Book Antiqua" w:hAnsi="Book Antiqua"/>
          <w:color w:val="0D0D0D" w:themeColor="text1" w:themeTint="F2"/>
          <w:sz w:val="18"/>
          <w:szCs w:val="18"/>
          <w:lang w:val="en-US"/>
        </w:rPr>
        <w:t xml:space="preserve">, </w:t>
      </w:r>
      <w:r w:rsidRPr="00EF7E48">
        <w:rPr>
          <w:rFonts w:ascii="Book Antiqua" w:hAnsi="Book Antiqua"/>
          <w:color w:val="0D0D0D" w:themeColor="text1" w:themeTint="F2"/>
          <w:sz w:val="18"/>
          <w:szCs w:val="18"/>
          <w:lang w:val="en-US"/>
        </w:rPr>
        <w:t xml:space="preserve">interval B: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04-</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06</w:t>
      </w:r>
      <w:r>
        <w:rPr>
          <w:rFonts w:ascii="Book Antiqua" w:hAnsi="Book Antiqua"/>
          <w:color w:val="0D0D0D" w:themeColor="text1" w:themeTint="F2"/>
          <w:sz w:val="18"/>
          <w:szCs w:val="18"/>
          <w:lang w:val="en-US"/>
        </w:rPr>
        <w:t xml:space="preserve">, </w:t>
      </w:r>
      <w:r w:rsidRPr="00EF7E48">
        <w:rPr>
          <w:rFonts w:ascii="Book Antiqua" w:hAnsi="Book Antiqua"/>
          <w:color w:val="0D0D0D" w:themeColor="text1" w:themeTint="F2"/>
          <w:sz w:val="18"/>
          <w:szCs w:val="18"/>
          <w:lang w:val="en-US"/>
        </w:rPr>
        <w:t xml:space="preserve">and interval C: </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07-</w:t>
      </w:r>
      <w:r>
        <w:rPr>
          <w:rFonts w:ascii="Book Antiqua" w:hAnsi="Book Antiqua"/>
          <w:color w:val="0D0D0D" w:themeColor="text1" w:themeTint="F2"/>
          <w:sz w:val="18"/>
          <w:szCs w:val="18"/>
          <w:lang w:val="en-US"/>
        </w:rPr>
        <w:t>M</w:t>
      </w:r>
      <w:r w:rsidRPr="00EF7E48">
        <w:rPr>
          <w:rFonts w:ascii="Book Antiqua" w:hAnsi="Book Antiqua"/>
          <w:color w:val="0D0D0D" w:themeColor="text1" w:themeTint="F2"/>
          <w:sz w:val="18"/>
          <w:szCs w:val="18"/>
          <w:lang w:val="en-US"/>
        </w:rPr>
        <w:t>12</w:t>
      </w:r>
      <w:r>
        <w:rPr>
          <w:rFonts w:ascii="Book Antiqua" w:hAnsi="Book Antiqua"/>
          <w:color w:val="0D0D0D" w:themeColor="text1" w:themeTint="F2"/>
          <w:sz w:val="18"/>
          <w:szCs w:val="18"/>
          <w:lang w:val="en-US"/>
        </w:rPr>
        <w:t>)</w:t>
      </w:r>
      <w:r w:rsidRPr="00E0075F">
        <w:rPr>
          <w:rFonts w:ascii="Book Antiqua" w:hAnsi="Book Antiqua"/>
          <w:color w:val="0D0D0D" w:themeColor="text1" w:themeTint="F2"/>
          <w:sz w:val="18"/>
          <w:szCs w:val="18"/>
          <w:lang w:val="en-US"/>
        </w:rPr>
        <w:t>. Mixed Linear Models (MLMs) were built for each of the three specimen collection intervals to investigate associations between Chao1 diversity and covariates. Median values are presented by horizontal lines within each of the boxplots while upper and lower ranges of the boxplots represent the 75% and 25% quartiles, respectively. Maximum and minimum values, excluding outliers, are presented by whiskers. Dots at each of the timepoints represent mean values. Each connecting line between boxplots within a specimen collection interval represents changes in Chao1 diversity indices for each of the participants. All p-values were adjusted for confounders. Statistically significant p-values are shown presented in red font.</w:t>
      </w:r>
    </w:p>
    <w:p w14:paraId="022778E4" w14:textId="77777777" w:rsidR="00B24D16" w:rsidRDefault="00B24D16" w:rsidP="00B24D16">
      <w:pPr>
        <w:spacing w:after="0" w:line="480" w:lineRule="auto"/>
        <w:contextualSpacing/>
        <w:jc w:val="both"/>
        <w:rPr>
          <w:rFonts w:ascii="Cambria Math" w:hAnsi="Cambria Math"/>
        </w:rPr>
      </w:pPr>
    </w:p>
    <w:p w14:paraId="3F557076" w14:textId="77777777" w:rsidR="00B24D16" w:rsidRDefault="00B24D16" w:rsidP="00B24D16">
      <w:pPr>
        <w:spacing w:after="0" w:line="480" w:lineRule="auto"/>
        <w:contextualSpacing/>
        <w:jc w:val="both"/>
        <w:rPr>
          <w:rFonts w:ascii="Cambria Math" w:hAnsi="Cambria Math"/>
        </w:rPr>
      </w:pPr>
    </w:p>
    <w:p w14:paraId="4BC82A19" w14:textId="77777777" w:rsidR="00B24D16" w:rsidRDefault="00B24D16" w:rsidP="00B24D16">
      <w:pPr>
        <w:spacing w:after="0" w:line="480" w:lineRule="auto"/>
        <w:contextualSpacing/>
        <w:jc w:val="both"/>
        <w:rPr>
          <w:rFonts w:ascii="Cambria Math" w:hAnsi="Cambria Math"/>
        </w:rPr>
      </w:pPr>
    </w:p>
    <w:p w14:paraId="5903D9A5" w14:textId="77777777" w:rsidR="00B24D16" w:rsidRDefault="00B24D16" w:rsidP="00B24D16">
      <w:pPr>
        <w:spacing w:after="0" w:line="480" w:lineRule="auto"/>
        <w:contextualSpacing/>
        <w:jc w:val="both"/>
        <w:rPr>
          <w:rFonts w:ascii="Cambria Math" w:hAnsi="Cambria Math"/>
        </w:rPr>
      </w:pPr>
    </w:p>
    <w:p w14:paraId="03C1839C" w14:textId="77777777" w:rsidR="00B24D16" w:rsidRDefault="00B24D16" w:rsidP="00B24D16">
      <w:pPr>
        <w:spacing w:after="0" w:line="480" w:lineRule="auto"/>
        <w:contextualSpacing/>
        <w:jc w:val="both"/>
        <w:rPr>
          <w:rFonts w:ascii="Cambria Math" w:hAnsi="Cambria Math"/>
        </w:rPr>
      </w:pPr>
    </w:p>
    <w:p w14:paraId="31E2A408" w14:textId="1C011294" w:rsidR="00B24D16" w:rsidRDefault="002B58C9" w:rsidP="00B24D16">
      <w:pPr>
        <w:spacing w:after="0" w:line="480" w:lineRule="auto"/>
        <w:contextualSpacing/>
        <w:jc w:val="center"/>
        <w:rPr>
          <w:rFonts w:ascii="Cambria Math" w:hAnsi="Cambria Math"/>
        </w:rPr>
      </w:pPr>
      <w:r>
        <w:rPr>
          <w:rFonts w:ascii="Cambria Math" w:hAnsi="Cambria Math"/>
          <w:noProof/>
        </w:rPr>
        <w:lastRenderedPageBreak/>
        <w:drawing>
          <wp:inline distT="0" distB="0" distL="0" distR="0" wp14:anchorId="70328B28" wp14:editId="1A3DEFCE">
            <wp:extent cx="5760000" cy="475270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30" cstate="print">
                      <a:extLst>
                        <a:ext uri="{28A0092B-C50C-407E-A947-70E740481C1C}">
                          <a14:useLocalDpi xmlns:a14="http://schemas.microsoft.com/office/drawing/2010/main" val="0"/>
                        </a:ext>
                      </a:extLst>
                    </a:blip>
                    <a:srcRect l="935" r="281"/>
                    <a:stretch/>
                  </pic:blipFill>
                  <pic:spPr bwMode="auto">
                    <a:xfrm>
                      <a:off x="0" y="0"/>
                      <a:ext cx="5760000" cy="4752707"/>
                    </a:xfrm>
                    <a:prstGeom prst="rect">
                      <a:avLst/>
                    </a:prstGeom>
                    <a:ln>
                      <a:noFill/>
                    </a:ln>
                    <a:extLst>
                      <a:ext uri="{53640926-AAD7-44D8-BBD7-CCE9431645EC}">
                        <a14:shadowObscured xmlns:a14="http://schemas.microsoft.com/office/drawing/2010/main"/>
                      </a:ext>
                    </a:extLst>
                  </pic:spPr>
                </pic:pic>
              </a:graphicData>
            </a:graphic>
          </wp:inline>
        </w:drawing>
      </w:r>
    </w:p>
    <w:p w14:paraId="1F1B37CA" w14:textId="747F9DC0" w:rsidR="00F65F8E" w:rsidRPr="00E0075F" w:rsidRDefault="00F65F8E" w:rsidP="00F65F8E">
      <w:pPr>
        <w:spacing w:after="0" w:line="240" w:lineRule="auto"/>
        <w:jc w:val="both"/>
        <w:rPr>
          <w:rFonts w:ascii="Book Antiqua" w:hAnsi="Book Antiqua"/>
          <w:b/>
          <w:bCs/>
          <w:color w:val="0D0D0D" w:themeColor="text1" w:themeTint="F2"/>
          <w:sz w:val="18"/>
          <w:szCs w:val="18"/>
          <w:lang w:val="en-US"/>
        </w:rPr>
      </w:pPr>
      <w:r w:rsidRPr="00E0075F">
        <w:rPr>
          <w:rFonts w:ascii="Book Antiqua" w:hAnsi="Book Antiqua"/>
          <w:b/>
          <w:bCs/>
          <w:color w:val="0D0D0D" w:themeColor="text1" w:themeTint="F2"/>
          <w:sz w:val="18"/>
          <w:szCs w:val="18"/>
          <w:lang w:val="en-US"/>
        </w:rPr>
        <w:t xml:space="preserve">Figure </w:t>
      </w:r>
      <w:r>
        <w:rPr>
          <w:rFonts w:ascii="Book Antiqua" w:hAnsi="Book Antiqua"/>
          <w:b/>
          <w:bCs/>
          <w:color w:val="0D0D0D" w:themeColor="text1" w:themeTint="F2"/>
          <w:sz w:val="18"/>
          <w:szCs w:val="18"/>
          <w:lang w:val="en-US"/>
        </w:rPr>
        <w:t>S23</w:t>
      </w:r>
      <w:r w:rsidRPr="00E0075F">
        <w:rPr>
          <w:rFonts w:ascii="Book Antiqua" w:hAnsi="Book Antiqua"/>
          <w:b/>
          <w:bCs/>
          <w:color w:val="0D0D0D" w:themeColor="text1" w:themeTint="F2"/>
          <w:sz w:val="18"/>
          <w:szCs w:val="18"/>
          <w:lang w:val="en-US"/>
        </w:rPr>
        <w:t xml:space="preserve"> Between-specimen (Aitchison distance) diversity measured within and between covariate </w:t>
      </w:r>
      <w:r>
        <w:rPr>
          <w:rFonts w:ascii="Book Antiqua" w:hAnsi="Book Antiqua"/>
          <w:b/>
          <w:bCs/>
          <w:color w:val="0D0D0D" w:themeColor="text1" w:themeTint="F2"/>
          <w:sz w:val="18"/>
          <w:szCs w:val="18"/>
          <w:lang w:val="en-US"/>
        </w:rPr>
        <w:t>groups</w:t>
      </w:r>
      <w:r w:rsidRPr="00E0075F">
        <w:rPr>
          <w:rFonts w:ascii="Book Antiqua" w:hAnsi="Book Antiqua"/>
          <w:b/>
          <w:bCs/>
          <w:color w:val="0D0D0D" w:themeColor="text1" w:themeTint="F2"/>
          <w:sz w:val="18"/>
          <w:szCs w:val="18"/>
          <w:lang w:val="en-US"/>
        </w:rPr>
        <w:t xml:space="preserve"> </w:t>
      </w:r>
      <w:r>
        <w:rPr>
          <w:rFonts w:ascii="Book Antiqua" w:hAnsi="Book Antiqua"/>
          <w:b/>
          <w:bCs/>
          <w:color w:val="0D0D0D" w:themeColor="text1" w:themeTint="F2"/>
          <w:sz w:val="18"/>
          <w:szCs w:val="18"/>
          <w:lang w:val="en-US"/>
        </w:rPr>
        <w:t xml:space="preserve">at five timepoints </w:t>
      </w:r>
      <w:r w:rsidRPr="00E0075F">
        <w:rPr>
          <w:rFonts w:ascii="Book Antiqua" w:hAnsi="Book Antiqua"/>
          <w:b/>
          <w:bCs/>
          <w:color w:val="0D0D0D" w:themeColor="text1" w:themeTint="F2"/>
          <w:sz w:val="18"/>
          <w:szCs w:val="18"/>
          <w:lang w:val="en-US"/>
        </w:rPr>
        <w:t xml:space="preserve">during the first year of life. </w:t>
      </w:r>
    </w:p>
    <w:p w14:paraId="7237FA4D" w14:textId="77777777" w:rsidR="00F65F8E" w:rsidRPr="00E0075F" w:rsidRDefault="00F65F8E" w:rsidP="00F65F8E">
      <w:pPr>
        <w:spacing w:after="0" w:line="240" w:lineRule="auto"/>
        <w:jc w:val="both"/>
        <w:rPr>
          <w:rFonts w:ascii="Book Antiqua" w:hAnsi="Book Antiqua"/>
          <w:color w:val="0D0D0D" w:themeColor="text1" w:themeTint="F2"/>
          <w:sz w:val="18"/>
          <w:szCs w:val="18"/>
          <w:lang w:val="en-US"/>
        </w:rPr>
      </w:pPr>
      <w:r w:rsidRPr="00E0075F">
        <w:rPr>
          <w:rFonts w:ascii="Book Antiqua" w:hAnsi="Book Antiqua"/>
          <w:color w:val="0D0D0D" w:themeColor="text1" w:themeTint="F2"/>
          <w:sz w:val="18"/>
          <w:szCs w:val="18"/>
          <w:lang w:val="en-US"/>
        </w:rPr>
        <w:t xml:space="preserve">Boxplots represent beta diversity (Aitchison distance) measured </w:t>
      </w:r>
      <w:r>
        <w:rPr>
          <w:rFonts w:ascii="Book Antiqua" w:hAnsi="Book Antiqua"/>
          <w:color w:val="0D0D0D" w:themeColor="text1" w:themeTint="F2"/>
          <w:sz w:val="18"/>
          <w:szCs w:val="18"/>
          <w:lang w:val="en-US"/>
        </w:rPr>
        <w:t>between</w:t>
      </w:r>
      <w:r w:rsidRPr="00E0075F">
        <w:rPr>
          <w:rFonts w:ascii="Book Antiqua" w:hAnsi="Book Antiqua"/>
          <w:color w:val="0D0D0D" w:themeColor="text1" w:themeTint="F2"/>
          <w:sz w:val="18"/>
          <w:szCs w:val="18"/>
          <w:lang w:val="en-US"/>
        </w:rPr>
        <w:t xml:space="preserve"> specimens </w:t>
      </w:r>
      <w:r>
        <w:rPr>
          <w:rFonts w:ascii="Book Antiqua" w:hAnsi="Book Antiqua"/>
          <w:color w:val="0D0D0D" w:themeColor="text1" w:themeTint="F2"/>
          <w:sz w:val="18"/>
          <w:szCs w:val="18"/>
          <w:lang w:val="en-US"/>
        </w:rPr>
        <w:t>at five timepoints (M01, M03, M06, M09 and M12)</w:t>
      </w:r>
      <w:r w:rsidRPr="00E0075F">
        <w:rPr>
          <w:rFonts w:ascii="Book Antiqua" w:hAnsi="Book Antiqua"/>
          <w:color w:val="0D0D0D" w:themeColor="text1" w:themeTint="F2"/>
          <w:sz w:val="18"/>
          <w:szCs w:val="18"/>
          <w:lang w:val="en-US"/>
        </w:rPr>
        <w:t xml:space="preserve">. Boxplots colors correspond to covariate </w:t>
      </w:r>
      <w:r>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Each color-filled boxplot represents pairwise specimen beta diversi</w:t>
      </w:r>
      <w:r>
        <w:rPr>
          <w:rFonts w:ascii="Book Antiqua" w:hAnsi="Book Antiqua"/>
          <w:color w:val="0D0D0D" w:themeColor="text1" w:themeTint="F2"/>
          <w:sz w:val="18"/>
          <w:szCs w:val="18"/>
          <w:lang w:val="en-US"/>
        </w:rPr>
        <w:t>ty</w:t>
      </w:r>
      <w:r w:rsidRPr="00E0075F">
        <w:rPr>
          <w:rFonts w:ascii="Book Antiqua" w:hAnsi="Book Antiqua"/>
          <w:color w:val="0D0D0D" w:themeColor="text1" w:themeTint="F2"/>
          <w:sz w:val="18"/>
          <w:szCs w:val="18"/>
          <w:lang w:val="en-US"/>
        </w:rPr>
        <w:t xml:space="preserve"> within the covariate level (within-level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Each grey filled boxplot represents pairwise specimen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between different </w:t>
      </w:r>
      <w:r>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xml:space="preserve"> of the covariate tested (between-level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Each grey boxplot has two dots above and below the median which correspond to the </w:t>
      </w:r>
      <w:r>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xml:space="preserve"> for which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w:t>
      </w:r>
      <w:r>
        <w:rPr>
          <w:rFonts w:ascii="Book Antiqua" w:hAnsi="Book Antiqua"/>
          <w:color w:val="0D0D0D" w:themeColor="text1" w:themeTint="F2"/>
          <w:sz w:val="18"/>
          <w:szCs w:val="18"/>
          <w:lang w:val="en-US"/>
        </w:rPr>
        <w:t>is</w:t>
      </w:r>
      <w:r w:rsidRPr="00E0075F">
        <w:rPr>
          <w:rFonts w:ascii="Book Antiqua" w:hAnsi="Book Antiqua"/>
          <w:color w:val="0D0D0D" w:themeColor="text1" w:themeTint="F2"/>
          <w:sz w:val="18"/>
          <w:szCs w:val="18"/>
          <w:lang w:val="en-US"/>
        </w:rPr>
        <w:t xml:space="preserve"> being compared. Median values are presented by horizontal lines within each of the boxplots while upper and lower ranges of the boxplots represent the 75% and 25% quartiles, respectively. Maximum and minimum values, excluding outliers, are presented by whiskers. All p-values were adjusted for confounders. P-values in brackets were corrected using the </w:t>
      </w:r>
      <w:proofErr w:type="spellStart"/>
      <w:r w:rsidRPr="00E0075F">
        <w:rPr>
          <w:rFonts w:ascii="Book Antiqua" w:hAnsi="Book Antiqua"/>
          <w:color w:val="0D0D0D" w:themeColor="text1" w:themeTint="F2"/>
          <w:sz w:val="18"/>
          <w:szCs w:val="18"/>
          <w:lang w:val="en-US"/>
        </w:rPr>
        <w:t>Benjamini</w:t>
      </w:r>
      <w:proofErr w:type="spellEnd"/>
      <w:r w:rsidRPr="00E0075F">
        <w:rPr>
          <w:rFonts w:ascii="Book Antiqua" w:hAnsi="Book Antiqua"/>
          <w:color w:val="0D0D0D" w:themeColor="text1" w:themeTint="F2"/>
          <w:sz w:val="18"/>
          <w:szCs w:val="18"/>
          <w:lang w:val="en-US"/>
        </w:rPr>
        <w:t>-Hochberg (BH) adjustment for false discovery rate. Statistically significant p-values are presented in red font.</w:t>
      </w:r>
    </w:p>
    <w:p w14:paraId="04508015" w14:textId="7D02201A" w:rsidR="00B24D16" w:rsidRDefault="002B58C9" w:rsidP="00B24D16">
      <w:pPr>
        <w:spacing w:after="0" w:line="480" w:lineRule="auto"/>
        <w:contextualSpacing/>
        <w:jc w:val="center"/>
        <w:rPr>
          <w:rFonts w:ascii="Cambria Math" w:hAnsi="Cambria Math"/>
        </w:rPr>
      </w:pPr>
      <w:r>
        <w:rPr>
          <w:rFonts w:ascii="Cambria Math" w:hAnsi="Cambria Math"/>
          <w:noProof/>
        </w:rPr>
        <w:lastRenderedPageBreak/>
        <w:drawing>
          <wp:inline distT="0" distB="0" distL="0" distR="0" wp14:anchorId="55968AE4" wp14:editId="4AD727E0">
            <wp:extent cx="5760000" cy="493346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31" cstate="print">
                      <a:extLst>
                        <a:ext uri="{28A0092B-C50C-407E-A947-70E740481C1C}">
                          <a14:useLocalDpi xmlns:a14="http://schemas.microsoft.com/office/drawing/2010/main" val="0"/>
                        </a:ext>
                      </a:extLst>
                    </a:blip>
                    <a:srcRect l="1122" r="466"/>
                    <a:stretch/>
                  </pic:blipFill>
                  <pic:spPr bwMode="auto">
                    <a:xfrm>
                      <a:off x="0" y="0"/>
                      <a:ext cx="5760000" cy="4933462"/>
                    </a:xfrm>
                    <a:prstGeom prst="rect">
                      <a:avLst/>
                    </a:prstGeom>
                    <a:ln>
                      <a:noFill/>
                    </a:ln>
                    <a:extLst>
                      <a:ext uri="{53640926-AAD7-44D8-BBD7-CCE9431645EC}">
                        <a14:shadowObscured xmlns:a14="http://schemas.microsoft.com/office/drawing/2010/main"/>
                      </a:ext>
                    </a:extLst>
                  </pic:spPr>
                </pic:pic>
              </a:graphicData>
            </a:graphic>
          </wp:inline>
        </w:drawing>
      </w:r>
    </w:p>
    <w:p w14:paraId="4E7891D1" w14:textId="4C9BAF5F" w:rsidR="00F65F8E" w:rsidRPr="00E0075F" w:rsidRDefault="00F65F8E" w:rsidP="00F65F8E">
      <w:pPr>
        <w:spacing w:after="0" w:line="240" w:lineRule="auto"/>
        <w:jc w:val="both"/>
        <w:rPr>
          <w:rFonts w:ascii="Book Antiqua" w:hAnsi="Book Antiqua"/>
          <w:b/>
          <w:bCs/>
          <w:color w:val="0D0D0D" w:themeColor="text1" w:themeTint="F2"/>
          <w:sz w:val="18"/>
          <w:szCs w:val="18"/>
          <w:lang w:val="en-US"/>
        </w:rPr>
      </w:pPr>
      <w:r w:rsidRPr="00E0075F">
        <w:rPr>
          <w:rFonts w:ascii="Book Antiqua" w:hAnsi="Book Antiqua"/>
          <w:b/>
          <w:bCs/>
          <w:color w:val="0D0D0D" w:themeColor="text1" w:themeTint="F2"/>
          <w:sz w:val="18"/>
          <w:szCs w:val="18"/>
          <w:lang w:val="en-US"/>
        </w:rPr>
        <w:t xml:space="preserve">Figure </w:t>
      </w:r>
      <w:r>
        <w:rPr>
          <w:rFonts w:ascii="Book Antiqua" w:hAnsi="Book Antiqua"/>
          <w:b/>
          <w:bCs/>
          <w:color w:val="0D0D0D" w:themeColor="text1" w:themeTint="F2"/>
          <w:sz w:val="18"/>
          <w:szCs w:val="18"/>
          <w:lang w:val="en-US"/>
        </w:rPr>
        <w:t>S24</w:t>
      </w:r>
      <w:r w:rsidRPr="00E0075F">
        <w:rPr>
          <w:rFonts w:ascii="Book Antiqua" w:hAnsi="Book Antiqua"/>
          <w:b/>
          <w:bCs/>
          <w:color w:val="0D0D0D" w:themeColor="text1" w:themeTint="F2"/>
          <w:sz w:val="18"/>
          <w:szCs w:val="18"/>
          <w:lang w:val="en-US"/>
        </w:rPr>
        <w:t xml:space="preserve"> Between-specimen (Bray-</w:t>
      </w:r>
      <w:proofErr w:type="gramStart"/>
      <w:r w:rsidRPr="00E0075F">
        <w:rPr>
          <w:rFonts w:ascii="Book Antiqua" w:hAnsi="Book Antiqua"/>
          <w:b/>
          <w:bCs/>
          <w:color w:val="0D0D0D" w:themeColor="text1" w:themeTint="F2"/>
          <w:sz w:val="18"/>
          <w:szCs w:val="18"/>
          <w:lang w:val="en-US"/>
        </w:rPr>
        <w:t>Curtis</w:t>
      </w:r>
      <w:proofErr w:type="gramEnd"/>
      <w:r w:rsidRPr="00E0075F">
        <w:rPr>
          <w:rFonts w:ascii="Book Antiqua" w:hAnsi="Book Antiqua"/>
          <w:b/>
          <w:bCs/>
          <w:color w:val="0D0D0D" w:themeColor="text1" w:themeTint="F2"/>
          <w:sz w:val="18"/>
          <w:szCs w:val="18"/>
          <w:lang w:val="en-US"/>
        </w:rPr>
        <w:t xml:space="preserve"> dissimilarity) diversity measured within and between covariate </w:t>
      </w:r>
      <w:r>
        <w:rPr>
          <w:rFonts w:ascii="Book Antiqua" w:hAnsi="Book Antiqua"/>
          <w:b/>
          <w:bCs/>
          <w:color w:val="0D0D0D" w:themeColor="text1" w:themeTint="F2"/>
          <w:sz w:val="18"/>
          <w:szCs w:val="18"/>
          <w:lang w:val="en-US"/>
        </w:rPr>
        <w:t>groups</w:t>
      </w:r>
      <w:r w:rsidRPr="00E0075F">
        <w:rPr>
          <w:rFonts w:ascii="Book Antiqua" w:hAnsi="Book Antiqua"/>
          <w:b/>
          <w:bCs/>
          <w:color w:val="0D0D0D" w:themeColor="text1" w:themeTint="F2"/>
          <w:sz w:val="18"/>
          <w:szCs w:val="18"/>
          <w:lang w:val="en-US"/>
        </w:rPr>
        <w:t xml:space="preserve"> </w:t>
      </w:r>
      <w:r>
        <w:rPr>
          <w:rFonts w:ascii="Book Antiqua" w:hAnsi="Book Antiqua"/>
          <w:b/>
          <w:bCs/>
          <w:color w:val="0D0D0D" w:themeColor="text1" w:themeTint="F2"/>
          <w:sz w:val="18"/>
          <w:szCs w:val="18"/>
          <w:lang w:val="en-US"/>
        </w:rPr>
        <w:t>at five timepoints during the</w:t>
      </w:r>
      <w:r w:rsidRPr="00E0075F">
        <w:rPr>
          <w:rFonts w:ascii="Book Antiqua" w:hAnsi="Book Antiqua"/>
          <w:b/>
          <w:bCs/>
          <w:color w:val="0D0D0D" w:themeColor="text1" w:themeTint="F2"/>
          <w:sz w:val="18"/>
          <w:szCs w:val="18"/>
          <w:lang w:val="en-US"/>
        </w:rPr>
        <w:t xml:space="preserve"> first year of life. </w:t>
      </w:r>
    </w:p>
    <w:p w14:paraId="027EDFF6" w14:textId="77777777" w:rsidR="00F65F8E" w:rsidRPr="00E0075F" w:rsidRDefault="00F65F8E" w:rsidP="00F65F8E">
      <w:pPr>
        <w:spacing w:after="0" w:line="240" w:lineRule="auto"/>
        <w:jc w:val="both"/>
        <w:rPr>
          <w:rFonts w:ascii="Book Antiqua" w:hAnsi="Book Antiqua"/>
          <w:color w:val="0D0D0D" w:themeColor="text1" w:themeTint="F2"/>
          <w:sz w:val="18"/>
          <w:szCs w:val="18"/>
          <w:lang w:val="en-US"/>
        </w:rPr>
      </w:pPr>
      <w:r w:rsidRPr="00E0075F">
        <w:rPr>
          <w:rFonts w:ascii="Book Antiqua" w:hAnsi="Book Antiqua"/>
          <w:color w:val="0D0D0D" w:themeColor="text1" w:themeTint="F2"/>
          <w:sz w:val="18"/>
          <w:szCs w:val="18"/>
          <w:lang w:val="en-US"/>
        </w:rPr>
        <w:t>Boxplots represent beta diversity (Bray-</w:t>
      </w:r>
      <w:proofErr w:type="gramStart"/>
      <w:r w:rsidRPr="00E0075F">
        <w:rPr>
          <w:rFonts w:ascii="Book Antiqua" w:hAnsi="Book Antiqua"/>
          <w:color w:val="0D0D0D" w:themeColor="text1" w:themeTint="F2"/>
          <w:sz w:val="18"/>
          <w:szCs w:val="18"/>
          <w:lang w:val="en-US"/>
        </w:rPr>
        <w:t>Curtis</w:t>
      </w:r>
      <w:proofErr w:type="gramEnd"/>
      <w:r w:rsidRPr="00E0075F">
        <w:rPr>
          <w:rFonts w:ascii="Book Antiqua" w:hAnsi="Book Antiqua"/>
          <w:color w:val="0D0D0D" w:themeColor="text1" w:themeTint="F2"/>
          <w:sz w:val="18"/>
          <w:szCs w:val="18"/>
          <w:lang w:val="en-US"/>
        </w:rPr>
        <w:t xml:space="preserve"> dissimilarity) measured </w:t>
      </w:r>
      <w:r>
        <w:rPr>
          <w:rFonts w:ascii="Book Antiqua" w:hAnsi="Book Antiqua"/>
          <w:color w:val="0D0D0D" w:themeColor="text1" w:themeTint="F2"/>
          <w:sz w:val="18"/>
          <w:szCs w:val="18"/>
          <w:lang w:val="en-US"/>
        </w:rPr>
        <w:t>between</w:t>
      </w:r>
      <w:r w:rsidRPr="00E0075F">
        <w:rPr>
          <w:rFonts w:ascii="Book Antiqua" w:hAnsi="Book Antiqua"/>
          <w:color w:val="0D0D0D" w:themeColor="text1" w:themeTint="F2"/>
          <w:sz w:val="18"/>
          <w:szCs w:val="18"/>
          <w:lang w:val="en-US"/>
        </w:rPr>
        <w:t xml:space="preserve"> specimens </w:t>
      </w:r>
      <w:r>
        <w:rPr>
          <w:rFonts w:ascii="Book Antiqua" w:hAnsi="Book Antiqua"/>
          <w:color w:val="0D0D0D" w:themeColor="text1" w:themeTint="F2"/>
          <w:sz w:val="18"/>
          <w:szCs w:val="18"/>
          <w:lang w:val="en-US"/>
        </w:rPr>
        <w:t>at five timepoints (M01, M03, M06, M09 and M12)</w:t>
      </w:r>
      <w:r w:rsidRPr="00E0075F">
        <w:rPr>
          <w:rFonts w:ascii="Book Antiqua" w:hAnsi="Book Antiqua"/>
          <w:color w:val="0D0D0D" w:themeColor="text1" w:themeTint="F2"/>
          <w:sz w:val="18"/>
          <w:szCs w:val="18"/>
          <w:lang w:val="en-US"/>
        </w:rPr>
        <w:t xml:space="preserve">. Boxplots colors correspond to covariate </w:t>
      </w:r>
      <w:r>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Each color-filled boxplot represents pairwise specimen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within the covariate level (within-level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Each grey filled boxplot represents pairwise specimen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between different </w:t>
      </w:r>
      <w:r>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xml:space="preserve"> of the covariate tested (between-level beta diversit</w:t>
      </w:r>
      <w:r>
        <w:rPr>
          <w:rFonts w:ascii="Book Antiqua" w:hAnsi="Book Antiqua"/>
          <w:color w:val="0D0D0D" w:themeColor="text1" w:themeTint="F2"/>
          <w:sz w:val="18"/>
          <w:szCs w:val="18"/>
          <w:lang w:val="en-US"/>
        </w:rPr>
        <w:t>y</w:t>
      </w:r>
      <w:r w:rsidRPr="00E0075F">
        <w:rPr>
          <w:rFonts w:ascii="Book Antiqua" w:hAnsi="Book Antiqua"/>
          <w:color w:val="0D0D0D" w:themeColor="text1" w:themeTint="F2"/>
          <w:sz w:val="18"/>
          <w:szCs w:val="18"/>
          <w:lang w:val="en-US"/>
        </w:rPr>
        <w:t xml:space="preserve">). Each grey boxplot has two dots above and below the median which correspond to the </w:t>
      </w:r>
      <w:r>
        <w:rPr>
          <w:rFonts w:ascii="Book Antiqua" w:hAnsi="Book Antiqua"/>
          <w:color w:val="0D0D0D" w:themeColor="text1" w:themeTint="F2"/>
          <w:sz w:val="18"/>
          <w:szCs w:val="18"/>
          <w:lang w:val="en-US"/>
        </w:rPr>
        <w:t>groups</w:t>
      </w:r>
      <w:r w:rsidRPr="00E0075F">
        <w:rPr>
          <w:rFonts w:ascii="Book Antiqua" w:hAnsi="Book Antiqua"/>
          <w:color w:val="0D0D0D" w:themeColor="text1" w:themeTint="F2"/>
          <w:sz w:val="18"/>
          <w:szCs w:val="18"/>
          <w:lang w:val="en-US"/>
        </w:rPr>
        <w:t xml:space="preserve"> for which beta diversit</w:t>
      </w:r>
      <w:r>
        <w:rPr>
          <w:rFonts w:ascii="Book Antiqua" w:hAnsi="Book Antiqua"/>
          <w:color w:val="0D0D0D" w:themeColor="text1" w:themeTint="F2"/>
          <w:sz w:val="18"/>
          <w:szCs w:val="18"/>
          <w:lang w:val="en-US"/>
        </w:rPr>
        <w:t>y is</w:t>
      </w:r>
      <w:r w:rsidRPr="00E0075F">
        <w:rPr>
          <w:rFonts w:ascii="Book Antiqua" w:hAnsi="Book Antiqua"/>
          <w:color w:val="0D0D0D" w:themeColor="text1" w:themeTint="F2"/>
          <w:sz w:val="18"/>
          <w:szCs w:val="18"/>
          <w:lang w:val="en-US"/>
        </w:rPr>
        <w:t xml:space="preserve"> being compared. Median values are presented by horizontal lines within each of the boxplots while upper and lower ranges of the boxplots represent the 75% and 25% quartiles, respectively. Maximum and minimum values, excluding outliers, are presented by whiskers. All p-values were adjusted for confounders. P-values in brackets were corrected using the </w:t>
      </w:r>
      <w:proofErr w:type="spellStart"/>
      <w:r w:rsidRPr="00E0075F">
        <w:rPr>
          <w:rFonts w:ascii="Book Antiqua" w:hAnsi="Book Antiqua"/>
          <w:color w:val="0D0D0D" w:themeColor="text1" w:themeTint="F2"/>
          <w:sz w:val="18"/>
          <w:szCs w:val="18"/>
          <w:lang w:val="en-US"/>
        </w:rPr>
        <w:t>Benjamini</w:t>
      </w:r>
      <w:proofErr w:type="spellEnd"/>
      <w:r w:rsidRPr="00E0075F">
        <w:rPr>
          <w:rFonts w:ascii="Book Antiqua" w:hAnsi="Book Antiqua"/>
          <w:color w:val="0D0D0D" w:themeColor="text1" w:themeTint="F2"/>
          <w:sz w:val="18"/>
          <w:szCs w:val="18"/>
          <w:lang w:val="en-US"/>
        </w:rPr>
        <w:t>-Hochberg (BH) adjustment for false discovery rate. Statistically significant p-values are presented in red font.</w:t>
      </w:r>
    </w:p>
    <w:p w14:paraId="3283A030" w14:textId="1973344C" w:rsidR="0048468D" w:rsidRDefault="0048468D" w:rsidP="004326DA">
      <w:pPr>
        <w:spacing w:after="0" w:line="480" w:lineRule="auto"/>
        <w:rPr>
          <w:rFonts w:ascii="Cambria Math" w:hAnsi="Cambria Math"/>
        </w:rPr>
      </w:pPr>
    </w:p>
    <w:p w14:paraId="0796A9C8" w14:textId="77777777" w:rsidR="0048468D" w:rsidRDefault="0048468D" w:rsidP="004326DA">
      <w:pPr>
        <w:spacing w:after="0" w:line="480" w:lineRule="auto"/>
        <w:rPr>
          <w:rFonts w:ascii="Cambria Math" w:hAnsi="Cambria Math"/>
        </w:rPr>
      </w:pPr>
    </w:p>
    <w:p w14:paraId="6E044851" w14:textId="77777777" w:rsidR="0048468D" w:rsidRDefault="0048468D" w:rsidP="004326DA">
      <w:pPr>
        <w:spacing w:after="0" w:line="480" w:lineRule="auto"/>
        <w:rPr>
          <w:rFonts w:ascii="Cambria Math" w:hAnsi="Cambria Math"/>
        </w:rPr>
      </w:pPr>
    </w:p>
    <w:p w14:paraId="78DEDA82" w14:textId="77777777" w:rsidR="0048468D" w:rsidRDefault="0048468D" w:rsidP="004326DA">
      <w:pPr>
        <w:spacing w:after="0" w:line="480" w:lineRule="auto"/>
        <w:rPr>
          <w:rFonts w:ascii="Cambria Math" w:hAnsi="Cambria Math"/>
        </w:rPr>
      </w:pPr>
    </w:p>
    <w:p w14:paraId="267FF131" w14:textId="77777777" w:rsidR="0048468D" w:rsidRDefault="0048468D" w:rsidP="004326DA">
      <w:pPr>
        <w:spacing w:after="0" w:line="480" w:lineRule="auto"/>
        <w:rPr>
          <w:rFonts w:ascii="Cambria Math" w:hAnsi="Cambria Math"/>
        </w:rPr>
      </w:pPr>
    </w:p>
    <w:p w14:paraId="77B02990" w14:textId="77777777" w:rsidR="0048468D" w:rsidRDefault="0048468D" w:rsidP="004326DA">
      <w:pPr>
        <w:spacing w:after="0" w:line="480" w:lineRule="auto"/>
        <w:rPr>
          <w:rFonts w:ascii="Cambria Math" w:hAnsi="Cambria Math"/>
        </w:rPr>
      </w:pPr>
    </w:p>
    <w:p w14:paraId="71634E59" w14:textId="36BE9EC1" w:rsidR="00267631" w:rsidRDefault="00267631" w:rsidP="00267631">
      <w:pPr>
        <w:spacing w:after="0" w:line="480" w:lineRule="auto"/>
        <w:rPr>
          <w:rFonts w:ascii="Cambria Math" w:hAnsi="Cambria Math"/>
          <w:b/>
          <w:bCs/>
          <w:sz w:val="28"/>
          <w:szCs w:val="28"/>
        </w:rPr>
      </w:pPr>
      <w:r>
        <w:rPr>
          <w:rFonts w:ascii="Cambria Math" w:hAnsi="Cambria Math"/>
          <w:b/>
          <w:bCs/>
          <w:sz w:val="28"/>
          <w:szCs w:val="28"/>
        </w:rPr>
        <w:lastRenderedPageBreak/>
        <w:t>Section E</w:t>
      </w:r>
    </w:p>
    <w:p w14:paraId="09C1AF16" w14:textId="5177D18F" w:rsidR="00267631" w:rsidRPr="00267631" w:rsidRDefault="00267631" w:rsidP="00267631">
      <w:pPr>
        <w:spacing w:after="0" w:line="480" w:lineRule="auto"/>
        <w:rPr>
          <w:rFonts w:ascii="Cambria Math" w:hAnsi="Cambria Math"/>
          <w:b/>
          <w:bCs/>
          <w:sz w:val="28"/>
          <w:szCs w:val="28"/>
        </w:rPr>
      </w:pPr>
      <w:r>
        <w:rPr>
          <w:rFonts w:ascii="Cambria Math" w:hAnsi="Cambria Math"/>
          <w:b/>
          <w:bCs/>
          <w:sz w:val="28"/>
          <w:szCs w:val="28"/>
        </w:rPr>
        <w:t>Extended references</w:t>
      </w:r>
    </w:p>
    <w:p w14:paraId="03EF8BE5" w14:textId="193FBF86"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Pr>
          <w:rFonts w:ascii="Cambria Math" w:hAnsi="Cambria Math"/>
        </w:rPr>
        <w:fldChar w:fldCharType="begin" w:fldLock="1"/>
      </w:r>
      <w:r>
        <w:rPr>
          <w:rFonts w:ascii="Cambria Math" w:hAnsi="Cambria Math"/>
        </w:rPr>
        <w:instrText xml:space="preserve">ADDIN Mendeley Bibliography CSL_BIBLIOGRAPHY </w:instrText>
      </w:r>
      <w:r>
        <w:rPr>
          <w:rFonts w:ascii="Cambria Math" w:hAnsi="Cambria Math"/>
        </w:rPr>
        <w:fldChar w:fldCharType="separate"/>
      </w:r>
      <w:r w:rsidRPr="00760B7A">
        <w:rPr>
          <w:rFonts w:ascii="Cambria Math" w:hAnsi="Cambria Math" w:cs="Times New Roman"/>
          <w:noProof/>
          <w:szCs w:val="24"/>
        </w:rPr>
        <w:t xml:space="preserve">1. </w:t>
      </w:r>
      <w:r w:rsidR="00EA413A">
        <w:rPr>
          <w:rFonts w:ascii="Cambria Math" w:hAnsi="Cambria Math" w:cs="Times New Roman"/>
          <w:noProof/>
          <w:szCs w:val="24"/>
        </w:rPr>
        <w:tab/>
      </w:r>
      <w:r w:rsidRPr="00760B7A">
        <w:rPr>
          <w:rFonts w:ascii="Cambria Math" w:hAnsi="Cambria Math" w:cs="Times New Roman"/>
          <w:noProof/>
          <w:szCs w:val="24"/>
        </w:rPr>
        <w:t>Claassen-Weitz S, Gardner-Lubbe S, Mwaikono KS, du Toit E, Zar HJ, Nicol MP. Optimizing 16S rRNA gene profile analysis from low biomass nasopharyngeal and induced sputum specimens. BMC Microbiol. 2020;20:113.</w:t>
      </w:r>
    </w:p>
    <w:p w14:paraId="17D67C07" w14:textId="48247F59"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2. </w:t>
      </w:r>
      <w:r w:rsidR="00EA413A">
        <w:rPr>
          <w:rFonts w:ascii="Cambria Math" w:hAnsi="Cambria Math" w:cs="Times New Roman"/>
          <w:noProof/>
          <w:szCs w:val="24"/>
        </w:rPr>
        <w:tab/>
      </w:r>
      <w:r w:rsidRPr="00760B7A">
        <w:rPr>
          <w:rFonts w:ascii="Cambria Math" w:hAnsi="Cambria Math" w:cs="Times New Roman"/>
          <w:noProof/>
          <w:szCs w:val="24"/>
        </w:rPr>
        <w:t>Claassen-Weitz S, Gardner-Lubbe S, Nicol P, Botha G, Mounaud S, Shankar J, et al. HIV-exposure, early life feeding practices and delivery mode impacts on faecal bacterial profiles in a South African birth cohort. Sci Rep. 2018;8:1–15.</w:t>
      </w:r>
    </w:p>
    <w:p w14:paraId="1A60D5FD" w14:textId="4AB9EC1B"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3. </w:t>
      </w:r>
      <w:r w:rsidR="00EA413A">
        <w:rPr>
          <w:rFonts w:ascii="Cambria Math" w:hAnsi="Cambria Math" w:cs="Times New Roman"/>
          <w:noProof/>
          <w:szCs w:val="24"/>
        </w:rPr>
        <w:tab/>
      </w:r>
      <w:r w:rsidRPr="00760B7A">
        <w:rPr>
          <w:rFonts w:ascii="Cambria Math" w:hAnsi="Cambria Math" w:cs="Times New Roman"/>
          <w:noProof/>
          <w:szCs w:val="24"/>
        </w:rPr>
        <w:t>Illumina Proprietary. MiSeq ® Reagent Kit v3 Reagent Preparation Guide. 2013; October 2013:1–14. http://supportres.illumina.com/documents/documentation/system_documentation/miseq/miseq-reagent-kit-v3-reagent-prep-guide-15044983-b.pdf.</w:t>
      </w:r>
    </w:p>
    <w:p w14:paraId="0FFDFC4B" w14:textId="77777777"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4. Illumina Proprietary. MiSeq ® System User Guide. 2014; January:1–94. http://supportres.illumina.com/documents/documentation/system_documentation/miseq/miseq-system-user-guide-15027617-n.pdf.</w:t>
      </w:r>
    </w:p>
    <w:p w14:paraId="1DC47143" w14:textId="28A725D8"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5. </w:t>
      </w:r>
      <w:r w:rsidR="00EA413A">
        <w:rPr>
          <w:rFonts w:ascii="Cambria Math" w:hAnsi="Cambria Math" w:cs="Times New Roman"/>
          <w:noProof/>
          <w:szCs w:val="24"/>
        </w:rPr>
        <w:tab/>
      </w:r>
      <w:r w:rsidRPr="00760B7A">
        <w:rPr>
          <w:rFonts w:ascii="Cambria Math" w:hAnsi="Cambria Math" w:cs="Times New Roman"/>
          <w:noProof/>
          <w:szCs w:val="24"/>
        </w:rPr>
        <w:t>Andrews S. FastQC: a quality control tool for high throughput sequence data. 2010. http://www.bioinformatics.babraham.ac.uk/projects/fastqc.</w:t>
      </w:r>
    </w:p>
    <w:p w14:paraId="1439CAAB" w14:textId="2E6ADE43"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6. </w:t>
      </w:r>
      <w:r w:rsidR="00EA413A">
        <w:rPr>
          <w:rFonts w:ascii="Cambria Math" w:hAnsi="Cambria Math" w:cs="Times New Roman"/>
          <w:noProof/>
          <w:szCs w:val="24"/>
        </w:rPr>
        <w:tab/>
      </w:r>
      <w:r w:rsidRPr="00760B7A">
        <w:rPr>
          <w:rFonts w:ascii="Cambria Math" w:hAnsi="Cambria Math" w:cs="Times New Roman"/>
          <w:noProof/>
          <w:szCs w:val="24"/>
        </w:rPr>
        <w:t>Ewels P, Magnusson M, Lundin S, Käller M. MultiQC: Summarize analysis results for multiple tools and samples in a single report. Bioinformatics. 2016;32:3047–8.</w:t>
      </w:r>
    </w:p>
    <w:p w14:paraId="0820C5DC" w14:textId="2FD7D5C5"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7. </w:t>
      </w:r>
      <w:r w:rsidR="00EA413A">
        <w:rPr>
          <w:rFonts w:ascii="Cambria Math" w:hAnsi="Cambria Math" w:cs="Times New Roman"/>
          <w:noProof/>
          <w:szCs w:val="24"/>
        </w:rPr>
        <w:tab/>
      </w:r>
      <w:r w:rsidRPr="00760B7A">
        <w:rPr>
          <w:rFonts w:ascii="Cambria Math" w:hAnsi="Cambria Math" w:cs="Times New Roman"/>
          <w:noProof/>
          <w:szCs w:val="24"/>
        </w:rPr>
        <w:t>Callahan BJ, McMurdie PJ, Rosen MJ, Han AW, Johnson, Amy Jo A Holmes SP. DADA2: High resolution sample inference from Illumina amplicon data. Nat Methods. 2016;13:581–3.</w:t>
      </w:r>
    </w:p>
    <w:p w14:paraId="6C534430" w14:textId="2E440B5E"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8. </w:t>
      </w:r>
      <w:r w:rsidR="00EA413A">
        <w:rPr>
          <w:rFonts w:ascii="Cambria Math" w:hAnsi="Cambria Math" w:cs="Times New Roman"/>
          <w:noProof/>
          <w:szCs w:val="24"/>
        </w:rPr>
        <w:tab/>
      </w:r>
      <w:r w:rsidRPr="00760B7A">
        <w:rPr>
          <w:rFonts w:ascii="Cambria Math" w:hAnsi="Cambria Math" w:cs="Times New Roman"/>
          <w:noProof/>
          <w:szCs w:val="24"/>
        </w:rPr>
        <w:t>Tommaso P Di, Chatzou M, Floden EW, Barja PP, Palumbo E, Notredame C. Nextflow enables reproducible computational workflows. Nat Biotechnol. 2017;35:316–9.</w:t>
      </w:r>
    </w:p>
    <w:p w14:paraId="516BD947" w14:textId="0F562A4E"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9. </w:t>
      </w:r>
      <w:r w:rsidR="00EA413A">
        <w:rPr>
          <w:rFonts w:ascii="Cambria Math" w:hAnsi="Cambria Math" w:cs="Times New Roman"/>
          <w:noProof/>
          <w:szCs w:val="24"/>
        </w:rPr>
        <w:tab/>
      </w:r>
      <w:r w:rsidRPr="00760B7A">
        <w:rPr>
          <w:rFonts w:ascii="Cambria Math" w:hAnsi="Cambria Math" w:cs="Times New Roman"/>
          <w:noProof/>
          <w:szCs w:val="24"/>
        </w:rPr>
        <w:t>Cole JR, Wang Q, Fish JA, Chai B, McGarrell DM, Sun Y, et al. Ribosomal Database Project: Data and tools for high throughput rRNA analysis. Nucleic Acids Res. 2014;42:633–42.</w:t>
      </w:r>
    </w:p>
    <w:p w14:paraId="317B4BBD" w14:textId="1AC0177B"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10. </w:t>
      </w:r>
      <w:r w:rsidR="00EA413A">
        <w:rPr>
          <w:rFonts w:ascii="Cambria Math" w:hAnsi="Cambria Math" w:cs="Times New Roman"/>
          <w:noProof/>
          <w:szCs w:val="24"/>
        </w:rPr>
        <w:tab/>
      </w:r>
      <w:r w:rsidRPr="00760B7A">
        <w:rPr>
          <w:rFonts w:ascii="Cambria Math" w:hAnsi="Cambria Math" w:cs="Times New Roman"/>
          <w:noProof/>
          <w:szCs w:val="24"/>
        </w:rPr>
        <w:t>Callahan BJ. RDP taxonomic training data formatted for DADA2 (RDP trainset 16/release 11.5). Zenodo. 2017. https://zenodo.org/record/801828#.X7VWKs7itdg.</w:t>
      </w:r>
    </w:p>
    <w:p w14:paraId="62156E6B" w14:textId="64AEAA0B"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lastRenderedPageBreak/>
        <w:t xml:space="preserve">11. </w:t>
      </w:r>
      <w:r w:rsidR="00EA413A">
        <w:rPr>
          <w:rFonts w:ascii="Cambria Math" w:hAnsi="Cambria Math" w:cs="Times New Roman"/>
          <w:noProof/>
          <w:szCs w:val="24"/>
        </w:rPr>
        <w:tab/>
      </w:r>
      <w:r w:rsidRPr="00760B7A">
        <w:rPr>
          <w:rFonts w:ascii="Cambria Math" w:hAnsi="Cambria Math" w:cs="Times New Roman"/>
          <w:noProof/>
          <w:szCs w:val="24"/>
        </w:rPr>
        <w:t>Quast C, Pruesse E, Yilmaz P, Gerken J, Schweer T, Yarza P, et al. The SILVA ribosomal RNA gene database project: improved data processing and web-based tools. Nucleic Acids Res. 2013;41 Database issue:D590-6.</w:t>
      </w:r>
    </w:p>
    <w:p w14:paraId="6B39FA20" w14:textId="6774715A"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12. </w:t>
      </w:r>
      <w:r w:rsidR="00EA413A">
        <w:rPr>
          <w:rFonts w:ascii="Cambria Math" w:hAnsi="Cambria Math" w:cs="Times New Roman"/>
          <w:noProof/>
          <w:szCs w:val="24"/>
        </w:rPr>
        <w:tab/>
      </w:r>
      <w:r w:rsidRPr="00760B7A">
        <w:rPr>
          <w:rFonts w:ascii="Cambria Math" w:hAnsi="Cambria Math" w:cs="Times New Roman"/>
          <w:noProof/>
          <w:szCs w:val="24"/>
        </w:rPr>
        <w:t>R Core Team. R Foundation for Statistical Computing. R: A language and environment for statistical computing. 2020. https://www.r-project.org/.</w:t>
      </w:r>
    </w:p>
    <w:p w14:paraId="2A3D961D" w14:textId="078A4454"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13.</w:t>
      </w:r>
      <w:r w:rsidR="00EA413A">
        <w:rPr>
          <w:rFonts w:ascii="Cambria Math" w:hAnsi="Cambria Math" w:cs="Times New Roman"/>
          <w:noProof/>
          <w:szCs w:val="24"/>
        </w:rPr>
        <w:tab/>
      </w:r>
      <w:r w:rsidRPr="00760B7A">
        <w:rPr>
          <w:rFonts w:ascii="Cambria Math" w:hAnsi="Cambria Math" w:cs="Times New Roman"/>
          <w:noProof/>
          <w:szCs w:val="24"/>
        </w:rPr>
        <w:t>RStudio Team. RStudio: Integrated development environment for R. 2020. http://www.rstudio.org/.</w:t>
      </w:r>
    </w:p>
    <w:p w14:paraId="17B48D03" w14:textId="1BBB30CD"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14. </w:t>
      </w:r>
      <w:r w:rsidR="00EA413A">
        <w:rPr>
          <w:rFonts w:ascii="Cambria Math" w:hAnsi="Cambria Math" w:cs="Times New Roman"/>
          <w:noProof/>
          <w:szCs w:val="24"/>
        </w:rPr>
        <w:tab/>
      </w:r>
      <w:r w:rsidRPr="00760B7A">
        <w:rPr>
          <w:rFonts w:ascii="Cambria Math" w:hAnsi="Cambria Math" w:cs="Times New Roman"/>
          <w:noProof/>
          <w:szCs w:val="24"/>
        </w:rPr>
        <w:t xml:space="preserve">Davis NM, Proctor D, Holmes SP, Relman DA, Callahan BJ. Simple statistical identification and removal of contaminant sequences in marker-gene and metagenomics data. </w:t>
      </w:r>
      <w:r w:rsidR="001247A5">
        <w:rPr>
          <w:rFonts w:ascii="Cambria Math" w:hAnsi="Cambria Math" w:cs="Times New Roman"/>
          <w:noProof/>
          <w:szCs w:val="24"/>
        </w:rPr>
        <w:t>Microbiome</w:t>
      </w:r>
      <w:r w:rsidRPr="00760B7A">
        <w:rPr>
          <w:rFonts w:ascii="Cambria Math" w:hAnsi="Cambria Math" w:cs="Times New Roman"/>
          <w:noProof/>
          <w:szCs w:val="24"/>
        </w:rPr>
        <w:t>. 201</w:t>
      </w:r>
      <w:r w:rsidR="001247A5">
        <w:rPr>
          <w:rFonts w:ascii="Cambria Math" w:hAnsi="Cambria Math" w:cs="Times New Roman"/>
          <w:noProof/>
          <w:szCs w:val="24"/>
        </w:rPr>
        <w:t>8</w:t>
      </w:r>
      <w:r w:rsidRPr="00760B7A">
        <w:rPr>
          <w:rFonts w:ascii="Cambria Math" w:hAnsi="Cambria Math" w:cs="Times New Roman"/>
          <w:noProof/>
          <w:szCs w:val="24"/>
        </w:rPr>
        <w:t>;</w:t>
      </w:r>
      <w:r w:rsidR="001247A5">
        <w:rPr>
          <w:rFonts w:ascii="Cambria Math" w:hAnsi="Cambria Math" w:cs="Times New Roman"/>
          <w:noProof/>
          <w:szCs w:val="24"/>
        </w:rPr>
        <w:t>6</w:t>
      </w:r>
      <w:r w:rsidRPr="00760B7A">
        <w:rPr>
          <w:rFonts w:ascii="Cambria Math" w:hAnsi="Cambria Math" w:cs="Times New Roman"/>
          <w:noProof/>
          <w:szCs w:val="24"/>
        </w:rPr>
        <w:t>:</w:t>
      </w:r>
      <w:r w:rsidR="001247A5">
        <w:rPr>
          <w:rFonts w:ascii="Cambria Math" w:hAnsi="Cambria Math" w:cs="Times New Roman"/>
          <w:noProof/>
          <w:szCs w:val="24"/>
        </w:rPr>
        <w:t>226</w:t>
      </w:r>
      <w:r w:rsidRPr="00760B7A">
        <w:rPr>
          <w:rFonts w:ascii="Cambria Math" w:hAnsi="Cambria Math" w:cs="Times New Roman"/>
          <w:noProof/>
          <w:szCs w:val="24"/>
        </w:rPr>
        <w:t>.</w:t>
      </w:r>
    </w:p>
    <w:p w14:paraId="04926198" w14:textId="2E223C1F"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15. </w:t>
      </w:r>
      <w:r w:rsidR="00EA413A">
        <w:rPr>
          <w:rFonts w:ascii="Cambria Math" w:hAnsi="Cambria Math" w:cs="Times New Roman"/>
          <w:noProof/>
          <w:szCs w:val="24"/>
        </w:rPr>
        <w:tab/>
      </w:r>
      <w:r w:rsidRPr="00760B7A">
        <w:rPr>
          <w:rFonts w:ascii="Cambria Math" w:hAnsi="Cambria Math" w:cs="Times New Roman"/>
          <w:noProof/>
          <w:szCs w:val="24"/>
        </w:rPr>
        <w:t>Letunic I, Bork P. Interactive Tree Of Life (iTOL) v5: an online tool for phylogenetic tree display and annotation. Nucleic Acids Res. 2021;49:W293–6.</w:t>
      </w:r>
    </w:p>
    <w:p w14:paraId="7EB6ABDA" w14:textId="552F170B"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16. </w:t>
      </w:r>
      <w:r w:rsidR="00EA413A">
        <w:rPr>
          <w:rFonts w:ascii="Cambria Math" w:hAnsi="Cambria Math" w:cs="Times New Roman"/>
          <w:noProof/>
          <w:szCs w:val="24"/>
        </w:rPr>
        <w:tab/>
      </w:r>
      <w:r w:rsidRPr="00760B7A">
        <w:rPr>
          <w:rFonts w:ascii="Cambria Math" w:hAnsi="Cambria Math" w:cs="Times New Roman"/>
          <w:noProof/>
          <w:szCs w:val="24"/>
        </w:rPr>
        <w:t>Shannon CE. A Mathematical Theory of Communication. Bell Syst Tech J. 1948;27:379–423.</w:t>
      </w:r>
    </w:p>
    <w:p w14:paraId="40EBCDC5" w14:textId="547AAAA8"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17. </w:t>
      </w:r>
      <w:r w:rsidR="00EA413A">
        <w:rPr>
          <w:rFonts w:ascii="Cambria Math" w:hAnsi="Cambria Math" w:cs="Times New Roman"/>
          <w:noProof/>
          <w:szCs w:val="24"/>
        </w:rPr>
        <w:tab/>
      </w:r>
      <w:r w:rsidRPr="00760B7A">
        <w:rPr>
          <w:rFonts w:ascii="Cambria Math" w:hAnsi="Cambria Math" w:cs="Times New Roman"/>
          <w:noProof/>
          <w:szCs w:val="24"/>
        </w:rPr>
        <w:t>Chao A. Estimating the Population Size for Capture-Recapture Data with Unequal Catchability. Biometrics. 1987;43:783–91.</w:t>
      </w:r>
    </w:p>
    <w:p w14:paraId="3141D6E8" w14:textId="4AD35428"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18. </w:t>
      </w:r>
      <w:r w:rsidR="00EA413A">
        <w:rPr>
          <w:rFonts w:ascii="Cambria Math" w:hAnsi="Cambria Math" w:cs="Times New Roman"/>
          <w:noProof/>
          <w:szCs w:val="24"/>
        </w:rPr>
        <w:tab/>
      </w:r>
      <w:r w:rsidRPr="00760B7A">
        <w:rPr>
          <w:rFonts w:ascii="Cambria Math" w:hAnsi="Cambria Math" w:cs="Times New Roman"/>
          <w:noProof/>
          <w:szCs w:val="24"/>
        </w:rPr>
        <w:t>Liu J, Zhang X, Chen T, Wu T, Lin T, Jiang L, et al. A semiparametric model for between-subject attributes: Applications to beta-diversity of microbiome data. Biometrics. 2021</w:t>
      </w:r>
      <w:r w:rsidR="009D2B40">
        <w:rPr>
          <w:rFonts w:ascii="Cambria Math" w:hAnsi="Cambria Math" w:cs="Times New Roman"/>
          <w:noProof/>
          <w:szCs w:val="24"/>
        </w:rPr>
        <w:t xml:space="preserve">. </w:t>
      </w:r>
      <w:r w:rsidR="009D2B40" w:rsidRPr="009D2B40">
        <w:rPr>
          <w:rFonts w:ascii="Cambria Math" w:hAnsi="Cambria Math" w:cs="Times New Roman"/>
          <w:noProof/>
          <w:szCs w:val="24"/>
        </w:rPr>
        <w:t>doi: 10.1111/biom.13487</w:t>
      </w:r>
      <w:r w:rsidR="009D2B40">
        <w:rPr>
          <w:rFonts w:ascii="Cambria Math" w:hAnsi="Cambria Math" w:cs="Times New Roman"/>
          <w:noProof/>
          <w:szCs w:val="24"/>
        </w:rPr>
        <w:t>.</w:t>
      </w:r>
    </w:p>
    <w:p w14:paraId="45DE620A" w14:textId="7CAB5E45"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19. </w:t>
      </w:r>
      <w:r w:rsidR="00EA413A">
        <w:rPr>
          <w:rFonts w:ascii="Cambria Math" w:hAnsi="Cambria Math" w:cs="Times New Roman"/>
          <w:noProof/>
          <w:szCs w:val="24"/>
        </w:rPr>
        <w:tab/>
      </w:r>
      <w:r w:rsidRPr="00760B7A">
        <w:rPr>
          <w:rFonts w:ascii="Cambria Math" w:hAnsi="Cambria Math" w:cs="Times New Roman"/>
          <w:noProof/>
          <w:szCs w:val="24"/>
        </w:rPr>
        <w:t>Aitchison J. The Statistical Analysis of Compositional Data. J R Stat Soc. 1982;44:139–60.</w:t>
      </w:r>
    </w:p>
    <w:p w14:paraId="7F63F8B7" w14:textId="7F07042A"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20. </w:t>
      </w:r>
      <w:r w:rsidR="00EA413A">
        <w:rPr>
          <w:rFonts w:ascii="Cambria Math" w:hAnsi="Cambria Math" w:cs="Times New Roman"/>
          <w:noProof/>
          <w:szCs w:val="24"/>
        </w:rPr>
        <w:tab/>
      </w:r>
      <w:r w:rsidRPr="00760B7A">
        <w:rPr>
          <w:rFonts w:ascii="Cambria Math" w:hAnsi="Cambria Math" w:cs="Times New Roman"/>
          <w:noProof/>
          <w:szCs w:val="24"/>
        </w:rPr>
        <w:t>Aitchison J, Greenacre M. Biplots of compositional data. J R Stat Soc Ser C (Applied Stat. 2002;51:375–92.</w:t>
      </w:r>
    </w:p>
    <w:p w14:paraId="39497194" w14:textId="6FAC3E30"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21. </w:t>
      </w:r>
      <w:r w:rsidR="00EA413A">
        <w:rPr>
          <w:rFonts w:ascii="Cambria Math" w:hAnsi="Cambria Math" w:cs="Times New Roman"/>
          <w:noProof/>
          <w:szCs w:val="24"/>
        </w:rPr>
        <w:tab/>
      </w:r>
      <w:r w:rsidRPr="00760B7A">
        <w:rPr>
          <w:rFonts w:ascii="Cambria Math" w:hAnsi="Cambria Math" w:cs="Times New Roman"/>
          <w:noProof/>
          <w:szCs w:val="24"/>
        </w:rPr>
        <w:t>Bray JR, Curtis JT. An Ordination of the Upland Forest Communities of Southern Wisconsin. Ecol Monogr. 1957;27:325–49.</w:t>
      </w:r>
    </w:p>
    <w:p w14:paraId="51970039" w14:textId="6BCA5D9A"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22. </w:t>
      </w:r>
      <w:r w:rsidR="00EA413A">
        <w:rPr>
          <w:rFonts w:ascii="Cambria Math" w:hAnsi="Cambria Math" w:cs="Times New Roman"/>
          <w:noProof/>
          <w:szCs w:val="24"/>
        </w:rPr>
        <w:tab/>
      </w:r>
      <w:r w:rsidRPr="00760B7A">
        <w:rPr>
          <w:rFonts w:ascii="Cambria Math" w:hAnsi="Cambria Math" w:cs="Times New Roman"/>
          <w:noProof/>
          <w:szCs w:val="24"/>
        </w:rPr>
        <w:t>Mallick H, Rahnavard A, McIver LJ, Ma S, Zhang Y, Nguyen LH, et al. Multivariable association discovery in population-scale meta-omics studies. PLoS Comput Biol. 2021;17:1–27.</w:t>
      </w:r>
    </w:p>
    <w:p w14:paraId="28F07329" w14:textId="5E946A57"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23. </w:t>
      </w:r>
      <w:r w:rsidR="00EA413A">
        <w:rPr>
          <w:rFonts w:ascii="Cambria Math" w:hAnsi="Cambria Math" w:cs="Times New Roman"/>
          <w:noProof/>
          <w:szCs w:val="24"/>
        </w:rPr>
        <w:tab/>
      </w:r>
      <w:r w:rsidRPr="00760B7A">
        <w:rPr>
          <w:rFonts w:ascii="Cambria Math" w:hAnsi="Cambria Math" w:cs="Times New Roman"/>
          <w:noProof/>
          <w:szCs w:val="24"/>
        </w:rPr>
        <w:t xml:space="preserve">Mandal S, Van Treuren W, White RA, Eggesbø M, Knight R, Peddada SD. Analysis of composition of microbiomes: a novel method for studying microbial composition. Microb </w:t>
      </w:r>
      <w:r w:rsidRPr="00760B7A">
        <w:rPr>
          <w:rFonts w:ascii="Cambria Math" w:hAnsi="Cambria Math" w:cs="Times New Roman"/>
          <w:noProof/>
          <w:szCs w:val="24"/>
        </w:rPr>
        <w:lastRenderedPageBreak/>
        <w:t>Ecol Heal Dis. 2015;26:27663.</w:t>
      </w:r>
    </w:p>
    <w:p w14:paraId="2B7EA750" w14:textId="568344BB"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cs="Times New Roman"/>
          <w:noProof/>
          <w:szCs w:val="24"/>
        </w:rPr>
      </w:pPr>
      <w:r w:rsidRPr="00760B7A">
        <w:rPr>
          <w:rFonts w:ascii="Cambria Math" w:hAnsi="Cambria Math" w:cs="Times New Roman"/>
          <w:noProof/>
          <w:szCs w:val="24"/>
        </w:rPr>
        <w:t xml:space="preserve">24. </w:t>
      </w:r>
      <w:r w:rsidR="00EA413A">
        <w:rPr>
          <w:rFonts w:ascii="Cambria Math" w:hAnsi="Cambria Math" w:cs="Times New Roman"/>
          <w:noProof/>
          <w:szCs w:val="24"/>
        </w:rPr>
        <w:tab/>
      </w:r>
      <w:r w:rsidRPr="00760B7A">
        <w:rPr>
          <w:rFonts w:ascii="Cambria Math" w:hAnsi="Cambria Math" w:cs="Times New Roman"/>
          <w:noProof/>
          <w:szCs w:val="24"/>
        </w:rPr>
        <w:t>Gower J, Lubbe S, Le Roux N. Understanding Biplots. Chichester, United Kingdom: John Wiley &amp; Sons Ltd.; 2011.</w:t>
      </w:r>
    </w:p>
    <w:p w14:paraId="34E5837A" w14:textId="3B9746FE" w:rsidR="00760B7A" w:rsidRPr="00760B7A" w:rsidRDefault="00760B7A" w:rsidP="00D110D5">
      <w:pPr>
        <w:widowControl w:val="0"/>
        <w:autoSpaceDE w:val="0"/>
        <w:autoSpaceDN w:val="0"/>
        <w:adjustRightInd w:val="0"/>
        <w:spacing w:after="0" w:line="480" w:lineRule="auto"/>
        <w:ind w:left="426" w:hanging="426"/>
        <w:jc w:val="both"/>
        <w:rPr>
          <w:rFonts w:ascii="Cambria Math" w:hAnsi="Cambria Math"/>
          <w:noProof/>
        </w:rPr>
      </w:pPr>
      <w:r w:rsidRPr="00760B7A">
        <w:rPr>
          <w:rFonts w:ascii="Cambria Math" w:hAnsi="Cambria Math" w:cs="Times New Roman"/>
          <w:noProof/>
          <w:szCs w:val="24"/>
        </w:rPr>
        <w:t xml:space="preserve">25. </w:t>
      </w:r>
      <w:r w:rsidR="00EA413A">
        <w:rPr>
          <w:rFonts w:ascii="Cambria Math" w:hAnsi="Cambria Math" w:cs="Times New Roman"/>
          <w:noProof/>
          <w:szCs w:val="24"/>
        </w:rPr>
        <w:tab/>
      </w:r>
      <w:r w:rsidRPr="00760B7A">
        <w:rPr>
          <w:rFonts w:ascii="Cambria Math" w:hAnsi="Cambria Math" w:cs="Times New Roman"/>
          <w:noProof/>
          <w:szCs w:val="24"/>
        </w:rPr>
        <w:t>Martin-Fernandez J., Palarea-Albaladejo J, Olea R. Dealing with Zeros. In: Pawlowsky-Glahn V, Buccianti A, editors. Compositional Data Analysis: Theory and Applications. Chichester, United Kingdom: John Wiley &amp; Sons Ltd.; 2011. p. 43–58.</w:t>
      </w:r>
    </w:p>
    <w:p w14:paraId="33E0CA96" w14:textId="60476885" w:rsidR="004326DA" w:rsidRPr="004326DA" w:rsidRDefault="00760B7A" w:rsidP="00EA413A">
      <w:pPr>
        <w:spacing w:after="0" w:line="480" w:lineRule="auto"/>
        <w:jc w:val="both"/>
        <w:rPr>
          <w:rFonts w:ascii="Cambria Math" w:hAnsi="Cambria Math"/>
        </w:rPr>
      </w:pPr>
      <w:r>
        <w:rPr>
          <w:rFonts w:ascii="Cambria Math" w:hAnsi="Cambria Math"/>
        </w:rPr>
        <w:fldChar w:fldCharType="end"/>
      </w:r>
    </w:p>
    <w:sectPr w:rsidR="004326DA" w:rsidRPr="004326DA" w:rsidSect="009A48EA">
      <w:footerReference w:type="default" r:id="rId32"/>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929EC" w14:textId="77777777" w:rsidR="00207808" w:rsidRDefault="00207808" w:rsidP="00A210F5">
      <w:pPr>
        <w:spacing w:after="0" w:line="240" w:lineRule="auto"/>
      </w:pPr>
      <w:r>
        <w:separator/>
      </w:r>
    </w:p>
  </w:endnote>
  <w:endnote w:type="continuationSeparator" w:id="0">
    <w:p w14:paraId="3134C0DE" w14:textId="77777777" w:rsidR="00207808" w:rsidRDefault="00207808" w:rsidP="00A21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MinionPro-Regular">
    <w:altName w:val="HGPMinchoE"/>
    <w:panose1 w:val="00000000000000000000"/>
    <w:charset w:val="80"/>
    <w:family w:val="roman"/>
    <w:notTrueType/>
    <w:pitch w:val="default"/>
    <w:sig w:usb0="00000003" w:usb1="08070000" w:usb2="00000010" w:usb3="00000000" w:csb0="00020001" w:csb1="00000000"/>
  </w:font>
  <w:font w:name="Helvetica">
    <w:panose1 w:val="020B0604020202020204"/>
    <w:charset w:val="00"/>
    <w:family w:val="auto"/>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31894"/>
      <w:docPartObj>
        <w:docPartGallery w:val="Page Numbers (Bottom of Page)"/>
        <w:docPartUnique/>
      </w:docPartObj>
    </w:sdtPr>
    <w:sdtEndPr>
      <w:rPr>
        <w:noProof/>
      </w:rPr>
    </w:sdtEndPr>
    <w:sdtContent>
      <w:p w14:paraId="3AA78049" w14:textId="2EBC1FC1" w:rsidR="00A210F5" w:rsidRDefault="00A210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F18CD6" w14:textId="77777777" w:rsidR="00A210F5" w:rsidRDefault="00A21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F1D7A" w14:textId="77777777" w:rsidR="00207808" w:rsidRDefault="00207808" w:rsidP="00A210F5">
      <w:pPr>
        <w:spacing w:after="0" w:line="240" w:lineRule="auto"/>
      </w:pPr>
      <w:r>
        <w:separator/>
      </w:r>
    </w:p>
  </w:footnote>
  <w:footnote w:type="continuationSeparator" w:id="0">
    <w:p w14:paraId="1277B520" w14:textId="77777777" w:rsidR="00207808" w:rsidRDefault="00207808" w:rsidP="00A210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502D3"/>
    <w:multiLevelType w:val="hybridMultilevel"/>
    <w:tmpl w:val="8B9685F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A2B5C09"/>
    <w:multiLevelType w:val="hybridMultilevel"/>
    <w:tmpl w:val="F2D0949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35228654">
    <w:abstractNumId w:val="0"/>
  </w:num>
  <w:num w:numId="2" w16cid:durableId="526870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zMLMwN7M0MDExNrBU0lEKTi0uzszPAykwrAUAiZxUCSwAAAA="/>
  </w:docVars>
  <w:rsids>
    <w:rsidRoot w:val="00E11FA1"/>
    <w:rsid w:val="0001097F"/>
    <w:rsid w:val="00033D9F"/>
    <w:rsid w:val="00034059"/>
    <w:rsid w:val="000349B7"/>
    <w:rsid w:val="00045AA4"/>
    <w:rsid w:val="000611A7"/>
    <w:rsid w:val="00070770"/>
    <w:rsid w:val="00077F73"/>
    <w:rsid w:val="00080060"/>
    <w:rsid w:val="00086B01"/>
    <w:rsid w:val="00086E33"/>
    <w:rsid w:val="000B4003"/>
    <w:rsid w:val="000C2B03"/>
    <w:rsid w:val="000C365D"/>
    <w:rsid w:val="000C7A81"/>
    <w:rsid w:val="000D28F7"/>
    <w:rsid w:val="000F18AA"/>
    <w:rsid w:val="000F55E8"/>
    <w:rsid w:val="00103505"/>
    <w:rsid w:val="00117DFD"/>
    <w:rsid w:val="0012021E"/>
    <w:rsid w:val="001247A5"/>
    <w:rsid w:val="0015140E"/>
    <w:rsid w:val="00156099"/>
    <w:rsid w:val="001735EA"/>
    <w:rsid w:val="00181675"/>
    <w:rsid w:val="00182113"/>
    <w:rsid w:val="00187A0A"/>
    <w:rsid w:val="001C511C"/>
    <w:rsid w:val="0020261E"/>
    <w:rsid w:val="00204FEF"/>
    <w:rsid w:val="00207808"/>
    <w:rsid w:val="0022527D"/>
    <w:rsid w:val="00230756"/>
    <w:rsid w:val="00236F82"/>
    <w:rsid w:val="00237E1A"/>
    <w:rsid w:val="00257747"/>
    <w:rsid w:val="00262EE3"/>
    <w:rsid w:val="00264AD7"/>
    <w:rsid w:val="00267631"/>
    <w:rsid w:val="00267EC4"/>
    <w:rsid w:val="0027235A"/>
    <w:rsid w:val="00282D08"/>
    <w:rsid w:val="002B0F8D"/>
    <w:rsid w:val="002B58C9"/>
    <w:rsid w:val="002C4708"/>
    <w:rsid w:val="002D002D"/>
    <w:rsid w:val="002D6E77"/>
    <w:rsid w:val="00321D69"/>
    <w:rsid w:val="00337BF1"/>
    <w:rsid w:val="0034026B"/>
    <w:rsid w:val="00353281"/>
    <w:rsid w:val="00374398"/>
    <w:rsid w:val="0037543B"/>
    <w:rsid w:val="00383A21"/>
    <w:rsid w:val="00385C10"/>
    <w:rsid w:val="003A02BE"/>
    <w:rsid w:val="004012DE"/>
    <w:rsid w:val="00421190"/>
    <w:rsid w:val="004326DA"/>
    <w:rsid w:val="0043356D"/>
    <w:rsid w:val="00444DAD"/>
    <w:rsid w:val="00454E38"/>
    <w:rsid w:val="00461E32"/>
    <w:rsid w:val="0047645E"/>
    <w:rsid w:val="0048468D"/>
    <w:rsid w:val="004A17AE"/>
    <w:rsid w:val="004A1B69"/>
    <w:rsid w:val="004D65FE"/>
    <w:rsid w:val="004E5F51"/>
    <w:rsid w:val="00502571"/>
    <w:rsid w:val="00522D38"/>
    <w:rsid w:val="005302DD"/>
    <w:rsid w:val="005324B8"/>
    <w:rsid w:val="005815BC"/>
    <w:rsid w:val="005B2A3E"/>
    <w:rsid w:val="005D5EB7"/>
    <w:rsid w:val="005D6BDD"/>
    <w:rsid w:val="005E0D12"/>
    <w:rsid w:val="005F4610"/>
    <w:rsid w:val="005F4E22"/>
    <w:rsid w:val="005F5290"/>
    <w:rsid w:val="006007BC"/>
    <w:rsid w:val="006110D1"/>
    <w:rsid w:val="00614713"/>
    <w:rsid w:val="00635CB1"/>
    <w:rsid w:val="00641D26"/>
    <w:rsid w:val="00645FFD"/>
    <w:rsid w:val="00674725"/>
    <w:rsid w:val="00695AAB"/>
    <w:rsid w:val="006A53BC"/>
    <w:rsid w:val="006B1DAE"/>
    <w:rsid w:val="00711EDF"/>
    <w:rsid w:val="007231FE"/>
    <w:rsid w:val="007264C5"/>
    <w:rsid w:val="0073454C"/>
    <w:rsid w:val="00741556"/>
    <w:rsid w:val="00760B7A"/>
    <w:rsid w:val="00771CD8"/>
    <w:rsid w:val="007823B5"/>
    <w:rsid w:val="007B32D5"/>
    <w:rsid w:val="007B4520"/>
    <w:rsid w:val="007D525B"/>
    <w:rsid w:val="007E0246"/>
    <w:rsid w:val="007F3322"/>
    <w:rsid w:val="00847D68"/>
    <w:rsid w:val="0086540E"/>
    <w:rsid w:val="00874C63"/>
    <w:rsid w:val="008840F2"/>
    <w:rsid w:val="00895BC2"/>
    <w:rsid w:val="008A41EA"/>
    <w:rsid w:val="008B1D0A"/>
    <w:rsid w:val="008C32F4"/>
    <w:rsid w:val="008E3596"/>
    <w:rsid w:val="009042E8"/>
    <w:rsid w:val="00904834"/>
    <w:rsid w:val="00932DDA"/>
    <w:rsid w:val="00965C57"/>
    <w:rsid w:val="00975305"/>
    <w:rsid w:val="009A1DE4"/>
    <w:rsid w:val="009A48EA"/>
    <w:rsid w:val="009C6410"/>
    <w:rsid w:val="009D2B40"/>
    <w:rsid w:val="009D4773"/>
    <w:rsid w:val="009F0267"/>
    <w:rsid w:val="009F3BAC"/>
    <w:rsid w:val="00A210F5"/>
    <w:rsid w:val="00A42221"/>
    <w:rsid w:val="00A733DE"/>
    <w:rsid w:val="00A806C8"/>
    <w:rsid w:val="00A86418"/>
    <w:rsid w:val="00AA4A0F"/>
    <w:rsid w:val="00AF4AF6"/>
    <w:rsid w:val="00AF5BD9"/>
    <w:rsid w:val="00B22B1E"/>
    <w:rsid w:val="00B24D16"/>
    <w:rsid w:val="00B40117"/>
    <w:rsid w:val="00B418B4"/>
    <w:rsid w:val="00B4389F"/>
    <w:rsid w:val="00B53A33"/>
    <w:rsid w:val="00B82EDE"/>
    <w:rsid w:val="00B90E8D"/>
    <w:rsid w:val="00B9666E"/>
    <w:rsid w:val="00BA7254"/>
    <w:rsid w:val="00BD08D2"/>
    <w:rsid w:val="00BD0B95"/>
    <w:rsid w:val="00BF2871"/>
    <w:rsid w:val="00BF30F4"/>
    <w:rsid w:val="00BF6719"/>
    <w:rsid w:val="00C20E31"/>
    <w:rsid w:val="00C23326"/>
    <w:rsid w:val="00C47DFD"/>
    <w:rsid w:val="00C64EBE"/>
    <w:rsid w:val="00C906E9"/>
    <w:rsid w:val="00C911A0"/>
    <w:rsid w:val="00C979B5"/>
    <w:rsid w:val="00CA0FE2"/>
    <w:rsid w:val="00D00301"/>
    <w:rsid w:val="00D05994"/>
    <w:rsid w:val="00D07862"/>
    <w:rsid w:val="00D10E9E"/>
    <w:rsid w:val="00D110D5"/>
    <w:rsid w:val="00D20F28"/>
    <w:rsid w:val="00D22DAA"/>
    <w:rsid w:val="00D4287F"/>
    <w:rsid w:val="00D77277"/>
    <w:rsid w:val="00D7779A"/>
    <w:rsid w:val="00D870A7"/>
    <w:rsid w:val="00DA1FB9"/>
    <w:rsid w:val="00DA3BBB"/>
    <w:rsid w:val="00E10266"/>
    <w:rsid w:val="00E119E2"/>
    <w:rsid w:val="00E11FA1"/>
    <w:rsid w:val="00E3617D"/>
    <w:rsid w:val="00E469D2"/>
    <w:rsid w:val="00E63E47"/>
    <w:rsid w:val="00E86840"/>
    <w:rsid w:val="00EA413A"/>
    <w:rsid w:val="00EB29A5"/>
    <w:rsid w:val="00EF5693"/>
    <w:rsid w:val="00F01A1D"/>
    <w:rsid w:val="00F14A23"/>
    <w:rsid w:val="00F27969"/>
    <w:rsid w:val="00F52C8A"/>
    <w:rsid w:val="00F64802"/>
    <w:rsid w:val="00F65F8E"/>
    <w:rsid w:val="00F901FB"/>
    <w:rsid w:val="00FB6E2C"/>
    <w:rsid w:val="00FD3D55"/>
    <w:rsid w:val="00FD649E"/>
    <w:rsid w:val="00FF211E"/>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60C89"/>
  <w15:chartTrackingRefBased/>
  <w15:docId w15:val="{F3803F30-EFDE-44E1-87AC-13A23447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0E31"/>
    <w:rPr>
      <w:color w:val="0563C1" w:themeColor="hyperlink"/>
      <w:u w:val="single"/>
    </w:rPr>
  </w:style>
  <w:style w:type="character" w:styleId="UnresolvedMention">
    <w:name w:val="Unresolved Mention"/>
    <w:basedOn w:val="DefaultParagraphFont"/>
    <w:uiPriority w:val="99"/>
    <w:semiHidden/>
    <w:unhideWhenUsed/>
    <w:rsid w:val="00C20E31"/>
    <w:rPr>
      <w:color w:val="605E5C"/>
      <w:shd w:val="clear" w:color="auto" w:fill="E1DFDD"/>
    </w:rPr>
  </w:style>
  <w:style w:type="character" w:styleId="LineNumber">
    <w:name w:val="line number"/>
    <w:basedOn w:val="DefaultParagraphFont"/>
    <w:uiPriority w:val="99"/>
    <w:semiHidden/>
    <w:unhideWhenUsed/>
    <w:rsid w:val="009A48EA"/>
  </w:style>
  <w:style w:type="paragraph" w:styleId="ListParagraph">
    <w:name w:val="List Paragraph"/>
    <w:basedOn w:val="Normal"/>
    <w:uiPriority w:val="34"/>
    <w:qFormat/>
    <w:rsid w:val="0048468D"/>
    <w:pPr>
      <w:ind w:left="720"/>
      <w:contextualSpacing/>
    </w:pPr>
  </w:style>
  <w:style w:type="paragraph" w:styleId="Header">
    <w:name w:val="header"/>
    <w:basedOn w:val="Normal"/>
    <w:link w:val="HeaderChar"/>
    <w:uiPriority w:val="99"/>
    <w:unhideWhenUsed/>
    <w:rsid w:val="00A210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0F5"/>
  </w:style>
  <w:style w:type="paragraph" w:styleId="Footer">
    <w:name w:val="footer"/>
    <w:basedOn w:val="Normal"/>
    <w:link w:val="FooterChar"/>
    <w:uiPriority w:val="99"/>
    <w:unhideWhenUsed/>
    <w:rsid w:val="00A210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0F5"/>
  </w:style>
  <w:style w:type="character" w:styleId="CommentReference">
    <w:name w:val="annotation reference"/>
    <w:basedOn w:val="DefaultParagraphFont"/>
    <w:uiPriority w:val="99"/>
    <w:semiHidden/>
    <w:unhideWhenUsed/>
    <w:rsid w:val="005F5290"/>
    <w:rPr>
      <w:sz w:val="16"/>
      <w:szCs w:val="16"/>
    </w:rPr>
  </w:style>
  <w:style w:type="paragraph" w:styleId="CommentText">
    <w:name w:val="annotation text"/>
    <w:basedOn w:val="Normal"/>
    <w:link w:val="CommentTextChar"/>
    <w:uiPriority w:val="99"/>
    <w:unhideWhenUsed/>
    <w:rsid w:val="005F5290"/>
    <w:pPr>
      <w:spacing w:line="240" w:lineRule="auto"/>
    </w:pPr>
    <w:rPr>
      <w:sz w:val="20"/>
      <w:szCs w:val="20"/>
    </w:rPr>
  </w:style>
  <w:style w:type="character" w:customStyle="1" w:styleId="CommentTextChar">
    <w:name w:val="Comment Text Char"/>
    <w:basedOn w:val="DefaultParagraphFont"/>
    <w:link w:val="CommentText"/>
    <w:uiPriority w:val="99"/>
    <w:rsid w:val="005F5290"/>
    <w:rPr>
      <w:sz w:val="20"/>
      <w:szCs w:val="20"/>
    </w:rPr>
  </w:style>
  <w:style w:type="paragraph" w:styleId="CommentSubject">
    <w:name w:val="annotation subject"/>
    <w:basedOn w:val="CommentText"/>
    <w:next w:val="CommentText"/>
    <w:link w:val="CommentSubjectChar"/>
    <w:uiPriority w:val="99"/>
    <w:semiHidden/>
    <w:unhideWhenUsed/>
    <w:rsid w:val="00695AAB"/>
    <w:rPr>
      <w:b/>
      <w:bCs/>
    </w:rPr>
  </w:style>
  <w:style w:type="character" w:customStyle="1" w:styleId="CommentSubjectChar">
    <w:name w:val="Comment Subject Char"/>
    <w:basedOn w:val="CommentTextChar"/>
    <w:link w:val="CommentSubject"/>
    <w:uiPriority w:val="99"/>
    <w:semiHidden/>
    <w:rsid w:val="00695AAB"/>
    <w:rPr>
      <w:b/>
      <w:bCs/>
      <w:sz w:val="20"/>
      <w:szCs w:val="20"/>
    </w:rPr>
  </w:style>
  <w:style w:type="character" w:customStyle="1" w:styleId="pl-s">
    <w:name w:val="pl-s"/>
    <w:basedOn w:val="DefaultParagraphFont"/>
    <w:rsid w:val="004A1B69"/>
  </w:style>
  <w:style w:type="paragraph" w:styleId="Revision">
    <w:name w:val="Revision"/>
    <w:hidden/>
    <w:uiPriority w:val="99"/>
    <w:semiHidden/>
    <w:rsid w:val="004A1B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06A7E-7AC0-4707-9DEA-7052D9F05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37</Pages>
  <Words>17653</Words>
  <Characters>100627</Characters>
  <Application>Microsoft Office Word</Application>
  <DocSecurity>0</DocSecurity>
  <Lines>838</Lines>
  <Paragraphs>236</Paragraphs>
  <ScaleCrop>false</ScaleCrop>
  <Company/>
  <LinksUpToDate>false</LinksUpToDate>
  <CharactersWithSpaces>118044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Shantelle Claassen</dc:creator>
  <cp:keywords/>
  <dc:description/>
  <cp:lastModifiedBy>Shantelle Claassen</cp:lastModifiedBy>
  <cp:revision>11</cp:revision>
  <dcterms:created xsi:type="dcterms:W3CDTF">2022-06-14T08:08:00Z</dcterms:created>
  <dcterms:modified xsi:type="dcterms:W3CDTF">2022-06-14T08:24:00Z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http://www.zotero.org/styles/biomed-central</vt:lpwstr>
  </property>
  <property fmtid="{D5CDD505-2E9C-101B-9397-08002B2CF9AE}" pid="7" name="Mendeley Recent Style Name 2_1">
    <vt:lpwstr>BioMed Central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http://www.zotero.org/styles/vancouver-brackets</vt:lpwstr>
  </property>
  <property fmtid="{D5CDD505-2E9C-101B-9397-08002B2CF9AE}" pid="21" name="Mendeley Recent Style Name 9_1">
    <vt:lpwstr>Vancouver (brackets)</vt:lpwstr>
  </property>
  <property fmtid="{D5CDD505-2E9C-101B-9397-08002B2CF9AE}" pid="22" name="Mendeley Document_1">
    <vt:lpwstr>True</vt:lpwstr>
  </property>
  <property fmtid="{D5CDD505-2E9C-101B-9397-08002B2CF9AE}" pid="23" name="Mendeley Unique User Id_1">
    <vt:lpwstr>b4261876-7406-3d1a-aee7-40d406e94684</vt:lpwstr>
  </property>
  <property fmtid="{D5CDD505-2E9C-101B-9397-08002B2CF9AE}" pid="24" name="Mendeley Citation Style_1">
    <vt:lpwstr>http://www.zotero.org/styles/biomed-central</vt:lpwstr>
  </property>
</Properties>
</file>