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3BEB5" w14:textId="179620A9" w:rsidR="00622EBE" w:rsidRDefault="00622EBE" w:rsidP="006B632D">
      <w:pPr>
        <w:spacing w:after="0" w:line="480" w:lineRule="auto"/>
        <w:ind w:left="-720"/>
      </w:pPr>
      <w:r w:rsidRPr="00BD79AE">
        <w:rPr>
          <w:rFonts w:ascii="Times New Roman" w:hAnsi="Times New Roman" w:cs="Times New Roman"/>
          <w:sz w:val="24"/>
          <w:szCs w:val="24"/>
        </w:rPr>
        <w:t xml:space="preserve">Table </w:t>
      </w:r>
      <w:r w:rsidRPr="00BD79AE">
        <w:rPr>
          <w:rFonts w:ascii="Times New Roman" w:hAnsi="Times New Roman" w:cs="Times New Roman"/>
          <w:sz w:val="24"/>
          <w:szCs w:val="24"/>
        </w:rPr>
        <w:fldChar w:fldCharType="begin"/>
      </w:r>
      <w:r w:rsidRPr="00BD79AE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BD79AE">
        <w:rPr>
          <w:rFonts w:ascii="Times New Roman" w:hAnsi="Times New Roman" w:cs="Times New Roman"/>
          <w:sz w:val="24"/>
          <w:szCs w:val="24"/>
        </w:rPr>
        <w:fldChar w:fldCharType="separate"/>
      </w:r>
      <w:r w:rsidRPr="00BD79AE">
        <w:rPr>
          <w:rFonts w:ascii="Times New Roman" w:hAnsi="Times New Roman" w:cs="Times New Roman"/>
          <w:noProof/>
          <w:sz w:val="24"/>
          <w:szCs w:val="24"/>
        </w:rPr>
        <w:t>1</w:t>
      </w:r>
      <w:r w:rsidRPr="00BD79AE">
        <w:rPr>
          <w:rFonts w:ascii="Times New Roman" w:hAnsi="Times New Roman" w:cs="Times New Roman"/>
          <w:sz w:val="24"/>
          <w:szCs w:val="24"/>
        </w:rPr>
        <w:fldChar w:fldCharType="end"/>
      </w:r>
      <w:r w:rsidRPr="00BD79AE">
        <w:rPr>
          <w:rFonts w:ascii="Times New Roman" w:hAnsi="Times New Roman" w:cs="Times New Roman"/>
          <w:sz w:val="24"/>
          <w:szCs w:val="24"/>
        </w:rPr>
        <w:t xml:space="preserve"> Primer sequences and properties of 2</w:t>
      </w:r>
      <w:r w:rsidR="006B632D">
        <w:rPr>
          <w:rFonts w:ascii="Times New Roman" w:hAnsi="Times New Roman" w:cs="Times New Roman"/>
          <w:sz w:val="24"/>
          <w:szCs w:val="24"/>
        </w:rPr>
        <w:t>4</w:t>
      </w:r>
      <w:r w:rsidRPr="00BD79AE">
        <w:rPr>
          <w:rFonts w:ascii="Times New Roman" w:hAnsi="Times New Roman" w:cs="Times New Roman"/>
          <w:sz w:val="24"/>
          <w:szCs w:val="24"/>
        </w:rPr>
        <w:t xml:space="preserve"> loci developed for </w:t>
      </w:r>
      <w:r w:rsidRPr="00BD79AE">
        <w:rPr>
          <w:rFonts w:ascii="Times New Roman" w:hAnsi="Times New Roman" w:cs="Times New Roman"/>
          <w:i/>
          <w:iCs/>
          <w:sz w:val="24"/>
          <w:szCs w:val="24"/>
        </w:rPr>
        <w:t xml:space="preserve">Neotoma </w:t>
      </w:r>
      <w:proofErr w:type="spellStart"/>
      <w:r w:rsidRPr="00BD79AE">
        <w:rPr>
          <w:rFonts w:ascii="Times New Roman" w:hAnsi="Times New Roman" w:cs="Times New Roman"/>
          <w:i/>
          <w:iCs/>
          <w:sz w:val="24"/>
          <w:szCs w:val="24"/>
        </w:rPr>
        <w:t>floridana</w:t>
      </w:r>
      <w:proofErr w:type="spellEnd"/>
      <w:r w:rsidRPr="00BD79AE">
        <w:rPr>
          <w:rFonts w:ascii="Times New Roman" w:hAnsi="Times New Roman" w:cs="Times New Roman"/>
          <w:sz w:val="24"/>
          <w:szCs w:val="24"/>
        </w:rPr>
        <w:t>. H</w:t>
      </w:r>
      <w:r w:rsidRPr="00BD79AE">
        <w:rPr>
          <w:rFonts w:ascii="Times New Roman" w:hAnsi="Times New Roman" w:cs="Times New Roman"/>
          <w:sz w:val="24"/>
          <w:szCs w:val="24"/>
          <w:vertAlign w:val="subscript"/>
        </w:rPr>
        <w:t>O</w:t>
      </w:r>
      <w:r w:rsidRPr="00BD79AE">
        <w:rPr>
          <w:rFonts w:ascii="Times New Roman" w:hAnsi="Times New Roman" w:cs="Times New Roman"/>
          <w:sz w:val="24"/>
          <w:szCs w:val="24"/>
        </w:rPr>
        <w:t xml:space="preserve"> Observed heterozygosity: H</w:t>
      </w:r>
      <w:r w:rsidRPr="00BD79AE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BD79AE">
        <w:rPr>
          <w:rFonts w:ascii="Times New Roman" w:hAnsi="Times New Roman" w:cs="Times New Roman"/>
          <w:sz w:val="24"/>
          <w:szCs w:val="24"/>
        </w:rPr>
        <w:t xml:space="preserve"> Expected heterozygosity. </w:t>
      </w:r>
      <w:r w:rsidR="00C9758E">
        <w:rPr>
          <w:rFonts w:ascii="Times New Roman" w:hAnsi="Times New Roman" w:cs="Times New Roman"/>
          <w:sz w:val="24"/>
          <w:szCs w:val="24"/>
        </w:rPr>
        <w:t xml:space="preserve">Asterisks (*) denote significant deviations from Hardy Weinberg Equilibrium following Bonferroni sequential correction. </w:t>
      </w:r>
    </w:p>
    <w:sectPr w:rsidR="00622E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EBE"/>
    <w:rsid w:val="00622EBE"/>
    <w:rsid w:val="006B632D"/>
    <w:rsid w:val="00C9758E"/>
    <w:rsid w:val="00D2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EDEAB"/>
  <w15:chartTrackingRefBased/>
  <w15:docId w15:val="{56635B40-A9DB-4B6F-9C2E-6382A7821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2EBE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622E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22EBE"/>
    <w:rPr>
      <w:rFonts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22EBE"/>
    <w:rPr>
      <w:rFonts w:ascii="Calibri" w:eastAsia="Calibri" w:hAnsi="Calibri" w:cs="Times New Roman"/>
      <w:sz w:val="20"/>
      <w:szCs w:val="20"/>
    </w:rPr>
  </w:style>
  <w:style w:type="paragraph" w:styleId="Revision">
    <w:name w:val="Revision"/>
    <w:hidden/>
    <w:uiPriority w:val="99"/>
    <w:semiHidden/>
    <w:rsid w:val="00C9758E"/>
    <w:pPr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Tiffanie Atherton</dc:creator>
  <cp:keywords/>
  <dc:description/>
  <cp:lastModifiedBy>Evie Kottabi</cp:lastModifiedBy>
  <cp:revision>2</cp:revision>
  <dcterms:created xsi:type="dcterms:W3CDTF">2022-06-13T08:16:00Z</dcterms:created>
  <dcterms:modified xsi:type="dcterms:W3CDTF">2022-06-13T08:16:00Z</dcterms:modified>
</cp:coreProperties>
</file>