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numPr>
          <w:ilvl w:val="0"/>
          <w:numId w:val="0"/>
        </w:numPr>
        <w:tabs>
          <w:tab w:val="left" w:pos="567"/>
        </w:tabs>
        <w:spacing w:before="100" w:beforeAutospacing="1" w:after="100" w:afterAutospacing="1" w:line="360" w:lineRule="auto"/>
        <w:ind w:leftChars="0"/>
        <w:contextualSpacing w:val="0"/>
        <w:jc w:val="center"/>
        <w:rPr>
          <w:rFonts w:hint="default" w:ascii="Calibri" w:hAnsi="Calibri" w:eastAsia="宋体" w:cs="Calibri"/>
          <w:color w:val="auto"/>
          <w:sz w:val="32"/>
          <w:szCs w:val="32"/>
          <w:lang w:val="en-US" w:eastAsia="zh-CN"/>
        </w:rPr>
      </w:pPr>
      <w:r>
        <w:rPr>
          <w:rFonts w:hint="default" w:ascii="Calibri" w:hAnsi="Calibri" w:eastAsia="宋体" w:cs="Calibri"/>
          <w:color w:val="auto"/>
          <w:sz w:val="32"/>
          <w:szCs w:val="32"/>
          <w:lang w:val="en-US" w:eastAsia="zh-CN"/>
        </w:rPr>
        <w:t>Influence of Multi-Modal Warning Interface on Takeover Efficiency of Autonomous High-Speed Train</w:t>
      </w:r>
    </w:p>
    <w:p>
      <w:pPr>
        <w:spacing w:before="100" w:beforeAutospacing="1" w:after="100" w:afterAutospacing="1" w:line="240" w:lineRule="auto"/>
        <w:jc w:val="both"/>
      </w:pP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Chunhui Jing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, Haohong Dai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, Xing Yao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, Yaodong Chen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lang w:val="en-US" w:eastAsia="zh-CN"/>
        </w:rPr>
        <w:t>, Jinyi Zhi</w:t>
      </w:r>
      <w:r>
        <w:rPr>
          <w:rFonts w:hint="default" w:ascii="Times New Roman" w:hAnsi="Times New Roman" w:eastAsia="宋体" w:cs="Times New Roman"/>
          <w:color w:val="auto"/>
          <w:sz w:val="20"/>
          <w:szCs w:val="20"/>
          <w:vertAlign w:val="superscript"/>
          <w:lang w:val="en-US" w:eastAsia="zh-CN"/>
        </w:rPr>
        <w:t>1*</w:t>
      </w:r>
    </w:p>
    <w:p>
      <w:pPr>
        <w:autoSpaceDE w:val="0"/>
        <w:autoSpaceDN w:val="0"/>
        <w:adjustRightInd w:val="0"/>
        <w:spacing w:after="0"/>
        <w:jc w:val="center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057525" cy="1946910"/>
            <wp:effectExtent l="0" t="0" r="5715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5618" cy="195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spacing w:before="40" w:after="40" w:line="240" w:lineRule="auto"/>
        <w:jc w:val="both"/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 w:eastAsia="宋体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>Figure</w:t>
      </w:r>
      <w:r>
        <w:rPr>
          <w:rFonts w:hint="eastAsia"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1</w:t>
      </w:r>
      <w:r>
        <w:rPr>
          <w:rFonts w:hint="eastAsia" w:eastAsiaTheme="minorHAnsi"/>
          <w:b/>
          <w:bCs/>
          <w:iCs/>
          <w:color w:val="auto"/>
          <w:sz w:val="20"/>
          <w:szCs w:val="21"/>
          <w:lang w:val="en-US" w:eastAsia="zh-CN"/>
        </w:rPr>
        <w:t>.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Level 3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interface takeover time under different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s</w:t>
      </w:r>
    </w:p>
    <w:p/>
    <w:tbl>
      <w:tblPr>
        <w:tblStyle w:val="5"/>
        <w:tblW w:w="525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2823"/>
        <w:gridCol w:w="109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1341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823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i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rst fixation duration within AOI</w:t>
            </w:r>
          </w:p>
        </w:tc>
        <w:tc>
          <w:tcPr>
            <w:tcW w:w="1091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4"/>
                <w:szCs w:val="22"/>
                <w:lang w:eastAsia="en-US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1341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</w:t>
            </w:r>
          </w:p>
        </w:tc>
        <w:tc>
          <w:tcPr>
            <w:tcW w:w="2823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586 (327.5–891.5)</w:t>
            </w:r>
          </w:p>
        </w:tc>
        <w:tc>
          <w:tcPr>
            <w:tcW w:w="1091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＜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134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bookmarkStart w:id="0" w:name="OLE_LINK10"/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</w:t>
            </w:r>
            <w:bookmarkEnd w:id="0"/>
          </w:p>
        </w:tc>
        <w:tc>
          <w:tcPr>
            <w:tcW w:w="282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267.5 (182.25–423.5)</w:t>
            </w:r>
          </w:p>
        </w:tc>
        <w:tc>
          <w:tcPr>
            <w:tcW w:w="10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134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3</w:t>
            </w:r>
          </w:p>
        </w:tc>
        <w:tc>
          <w:tcPr>
            <w:tcW w:w="282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368.5 (271–545.75)</w:t>
            </w:r>
          </w:p>
        </w:tc>
        <w:tc>
          <w:tcPr>
            <w:tcW w:w="109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</w:tbl>
    <w:p>
      <w:pPr>
        <w:keepNext w:val="0"/>
        <w:spacing w:before="40" w:after="40" w:line="240" w:lineRule="auto"/>
        <w:jc w:val="both"/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</w:pPr>
      <w:bookmarkStart w:id="1" w:name="OLE_LINK1"/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 w:eastAsia="宋体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b/>
          <w:bCs/>
          <w:iCs/>
          <w:color w:val="auto"/>
          <w:sz w:val="20"/>
          <w:szCs w:val="21"/>
          <w:lang w:val="en-GB" w:eastAsia="en-GB" w:bidi="ar-SA"/>
        </w:rPr>
        <w:t>Table</w:t>
      </w:r>
      <w:bookmarkEnd w:id="1"/>
      <w:r>
        <w:rPr>
          <w:rFonts w:ascii="Times New Roman" w:hAnsi="Times New Roman" w:eastAsia="Calibri" w:cs="Times New Roman"/>
          <w:b/>
          <w:bCs/>
          <w:iCs/>
          <w:color w:val="auto"/>
          <w:sz w:val="20"/>
          <w:szCs w:val="21"/>
          <w:lang w:val="en-GB" w:eastAsia="en-GB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 w:val="20"/>
          <w:szCs w:val="21"/>
          <w:lang w:val="en-US" w:eastAsia="zh-CN" w:bidi="ar-SA"/>
        </w:rPr>
        <w:t>1.</w:t>
      </w:r>
      <w:r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  <w:t xml:space="preserve"> Comparison of the first fixation duration in AOI under different warning levels</w:t>
      </w:r>
    </w:p>
    <w:p/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212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63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2</w:t>
            </w:r>
          </w:p>
        </w:tc>
        <w:tc>
          <w:tcPr>
            <w:tcW w:w="2127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Adjusted significance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63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 and level 1</w:t>
            </w:r>
          </w:p>
        </w:tc>
        <w:tc>
          <w:tcPr>
            <w:tcW w:w="2127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0.118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2163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 and level 3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＜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63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 and level 3</w:t>
            </w:r>
          </w:p>
        </w:tc>
        <w:tc>
          <w:tcPr>
            <w:tcW w:w="2127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0.037</w:t>
            </w:r>
          </w:p>
        </w:tc>
      </w:tr>
    </w:tbl>
    <w:p>
      <w:pPr>
        <w:keepNext w:val="0"/>
        <w:spacing w:before="40" w:after="40" w:line="240" w:lineRule="auto"/>
        <w:jc w:val="both"/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 w:eastAsia="宋体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b/>
          <w:bCs/>
          <w:iCs/>
          <w:color w:val="auto"/>
          <w:sz w:val="20"/>
          <w:szCs w:val="21"/>
          <w:lang w:val="en-GB" w:eastAsia="en-GB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 w:val="20"/>
          <w:szCs w:val="21"/>
          <w:lang w:val="en-US" w:eastAsia="zh-CN" w:bidi="ar-SA"/>
        </w:rPr>
        <w:t>2.</w:t>
      </w:r>
      <w:r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  <w:t xml:space="preserve"> </w:t>
      </w:r>
      <w:r>
        <w:rPr>
          <w:rFonts w:hint="eastAsia"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  <w:t xml:space="preserve">Pairwise comparison of the significance of the first fixation duration within the AOI under different levels of </w:t>
      </w:r>
      <w:r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  <w:t>warning</w:t>
      </w:r>
    </w:p>
    <w:tbl>
      <w:tblPr>
        <w:tblStyle w:val="5"/>
        <w:tblW w:w="440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1"/>
        <w:gridCol w:w="2527"/>
        <w:gridCol w:w="8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011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527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Total fixation duration in AOI</w:t>
            </w:r>
          </w:p>
        </w:tc>
        <w:tc>
          <w:tcPr>
            <w:tcW w:w="866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4"/>
                <w:szCs w:val="22"/>
                <w:lang w:eastAsia="en-US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011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</w:t>
            </w:r>
          </w:p>
        </w:tc>
        <w:tc>
          <w:tcPr>
            <w:tcW w:w="2527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392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(322.75–527.5)</w:t>
            </w:r>
          </w:p>
        </w:tc>
        <w:tc>
          <w:tcPr>
            <w:tcW w:w="866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＜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</w:t>
            </w:r>
          </w:p>
        </w:tc>
        <w:tc>
          <w:tcPr>
            <w:tcW w:w="252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531.5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(422–667.25)</w:t>
            </w:r>
          </w:p>
        </w:tc>
        <w:tc>
          <w:tcPr>
            <w:tcW w:w="86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01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3</w:t>
            </w:r>
          </w:p>
        </w:tc>
        <w:tc>
          <w:tcPr>
            <w:tcW w:w="252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600.5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(426.75–854.25)</w:t>
            </w:r>
          </w:p>
        </w:tc>
        <w:tc>
          <w:tcPr>
            <w:tcW w:w="86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</w:tbl>
    <w:p>
      <w:pPr>
        <w:pStyle w:val="4"/>
        <w:keepNext w:val="0"/>
        <w:spacing w:before="40" w:after="40" w:line="240" w:lineRule="auto"/>
        <w:jc w:val="both"/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 w:eastAsia="宋体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b/>
          <w:bCs/>
          <w:iCs/>
          <w:color w:val="auto"/>
          <w:sz w:val="20"/>
          <w:szCs w:val="21"/>
          <w:lang w:val="en-GB" w:eastAsia="en-GB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 w:val="20"/>
          <w:szCs w:val="21"/>
          <w:lang w:val="en-US" w:eastAsia="zh-CN" w:bidi="ar-SA"/>
        </w:rPr>
        <w:t>3.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Comparison of total fixation duration in AOI under different warning levels</w:t>
      </w:r>
    </w:p>
    <w:p>
      <w:pPr>
        <w:rPr>
          <w:lang w:val="en-GB" w:eastAsia="en-GB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198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9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2</w:t>
            </w:r>
          </w:p>
        </w:tc>
        <w:tc>
          <w:tcPr>
            <w:tcW w:w="1984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Adjusted significance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9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 and level 2</w:t>
            </w:r>
          </w:p>
        </w:tc>
        <w:tc>
          <w:tcPr>
            <w:tcW w:w="1984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9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 and level 3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＜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29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 and level 3</w:t>
            </w:r>
          </w:p>
        </w:tc>
        <w:tc>
          <w:tcPr>
            <w:tcW w:w="1984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0.435</w:t>
            </w:r>
          </w:p>
        </w:tc>
      </w:tr>
    </w:tbl>
    <w:p>
      <w:pPr>
        <w:keepNext w:val="0"/>
        <w:spacing w:before="40" w:after="40" w:line="240" w:lineRule="auto"/>
        <w:jc w:val="both"/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 w:eastAsia="宋体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eastAsia="Calibri" w:cs="Times New Roman"/>
          <w:b/>
          <w:bCs/>
          <w:iCs/>
          <w:color w:val="auto"/>
          <w:sz w:val="20"/>
          <w:szCs w:val="21"/>
          <w:lang w:val="en-GB" w:eastAsia="en-GB" w:bidi="ar-SA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Cs/>
          <w:color w:val="auto"/>
          <w:sz w:val="20"/>
          <w:szCs w:val="21"/>
          <w:lang w:val="en-US" w:eastAsia="zh-CN" w:bidi="ar-SA"/>
        </w:rPr>
        <w:t>4.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  <w:t>Pairwise comparison of the total fixation duration within the AOI under different levels of warning</w:t>
      </w:r>
    </w:p>
    <w:p>
      <w:pPr>
        <w:keepNext w:val="0"/>
        <w:spacing w:before="40" w:after="40" w:line="240" w:lineRule="auto"/>
        <w:jc w:val="both"/>
        <w:rPr>
          <w:rFonts w:ascii="Times New Roman" w:hAnsi="Times New Roman" w:eastAsia="Calibri" w:cs="Times New Roman"/>
          <w:b w:val="0"/>
          <w:bCs w:val="0"/>
          <w:iCs/>
          <w:color w:val="auto"/>
          <w:sz w:val="20"/>
          <w:szCs w:val="21"/>
          <w:lang w:val="en-GB" w:eastAsia="en-GB" w:bidi="ar-SA"/>
        </w:rPr>
      </w:pPr>
    </w:p>
    <w:tbl>
      <w:tblPr>
        <w:tblStyle w:val="5"/>
        <w:tblW w:w="442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2144"/>
        <w:gridCol w:w="7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505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spacing w:before="40" w:after="4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144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Fixation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counts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in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AOI</w:t>
            </w:r>
          </w:p>
        </w:tc>
        <w:tc>
          <w:tcPr>
            <w:tcW w:w="776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0"/>
                <w:sz w:val="24"/>
                <w:szCs w:val="22"/>
                <w:lang w:eastAsia="en-US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505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</w:t>
            </w:r>
          </w:p>
        </w:tc>
        <w:tc>
          <w:tcPr>
            <w:tcW w:w="2144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2 (1–2.33)</w:t>
            </w:r>
          </w:p>
        </w:tc>
        <w:tc>
          <w:tcPr>
            <w:tcW w:w="776" w:type="dxa"/>
            <w:tcBorders>
              <w:top w:val="single" w:color="000000" w:sz="6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50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</w:t>
            </w:r>
          </w:p>
        </w:tc>
        <w:tc>
          <w:tcPr>
            <w:tcW w:w="214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2 (2–3)</w:t>
            </w:r>
          </w:p>
        </w:tc>
        <w:tc>
          <w:tcPr>
            <w:tcW w:w="77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1505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3</w:t>
            </w:r>
          </w:p>
        </w:tc>
        <w:tc>
          <w:tcPr>
            <w:tcW w:w="2144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1.67 (1.33–2)</w:t>
            </w:r>
          </w:p>
        </w:tc>
        <w:tc>
          <w:tcPr>
            <w:tcW w:w="77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</w:p>
        </w:tc>
      </w:tr>
    </w:tbl>
    <w:p>
      <w:pPr>
        <w:pStyle w:val="4"/>
        <w:keepNext w:val="0"/>
        <w:spacing w:before="40" w:after="40" w:line="240" w:lineRule="auto"/>
        <w:jc w:val="both"/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Table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5.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Comparison of the fixation count points in AOI under different warning levels</w:t>
      </w:r>
    </w:p>
    <w:p/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9"/>
        <w:gridCol w:w="22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589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1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 and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Sample 2</w:t>
            </w:r>
          </w:p>
        </w:tc>
        <w:tc>
          <w:tcPr>
            <w:tcW w:w="2265" w:type="dxa"/>
            <w:tcBorders>
              <w:top w:val="single" w:color="000000" w:sz="12" w:space="0"/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Adjusted significance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589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 xml:space="preserve">level 1 and level 2 </w:t>
            </w:r>
          </w:p>
        </w:tc>
        <w:tc>
          <w:tcPr>
            <w:tcW w:w="2265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1.000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589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1 and level 3</w:t>
            </w:r>
          </w:p>
        </w:tc>
        <w:tc>
          <w:tcPr>
            <w:tcW w:w="2265" w:type="dxa"/>
            <w:tcBorders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589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level 2 and level 3</w:t>
            </w:r>
          </w:p>
        </w:tc>
        <w:tc>
          <w:tcPr>
            <w:tcW w:w="2265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/>
              <w:spacing w:before="120" w:after="240" w:line="8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eastAsia="en-US"/>
              </w:rPr>
              <w:t>0.006</w:t>
            </w:r>
          </w:p>
        </w:tc>
      </w:tr>
    </w:tbl>
    <w:p>
      <w:pPr>
        <w:pStyle w:val="4"/>
        <w:keepNext w:val="0"/>
        <w:spacing w:before="40" w:after="40" w:line="240" w:lineRule="auto"/>
        <w:jc w:val="both"/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Table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6</w:t>
      </w:r>
      <w:bookmarkStart w:id="2" w:name="_GoBack"/>
      <w:bookmarkEnd w:id="2"/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 xml:space="preserve">.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Pairwise comparison of the significance of the fixation count in the AOI under different levels of warning</w:t>
      </w:r>
    </w:p>
    <w:p/>
    <w:p>
      <w:pPr>
        <w:autoSpaceDE w:val="0"/>
        <w:autoSpaceDN w:val="0"/>
        <w:adjustRightInd w:val="0"/>
        <w:spacing w:after="0" w:line="480" w:lineRule="auto"/>
        <w:jc w:val="center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132455" cy="2012950"/>
            <wp:effectExtent l="0" t="0" r="6985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9178" cy="202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spacing w:before="40" w:after="40" w:line="240" w:lineRule="auto"/>
        <w:jc w:val="both"/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>Figure</w:t>
      </w:r>
      <w:r>
        <w:rPr>
          <w:rFonts w:hint="eastAsia"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2.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Number of eye saccades for level 3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interface under different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s</w:t>
      </w:r>
    </w:p>
    <w:p>
      <w:pPr>
        <w:rPr>
          <w:rFonts w:hint="eastAsia"/>
          <w:lang w:val="en-GB" w:eastAsia="en-GB"/>
        </w:rPr>
      </w:pPr>
    </w:p>
    <w:p>
      <w:pPr>
        <w:rPr>
          <w:lang w:val="en-GB" w:eastAsia="en-GB"/>
        </w:rPr>
      </w:pPr>
    </w:p>
    <w:p/>
    <w:p>
      <w:pPr>
        <w:jc w:val="center"/>
        <w:rPr>
          <w:szCs w:val="24"/>
        </w:rPr>
      </w:pP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215005" cy="1846580"/>
            <wp:effectExtent l="0" t="0" r="635" b="1270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912" cy="186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spacing w:before="40" w:after="40" w:line="240" w:lineRule="auto"/>
        <w:jc w:val="both"/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>Figure</w:t>
      </w:r>
      <w:r>
        <w:rPr>
          <w:rFonts w:hint="eastAsia"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3.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M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aximum saccade velocity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of level 3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interface under different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s</w:t>
      </w:r>
    </w:p>
    <w:p>
      <w:pP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</w:p>
    <w:p>
      <w:pPr>
        <w:jc w:val="center"/>
        <w:rPr>
          <w:szCs w:val="24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147695" cy="1844675"/>
            <wp:effectExtent l="0" t="0" r="19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8139" cy="185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/>
        <w:jc w:val="center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/>
          <w:b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Average saccades amplitude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level 3 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warning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interface under different 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warning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>
      <w:pPr>
        <w:autoSpaceDE w:val="0"/>
        <w:autoSpaceDN w:val="0"/>
        <w:adjustRightInd w:val="0"/>
        <w:spacing w:after="0"/>
        <w:jc w:val="center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szCs w:val="24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195955" cy="1834515"/>
            <wp:effectExtent l="0" t="0" r="444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1650" cy="184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after="0"/>
        <w:jc w:val="center"/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/>
          <w:b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M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aximum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saccades of level 3 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warning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interface under different </w:t>
      </w:r>
      <w:r>
        <w:rPr>
          <w:color w:val="000000" w:themeColor="text1"/>
          <w:szCs w:val="24"/>
          <w14:textFill>
            <w14:solidFill>
              <w14:schemeClr w14:val="tx1"/>
            </w14:solidFill>
          </w14:textFill>
        </w:rPr>
        <w:t>warning</w:t>
      </w:r>
      <w:r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  <w:t>s</w:t>
      </w:r>
    </w:p>
    <w:p>
      <w:pPr>
        <w:autoSpaceDE w:val="0"/>
        <w:autoSpaceDN w:val="0"/>
        <w:adjustRightInd w:val="0"/>
        <w:spacing w:after="0"/>
        <w:jc w:val="center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after="0"/>
        <w:jc w:val="center"/>
        <w:rPr>
          <w:rFonts w:hint="eastAsia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</w:p>
    <w:p>
      <w:pPr>
        <w:rPr>
          <w:lang w:val="en-GB" w:eastAsia="en-GB"/>
        </w:rPr>
      </w:pPr>
    </w:p>
    <w:p>
      <w:pPr>
        <w:jc w:val="center"/>
        <w:rPr>
          <w:szCs w:val="24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132455" cy="2077085"/>
            <wp:effectExtent l="0" t="0" r="6985" b="1079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6990" cy="208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spacing w:before="40" w:after="40" w:line="240" w:lineRule="auto"/>
        <w:jc w:val="both"/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</w:pPr>
      <w:r>
        <w:rPr>
          <w:rFonts w:hint="eastAsia"/>
          <w:b/>
          <w:bCs/>
          <w:sz w:val="20"/>
          <w:szCs w:val="20"/>
        </w:rPr>
        <w:t>Supplementary</w:t>
      </w:r>
      <w:r>
        <w:rPr>
          <w:rFonts w:hint="eastAsia"/>
          <w:b/>
          <w:bCs/>
          <w:sz w:val="20"/>
          <w:szCs w:val="20"/>
          <w:lang w:val="en-US" w:eastAsia="zh-CN"/>
        </w:rPr>
        <w:t xml:space="preserve"> 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>Figure</w:t>
      </w:r>
      <w:r>
        <w:rPr>
          <w:rFonts w:hint="eastAsia"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="宋体"/>
          <w:b/>
          <w:bCs/>
          <w:iCs/>
          <w:color w:val="auto"/>
          <w:sz w:val="20"/>
          <w:szCs w:val="21"/>
          <w:lang w:val="en-US" w:eastAsia="zh-CN"/>
        </w:rPr>
        <w:t>6.</w:t>
      </w:r>
      <w:r>
        <w:rPr>
          <w:rFonts w:eastAsiaTheme="minorHAnsi"/>
          <w:b/>
          <w:bCs/>
          <w:iCs/>
          <w:color w:val="auto"/>
          <w:sz w:val="20"/>
          <w:szCs w:val="21"/>
          <w:lang w:val="en-GB" w:eastAsia="en-GB"/>
        </w:rPr>
        <w:t xml:space="preserve">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First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saccade duration 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of the level 3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 xml:space="preserve"> interface under different </w:t>
      </w:r>
      <w:r>
        <w:rPr>
          <w:rFonts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warning</w:t>
      </w:r>
      <w:r>
        <w:rPr>
          <w:rFonts w:hint="eastAsia" w:eastAsiaTheme="minorHAnsi"/>
          <w:b w:val="0"/>
          <w:bCs w:val="0"/>
          <w:iCs/>
          <w:color w:val="auto"/>
          <w:sz w:val="20"/>
          <w:szCs w:val="21"/>
          <w:lang w:val="en-GB" w:eastAsia="en-GB"/>
        </w:rPr>
        <w:t>s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OGNlODEyM2JlMDYyY2E3NTBjM2U4ZGViNjY5ZjIifQ=="/>
  </w:docVars>
  <w:rsids>
    <w:rsidRoot w:val="00000000"/>
    <w:rsid w:val="044633DC"/>
    <w:rsid w:val="07A153C8"/>
    <w:rsid w:val="2CCC5B7B"/>
    <w:rsid w:val="383E0D50"/>
    <w:rsid w:val="3A3C7C90"/>
    <w:rsid w:val="3C6511B6"/>
    <w:rsid w:val="495628F3"/>
    <w:rsid w:val="4E2147F2"/>
    <w:rsid w:val="593F487D"/>
    <w:rsid w:val="5C740668"/>
    <w:rsid w:val="60621C8D"/>
    <w:rsid w:val="6A790228"/>
    <w:rsid w:val="72B65499"/>
    <w:rsid w:val="77B85277"/>
    <w:rsid w:val="79C1605A"/>
    <w:rsid w:val="7DF1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line="360" w:lineRule="auto"/>
      <w:outlineLvl w:val="0"/>
    </w:pPr>
    <w:rPr>
      <w:rFonts w:eastAsiaTheme="majorEastAsia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cs="Times New Roman" w:eastAsiaTheme="minorEastAsia"/>
      <w:b/>
      <w:sz w:val="2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pPr>
      <w:spacing w:after="80"/>
      <w:jc w:val="center"/>
    </w:pPr>
    <w:rPr>
      <w:iCs/>
      <w:color w:val="000000" w:themeColor="text1"/>
      <w:sz w:val="20"/>
      <w:szCs w:val="18"/>
      <w14:textFill>
        <w14:solidFill>
          <w14:schemeClr w14:val="tx1"/>
        </w14:solidFill>
      </w14:textFill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343</Words>
  <Characters>1828</Characters>
  <Lines>0</Lines>
  <Paragraphs>0</Paragraphs>
  <TotalTime>1</TotalTime>
  <ScaleCrop>false</ScaleCrop>
  <LinksUpToDate>false</LinksUpToDate>
  <CharactersWithSpaces>2103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2021-03-03T07:29:00Z</dcterms:created>
  <dc:creator>YaoxingPC</dc:creator>
  <cp:lastModifiedBy>y大星</cp:lastModifiedBy>
  <dcterms:modified xsi:type="dcterms:W3CDTF">2022-07-09T03:29:01Z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24B2836F4E294200BE4513C096BD1013</vt:lpwstr>
  </property>
</Properties>
</file>