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267B" w:rsidRPr="00443561" w:rsidRDefault="00443561" w:rsidP="00443561">
      <w:pPr>
        <w:jc w:val="center"/>
        <w:rPr>
          <w:rFonts w:ascii="Verdana" w:hAnsi="Verdana"/>
          <w:sz w:val="20"/>
          <w:lang w:val="en-US"/>
        </w:rPr>
      </w:pPr>
      <w:bookmarkStart w:id="0" w:name="_GoBack"/>
      <w:bookmarkEnd w:id="0"/>
      <w:r>
        <w:rPr>
          <w:rFonts w:ascii="Calibri" w:eastAsia="Calibri" w:hAnsi="Calibri" w:cs="Times New Roman"/>
          <w:b/>
          <w:lang w:val="en-US"/>
        </w:rPr>
        <w:t>Questionnaire</w:t>
      </w:r>
      <w:r w:rsidRPr="00443561">
        <w:rPr>
          <w:rFonts w:ascii="Calibri" w:eastAsia="Calibri" w:hAnsi="Calibri" w:cs="Times New Roman"/>
          <w:b/>
          <w:lang w:val="en-US"/>
        </w:rPr>
        <w:t xml:space="preserve"> for the identification of barriers and facilitators of the implementation of the Clinical Practice Guide for the diagnosis and preoperative, intraoperative and postoperative treatment, the prescription of the prosthesis and the integral rehabilitation of the amputated person (</w:t>
      </w:r>
      <w:r>
        <w:rPr>
          <w:rFonts w:ascii="Calibri" w:eastAsia="Calibri" w:hAnsi="Calibri" w:cs="Times New Roman"/>
          <w:b/>
          <w:lang w:val="en-US"/>
        </w:rPr>
        <w:t>CPG</w:t>
      </w:r>
      <w:r w:rsidRPr="00443561">
        <w:rPr>
          <w:rFonts w:ascii="Calibri" w:eastAsia="Calibri" w:hAnsi="Calibri" w:cs="Times New Roman"/>
          <w:b/>
          <w:lang w:val="en-US"/>
        </w:rPr>
        <w:t>AMP-B)</w:t>
      </w:r>
    </w:p>
    <w:p w:rsidR="008820AD" w:rsidRPr="00443561" w:rsidRDefault="00443561" w:rsidP="008820AD">
      <w:pPr>
        <w:jc w:val="both"/>
        <w:rPr>
          <w:rFonts w:ascii="Verdana" w:hAnsi="Verdana"/>
          <w:sz w:val="18"/>
          <w:lang w:val="en-US"/>
        </w:rPr>
      </w:pPr>
      <w:r w:rsidRPr="00443561">
        <w:rPr>
          <w:rFonts w:ascii="Verdana" w:hAnsi="Verdana"/>
          <w:sz w:val="18"/>
          <w:lang w:val="en-US"/>
        </w:rPr>
        <w:t>The questionnaire has two types of scale (Quantity and frequency). Please read the statement and the response options well. You should evaluate how much or how often each condition on the list limits the implementation of the CPG in your usual clinical practice, in your institution or in the country.</w:t>
      </w:r>
    </w:p>
    <w:tbl>
      <w:tblPr>
        <w:tblStyle w:val="Tablaconcuadrcula5"/>
        <w:tblW w:w="13467" w:type="dxa"/>
        <w:tblInd w:w="-5" w:type="dxa"/>
        <w:tblLayout w:type="fixed"/>
        <w:tblLook w:val="04A0" w:firstRow="1" w:lastRow="0" w:firstColumn="1" w:lastColumn="0" w:noHBand="0" w:noVBand="1"/>
      </w:tblPr>
      <w:tblGrid>
        <w:gridCol w:w="7513"/>
        <w:gridCol w:w="1134"/>
        <w:gridCol w:w="1134"/>
        <w:gridCol w:w="1134"/>
        <w:gridCol w:w="1418"/>
        <w:gridCol w:w="1134"/>
      </w:tblGrid>
      <w:tr w:rsidR="00E43B68" w:rsidRPr="00F77679" w:rsidTr="00E43B68">
        <w:trPr>
          <w:trHeight w:val="283"/>
        </w:trPr>
        <w:tc>
          <w:tcPr>
            <w:tcW w:w="7513" w:type="dxa"/>
            <w:tcBorders>
              <w:top w:val="single" w:sz="4" w:space="0" w:color="auto"/>
              <w:left w:val="single" w:sz="4" w:space="0" w:color="auto"/>
              <w:bottom w:val="single" w:sz="4" w:space="0" w:color="auto"/>
              <w:right w:val="single" w:sz="4" w:space="0" w:color="auto"/>
            </w:tcBorders>
            <w:shd w:val="clear" w:color="auto" w:fill="CCC0D9"/>
            <w:noWrap/>
          </w:tcPr>
          <w:p w:rsidR="002C43F9" w:rsidRPr="00443561" w:rsidRDefault="00443561" w:rsidP="00443561">
            <w:pPr>
              <w:rPr>
                <w:rFonts w:eastAsia="Times New Roman"/>
                <w:b/>
                <w:color w:val="000000"/>
                <w:sz w:val="18"/>
                <w:szCs w:val="16"/>
                <w:lang w:val="en-US" w:eastAsia="es-CO"/>
              </w:rPr>
            </w:pPr>
            <w:r w:rsidRPr="00443561">
              <w:rPr>
                <w:rFonts w:eastAsia="Times New Roman"/>
                <w:b/>
                <w:color w:val="000000"/>
                <w:sz w:val="18"/>
                <w:szCs w:val="16"/>
                <w:lang w:val="en-US" w:eastAsia="es-CO"/>
              </w:rPr>
              <w:t xml:space="preserve">A. Please rate how much the following factors limit (or impede) the implementation of the CPG recommendations in your current clinical practice </w:t>
            </w:r>
            <w:r>
              <w:rPr>
                <w:rFonts w:eastAsia="Times New Roman"/>
                <w:b/>
                <w:color w:val="000000"/>
                <w:sz w:val="18"/>
                <w:szCs w:val="16"/>
                <w:lang w:val="en-US" w:eastAsia="es-CO"/>
              </w:rPr>
              <w:t xml:space="preserve"> </w:t>
            </w:r>
            <w:r w:rsidRPr="00443561">
              <w:rPr>
                <w:rFonts w:eastAsia="Times New Roman"/>
                <w:b/>
                <w:color w:val="000000"/>
                <w:sz w:val="18"/>
                <w:szCs w:val="16"/>
                <w:lang w:val="en-US" w:eastAsia="es-CO"/>
              </w:rPr>
              <w:t>(Mark only one answer)</w:t>
            </w:r>
          </w:p>
        </w:tc>
        <w:tc>
          <w:tcPr>
            <w:tcW w:w="1134" w:type="dxa"/>
            <w:tcBorders>
              <w:top w:val="single" w:sz="4" w:space="0" w:color="auto"/>
              <w:left w:val="single" w:sz="4" w:space="0" w:color="auto"/>
              <w:bottom w:val="single" w:sz="4" w:space="0" w:color="auto"/>
              <w:right w:val="single" w:sz="4" w:space="0" w:color="auto"/>
            </w:tcBorders>
            <w:shd w:val="clear" w:color="auto" w:fill="CCC0D9"/>
          </w:tcPr>
          <w:p w:rsidR="002C43F9" w:rsidRPr="00A749C2" w:rsidRDefault="00BB7136" w:rsidP="007C4EE3">
            <w:pPr>
              <w:jc w:val="center"/>
              <w:rPr>
                <w:rFonts w:cs="Arial"/>
                <w:b/>
                <w:sz w:val="18"/>
                <w:szCs w:val="18"/>
              </w:rPr>
            </w:pPr>
            <w:r>
              <w:rPr>
                <w:rFonts w:cs="Arial"/>
                <w:b/>
                <w:sz w:val="18"/>
                <w:szCs w:val="18"/>
              </w:rPr>
              <w:t>Extremely</w:t>
            </w:r>
          </w:p>
        </w:tc>
        <w:tc>
          <w:tcPr>
            <w:tcW w:w="1134" w:type="dxa"/>
            <w:tcBorders>
              <w:top w:val="single" w:sz="4" w:space="0" w:color="auto"/>
              <w:left w:val="single" w:sz="4" w:space="0" w:color="auto"/>
              <w:bottom w:val="single" w:sz="4" w:space="0" w:color="auto"/>
              <w:right w:val="single" w:sz="4" w:space="0" w:color="auto"/>
            </w:tcBorders>
            <w:shd w:val="clear" w:color="auto" w:fill="CCC0D9"/>
          </w:tcPr>
          <w:p w:rsidR="002C43F9" w:rsidRPr="00A749C2" w:rsidRDefault="00BB7136" w:rsidP="007C4EE3">
            <w:pPr>
              <w:jc w:val="center"/>
              <w:rPr>
                <w:rFonts w:cs="Arial"/>
                <w:b/>
                <w:sz w:val="18"/>
                <w:szCs w:val="18"/>
              </w:rPr>
            </w:pPr>
            <w:r w:rsidRPr="00BB7136">
              <w:rPr>
                <w:rFonts w:cs="Arial"/>
                <w:b/>
                <w:sz w:val="18"/>
                <w:szCs w:val="18"/>
              </w:rPr>
              <w:t>Very much</w:t>
            </w:r>
          </w:p>
        </w:tc>
        <w:tc>
          <w:tcPr>
            <w:tcW w:w="1134" w:type="dxa"/>
            <w:tcBorders>
              <w:top w:val="single" w:sz="4" w:space="0" w:color="auto"/>
              <w:left w:val="single" w:sz="4" w:space="0" w:color="auto"/>
              <w:bottom w:val="single" w:sz="4" w:space="0" w:color="auto"/>
              <w:right w:val="single" w:sz="4" w:space="0" w:color="auto"/>
            </w:tcBorders>
            <w:shd w:val="clear" w:color="auto" w:fill="CCC0D9"/>
          </w:tcPr>
          <w:p w:rsidR="002C43F9" w:rsidRPr="00A749C2" w:rsidRDefault="00BB7136" w:rsidP="007C4EE3">
            <w:pPr>
              <w:jc w:val="center"/>
              <w:rPr>
                <w:rFonts w:cs="Arial"/>
                <w:b/>
                <w:sz w:val="18"/>
                <w:szCs w:val="18"/>
              </w:rPr>
            </w:pPr>
            <w:r>
              <w:rPr>
                <w:rFonts w:cs="Arial"/>
                <w:b/>
                <w:sz w:val="18"/>
                <w:szCs w:val="18"/>
              </w:rPr>
              <w:t>Neutral</w:t>
            </w:r>
          </w:p>
        </w:tc>
        <w:tc>
          <w:tcPr>
            <w:tcW w:w="1418" w:type="dxa"/>
            <w:tcBorders>
              <w:top w:val="single" w:sz="4" w:space="0" w:color="auto"/>
              <w:left w:val="single" w:sz="4" w:space="0" w:color="auto"/>
              <w:bottom w:val="single" w:sz="4" w:space="0" w:color="auto"/>
              <w:right w:val="single" w:sz="4" w:space="0" w:color="auto"/>
            </w:tcBorders>
            <w:shd w:val="clear" w:color="auto" w:fill="CCC0D9"/>
          </w:tcPr>
          <w:p w:rsidR="002C43F9" w:rsidRPr="00A749C2" w:rsidRDefault="00BB7136" w:rsidP="007C4EE3">
            <w:pPr>
              <w:jc w:val="center"/>
              <w:rPr>
                <w:rFonts w:cs="Arial"/>
                <w:b/>
                <w:sz w:val="18"/>
                <w:szCs w:val="18"/>
              </w:rPr>
            </w:pPr>
            <w:r>
              <w:rPr>
                <w:rFonts w:cs="Arial"/>
                <w:b/>
                <w:sz w:val="18"/>
                <w:szCs w:val="18"/>
              </w:rPr>
              <w:t>Not much</w:t>
            </w:r>
          </w:p>
        </w:tc>
        <w:tc>
          <w:tcPr>
            <w:tcW w:w="1134" w:type="dxa"/>
            <w:tcBorders>
              <w:top w:val="single" w:sz="4" w:space="0" w:color="auto"/>
              <w:left w:val="single" w:sz="4" w:space="0" w:color="auto"/>
              <w:bottom w:val="single" w:sz="4" w:space="0" w:color="auto"/>
              <w:right w:val="single" w:sz="4" w:space="0" w:color="auto"/>
            </w:tcBorders>
            <w:shd w:val="clear" w:color="auto" w:fill="CCC0D9"/>
          </w:tcPr>
          <w:p w:rsidR="002C43F9" w:rsidRPr="00A749C2" w:rsidRDefault="002C43F9" w:rsidP="007C4EE3">
            <w:pPr>
              <w:jc w:val="center"/>
              <w:rPr>
                <w:rFonts w:cs="Arial"/>
                <w:b/>
                <w:sz w:val="18"/>
                <w:szCs w:val="18"/>
              </w:rPr>
            </w:pPr>
            <w:r w:rsidRPr="00A749C2">
              <w:rPr>
                <w:rFonts w:cs="Arial"/>
                <w:b/>
                <w:sz w:val="18"/>
                <w:szCs w:val="18"/>
              </w:rPr>
              <w:t>N</w:t>
            </w:r>
            <w:r w:rsidR="00BB7136">
              <w:rPr>
                <w:rFonts w:cs="Arial"/>
                <w:b/>
                <w:sz w:val="18"/>
                <w:szCs w:val="18"/>
              </w:rPr>
              <w:t>othing</w:t>
            </w:r>
          </w:p>
        </w:tc>
      </w:tr>
      <w:tr w:rsidR="00E43B68" w:rsidRPr="00F77679" w:rsidTr="00E43B68">
        <w:trPr>
          <w:trHeight w:val="227"/>
        </w:trPr>
        <w:tc>
          <w:tcPr>
            <w:tcW w:w="7513" w:type="dxa"/>
            <w:shd w:val="clear" w:color="auto" w:fill="FFFFFF"/>
            <w:noWrap/>
            <w:vAlign w:val="center"/>
          </w:tcPr>
          <w:p w:rsidR="00443561" w:rsidRPr="00660EDD" w:rsidRDefault="00443561" w:rsidP="00443561">
            <w:pPr>
              <w:rPr>
                <w:rFonts w:ascii="Arial" w:eastAsia="Calibri" w:hAnsi="Arial" w:cs="Arial"/>
                <w:sz w:val="18"/>
                <w:szCs w:val="18"/>
                <w:lang w:val="en-US"/>
              </w:rPr>
            </w:pPr>
            <w:r w:rsidRPr="00660EDD">
              <w:rPr>
                <w:rFonts w:ascii="Arial" w:eastAsia="Calibri" w:hAnsi="Arial" w:cs="Arial"/>
                <w:sz w:val="18"/>
                <w:szCs w:val="18"/>
                <w:lang w:val="en-US"/>
              </w:rPr>
              <w:t>1. CPG training received by health professionals in universities</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5</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4</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3</w:t>
            </w:r>
          </w:p>
        </w:tc>
        <w:tc>
          <w:tcPr>
            <w:tcW w:w="1418"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2</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1</w:t>
            </w:r>
          </w:p>
        </w:tc>
      </w:tr>
      <w:tr w:rsidR="00E43B68" w:rsidRPr="00F77679" w:rsidTr="00E43B68">
        <w:trPr>
          <w:trHeight w:val="227"/>
        </w:trPr>
        <w:tc>
          <w:tcPr>
            <w:tcW w:w="7513" w:type="dxa"/>
            <w:shd w:val="clear" w:color="auto" w:fill="FFFFFF"/>
            <w:noWrap/>
            <w:vAlign w:val="center"/>
          </w:tcPr>
          <w:p w:rsidR="00443561" w:rsidRPr="00660EDD" w:rsidRDefault="00443561" w:rsidP="00443561">
            <w:pPr>
              <w:rPr>
                <w:rFonts w:ascii="Arial" w:eastAsia="Calibri" w:hAnsi="Arial" w:cs="Arial"/>
                <w:sz w:val="18"/>
                <w:szCs w:val="18"/>
                <w:lang w:val="en-US"/>
              </w:rPr>
            </w:pPr>
            <w:r w:rsidRPr="00660EDD">
              <w:rPr>
                <w:rFonts w:ascii="Arial" w:eastAsia="Calibri" w:hAnsi="Arial" w:cs="Arial"/>
                <w:sz w:val="18"/>
                <w:szCs w:val="18"/>
                <w:lang w:val="en-US"/>
              </w:rPr>
              <w:t>2. Non-acceptance of CPG recommendations by patients</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5</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4</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3</w:t>
            </w:r>
          </w:p>
        </w:tc>
        <w:tc>
          <w:tcPr>
            <w:tcW w:w="1418"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2</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1</w:t>
            </w:r>
          </w:p>
        </w:tc>
      </w:tr>
      <w:tr w:rsidR="00E43B68" w:rsidRPr="00F77679" w:rsidTr="00E43B68">
        <w:trPr>
          <w:trHeight w:val="227"/>
        </w:trPr>
        <w:tc>
          <w:tcPr>
            <w:tcW w:w="7513" w:type="dxa"/>
            <w:shd w:val="clear" w:color="auto" w:fill="FFFFFF"/>
            <w:noWrap/>
            <w:vAlign w:val="center"/>
          </w:tcPr>
          <w:p w:rsidR="00443561" w:rsidRPr="00660EDD" w:rsidRDefault="00443561" w:rsidP="00443561">
            <w:pPr>
              <w:rPr>
                <w:rFonts w:ascii="Arial" w:eastAsia="Calibri" w:hAnsi="Arial" w:cs="Arial"/>
                <w:sz w:val="18"/>
                <w:szCs w:val="18"/>
                <w:lang w:val="en-US"/>
              </w:rPr>
            </w:pPr>
            <w:r w:rsidRPr="00660EDD">
              <w:rPr>
                <w:rFonts w:ascii="Arial" w:eastAsia="Calibri" w:hAnsi="Arial" w:cs="Arial"/>
                <w:sz w:val="18"/>
                <w:szCs w:val="18"/>
                <w:lang w:val="en-US"/>
              </w:rPr>
              <w:t>3. Current awareness about the CPG by professionals at the institution</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5</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4</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3</w:t>
            </w:r>
          </w:p>
        </w:tc>
        <w:tc>
          <w:tcPr>
            <w:tcW w:w="1418"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2</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1</w:t>
            </w:r>
          </w:p>
        </w:tc>
      </w:tr>
      <w:tr w:rsidR="00E43B68" w:rsidRPr="00F77679" w:rsidTr="00E43B68">
        <w:trPr>
          <w:trHeight w:val="227"/>
        </w:trPr>
        <w:tc>
          <w:tcPr>
            <w:tcW w:w="7513" w:type="dxa"/>
            <w:shd w:val="clear" w:color="auto" w:fill="FFFFFF"/>
            <w:noWrap/>
            <w:vAlign w:val="center"/>
          </w:tcPr>
          <w:p w:rsidR="00443561" w:rsidRPr="00660EDD" w:rsidRDefault="00443561" w:rsidP="00443561">
            <w:pPr>
              <w:rPr>
                <w:rFonts w:ascii="Arial" w:eastAsia="Calibri" w:hAnsi="Arial" w:cs="Arial"/>
                <w:sz w:val="18"/>
                <w:szCs w:val="18"/>
                <w:lang w:val="en-US"/>
              </w:rPr>
            </w:pPr>
            <w:r w:rsidRPr="00660EDD">
              <w:rPr>
                <w:rFonts w:ascii="Arial" w:eastAsia="Calibri" w:hAnsi="Arial" w:cs="Arial"/>
                <w:sz w:val="18"/>
                <w:szCs w:val="18"/>
                <w:lang w:val="en-US"/>
              </w:rPr>
              <w:t>4. Applicability of CPG recommendations in practice</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5</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4</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3</w:t>
            </w:r>
          </w:p>
        </w:tc>
        <w:tc>
          <w:tcPr>
            <w:tcW w:w="1418"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2</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1</w:t>
            </w:r>
          </w:p>
        </w:tc>
      </w:tr>
      <w:tr w:rsidR="00E43B68" w:rsidRPr="00F77679" w:rsidTr="00E43B68">
        <w:trPr>
          <w:trHeight w:val="227"/>
        </w:trPr>
        <w:tc>
          <w:tcPr>
            <w:tcW w:w="7513" w:type="dxa"/>
            <w:shd w:val="clear" w:color="auto" w:fill="FFFFFF"/>
            <w:noWrap/>
            <w:vAlign w:val="center"/>
          </w:tcPr>
          <w:p w:rsidR="00443561" w:rsidRPr="00660EDD" w:rsidRDefault="00443561" w:rsidP="00443561">
            <w:pPr>
              <w:rPr>
                <w:rFonts w:ascii="Arial" w:eastAsia="Calibri" w:hAnsi="Arial" w:cs="Arial"/>
                <w:sz w:val="18"/>
                <w:szCs w:val="18"/>
                <w:lang w:val="en-US"/>
              </w:rPr>
            </w:pPr>
            <w:r w:rsidRPr="00660EDD">
              <w:rPr>
                <w:rFonts w:ascii="Arial" w:eastAsia="Calibri" w:hAnsi="Arial" w:cs="Arial"/>
                <w:sz w:val="18"/>
                <w:szCs w:val="18"/>
                <w:lang w:val="en-US"/>
              </w:rPr>
              <w:t>5. Change generated by the recommendations in routine clinical practice</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5</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4</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3</w:t>
            </w:r>
          </w:p>
        </w:tc>
        <w:tc>
          <w:tcPr>
            <w:tcW w:w="1418"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2</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1</w:t>
            </w:r>
          </w:p>
        </w:tc>
      </w:tr>
      <w:tr w:rsidR="00E43B68" w:rsidRPr="00F77679" w:rsidTr="00E43B68">
        <w:trPr>
          <w:trHeight w:val="227"/>
        </w:trPr>
        <w:tc>
          <w:tcPr>
            <w:tcW w:w="7513" w:type="dxa"/>
            <w:shd w:val="clear" w:color="auto" w:fill="FFFFFF"/>
            <w:noWrap/>
            <w:vAlign w:val="center"/>
          </w:tcPr>
          <w:p w:rsidR="00443561" w:rsidRPr="00660EDD" w:rsidRDefault="00443561" w:rsidP="00443561">
            <w:pPr>
              <w:rPr>
                <w:rFonts w:ascii="Arial" w:eastAsia="Calibri" w:hAnsi="Arial" w:cs="Arial"/>
                <w:sz w:val="18"/>
                <w:szCs w:val="18"/>
                <w:lang w:val="en-US"/>
              </w:rPr>
            </w:pPr>
            <w:r w:rsidRPr="00660EDD">
              <w:rPr>
                <w:rFonts w:ascii="Arial" w:eastAsia="Calibri" w:hAnsi="Arial" w:cs="Arial"/>
                <w:sz w:val="18"/>
                <w:szCs w:val="18"/>
                <w:lang w:val="en-US"/>
              </w:rPr>
              <w:t>6. Patient participation in the development of the CPG</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5</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4</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3</w:t>
            </w:r>
          </w:p>
        </w:tc>
        <w:tc>
          <w:tcPr>
            <w:tcW w:w="1418"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2</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1</w:t>
            </w:r>
          </w:p>
        </w:tc>
      </w:tr>
      <w:tr w:rsidR="00E43B68" w:rsidRPr="00F77679" w:rsidTr="00E43B68">
        <w:trPr>
          <w:trHeight w:val="227"/>
        </w:trPr>
        <w:tc>
          <w:tcPr>
            <w:tcW w:w="7513" w:type="dxa"/>
            <w:shd w:val="clear" w:color="auto" w:fill="FFFFFF"/>
            <w:noWrap/>
            <w:vAlign w:val="center"/>
          </w:tcPr>
          <w:p w:rsidR="00443561" w:rsidRPr="00660EDD" w:rsidRDefault="00443561" w:rsidP="00443561">
            <w:pPr>
              <w:rPr>
                <w:rFonts w:ascii="Arial" w:eastAsia="Calibri" w:hAnsi="Arial" w:cs="Arial"/>
                <w:sz w:val="18"/>
                <w:szCs w:val="18"/>
                <w:lang w:val="en-US"/>
              </w:rPr>
            </w:pPr>
            <w:r w:rsidRPr="00660EDD">
              <w:rPr>
                <w:rFonts w:ascii="Arial" w:eastAsia="Calibri" w:hAnsi="Arial" w:cs="Arial"/>
                <w:sz w:val="18"/>
                <w:szCs w:val="18"/>
                <w:lang w:val="en-US"/>
              </w:rPr>
              <w:t>7. Participation of patients and their families in decision-making regarding their treatment</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5</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4</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3</w:t>
            </w:r>
          </w:p>
        </w:tc>
        <w:tc>
          <w:tcPr>
            <w:tcW w:w="1418"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2</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1</w:t>
            </w:r>
          </w:p>
        </w:tc>
      </w:tr>
      <w:tr w:rsidR="00E43B68" w:rsidRPr="00F77679" w:rsidTr="00E43B68">
        <w:trPr>
          <w:trHeight w:val="227"/>
        </w:trPr>
        <w:tc>
          <w:tcPr>
            <w:tcW w:w="7513" w:type="dxa"/>
            <w:shd w:val="clear" w:color="auto" w:fill="FFFFFF"/>
            <w:noWrap/>
            <w:vAlign w:val="center"/>
          </w:tcPr>
          <w:p w:rsidR="00443561" w:rsidRPr="00660EDD" w:rsidRDefault="00443561" w:rsidP="00443561">
            <w:pPr>
              <w:rPr>
                <w:rFonts w:ascii="Arial" w:eastAsia="Calibri" w:hAnsi="Arial" w:cs="Arial"/>
                <w:sz w:val="18"/>
                <w:szCs w:val="18"/>
                <w:lang w:val="en-US"/>
              </w:rPr>
            </w:pPr>
            <w:r w:rsidRPr="00660EDD">
              <w:rPr>
                <w:rFonts w:ascii="Arial" w:eastAsia="Calibri" w:hAnsi="Arial" w:cs="Arial"/>
                <w:sz w:val="18"/>
                <w:szCs w:val="18"/>
                <w:lang w:val="en-US"/>
              </w:rPr>
              <w:t>8. Existence of organized academic groups in the institution</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5</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4</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3</w:t>
            </w:r>
          </w:p>
        </w:tc>
        <w:tc>
          <w:tcPr>
            <w:tcW w:w="1418"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2</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1</w:t>
            </w:r>
          </w:p>
        </w:tc>
      </w:tr>
      <w:tr w:rsidR="00E43B68" w:rsidRPr="00F77679" w:rsidTr="00E43B68">
        <w:trPr>
          <w:trHeight w:val="227"/>
        </w:trPr>
        <w:tc>
          <w:tcPr>
            <w:tcW w:w="7513" w:type="dxa"/>
            <w:shd w:val="clear" w:color="auto" w:fill="FFFFFF"/>
            <w:noWrap/>
            <w:vAlign w:val="center"/>
          </w:tcPr>
          <w:p w:rsidR="00443561" w:rsidRPr="00660EDD" w:rsidRDefault="00443561" w:rsidP="00443561">
            <w:pPr>
              <w:rPr>
                <w:rFonts w:ascii="Arial" w:eastAsia="Calibri" w:hAnsi="Arial" w:cs="Arial"/>
                <w:sz w:val="18"/>
                <w:szCs w:val="18"/>
                <w:lang w:val="en-US"/>
              </w:rPr>
            </w:pPr>
            <w:r w:rsidRPr="00660EDD">
              <w:rPr>
                <w:rFonts w:ascii="Arial" w:eastAsia="Calibri" w:hAnsi="Arial" w:cs="Arial"/>
                <w:sz w:val="18"/>
                <w:szCs w:val="18"/>
                <w:lang w:val="en-US"/>
              </w:rPr>
              <w:t>9. Evidence-based methodology of the CPG</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5</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4</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3</w:t>
            </w:r>
          </w:p>
        </w:tc>
        <w:tc>
          <w:tcPr>
            <w:tcW w:w="1418"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2</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1</w:t>
            </w:r>
          </w:p>
        </w:tc>
      </w:tr>
      <w:tr w:rsidR="00E43B68" w:rsidRPr="00F77679" w:rsidTr="00E43B68">
        <w:trPr>
          <w:trHeight w:val="227"/>
        </w:trPr>
        <w:tc>
          <w:tcPr>
            <w:tcW w:w="7513" w:type="dxa"/>
            <w:shd w:val="clear" w:color="auto" w:fill="FFFFFF"/>
            <w:noWrap/>
            <w:vAlign w:val="center"/>
          </w:tcPr>
          <w:p w:rsidR="00443561" w:rsidRPr="00660EDD" w:rsidRDefault="00443561" w:rsidP="00443561">
            <w:pPr>
              <w:rPr>
                <w:rFonts w:ascii="Arial" w:eastAsia="Calibri" w:hAnsi="Arial" w:cs="Arial"/>
                <w:sz w:val="18"/>
                <w:szCs w:val="18"/>
                <w:lang w:val="en-US"/>
              </w:rPr>
            </w:pPr>
            <w:r w:rsidRPr="00660EDD">
              <w:rPr>
                <w:rFonts w:ascii="Arial" w:eastAsia="Calibri" w:hAnsi="Arial" w:cs="Arial"/>
                <w:sz w:val="18"/>
                <w:szCs w:val="18"/>
                <w:lang w:val="en-US"/>
              </w:rPr>
              <w:t>10. Visual aids included in the CPG (charts, tables, flowcharts, etc.)</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5</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4</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3</w:t>
            </w:r>
          </w:p>
        </w:tc>
        <w:tc>
          <w:tcPr>
            <w:tcW w:w="1418"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2</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1</w:t>
            </w:r>
          </w:p>
        </w:tc>
      </w:tr>
      <w:tr w:rsidR="00E43B68" w:rsidRPr="00F77679" w:rsidTr="00E43B68">
        <w:trPr>
          <w:trHeight w:val="227"/>
        </w:trPr>
        <w:tc>
          <w:tcPr>
            <w:tcW w:w="7513" w:type="dxa"/>
            <w:shd w:val="clear" w:color="auto" w:fill="FFFFFF"/>
            <w:noWrap/>
            <w:vAlign w:val="center"/>
          </w:tcPr>
          <w:p w:rsidR="00443561" w:rsidRPr="00660EDD" w:rsidRDefault="00443561" w:rsidP="00443561">
            <w:pPr>
              <w:rPr>
                <w:rFonts w:ascii="Arial" w:eastAsia="Calibri" w:hAnsi="Arial" w:cs="Arial"/>
                <w:sz w:val="18"/>
                <w:szCs w:val="18"/>
                <w:lang w:val="en-US"/>
              </w:rPr>
            </w:pPr>
            <w:r w:rsidRPr="00660EDD">
              <w:rPr>
                <w:rFonts w:ascii="Arial" w:eastAsia="Calibri" w:hAnsi="Arial" w:cs="Arial"/>
                <w:sz w:val="18"/>
                <w:szCs w:val="18"/>
                <w:lang w:val="en-US"/>
              </w:rPr>
              <w:t>11. Disciplinary background of the CPG-development group</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5</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4</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3</w:t>
            </w:r>
          </w:p>
        </w:tc>
        <w:tc>
          <w:tcPr>
            <w:tcW w:w="1418"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2</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1</w:t>
            </w:r>
          </w:p>
        </w:tc>
      </w:tr>
      <w:tr w:rsidR="00E43B68" w:rsidRPr="00F77679" w:rsidTr="00E43B68">
        <w:trPr>
          <w:trHeight w:val="227"/>
        </w:trPr>
        <w:tc>
          <w:tcPr>
            <w:tcW w:w="7513" w:type="dxa"/>
            <w:shd w:val="clear" w:color="auto" w:fill="FFFFFF"/>
            <w:noWrap/>
            <w:vAlign w:val="center"/>
          </w:tcPr>
          <w:p w:rsidR="00443561" w:rsidRPr="00660EDD" w:rsidRDefault="00443561" w:rsidP="00443561">
            <w:pPr>
              <w:rPr>
                <w:rFonts w:ascii="Arial" w:eastAsia="Calibri" w:hAnsi="Arial" w:cs="Arial"/>
                <w:sz w:val="18"/>
                <w:szCs w:val="18"/>
                <w:lang w:val="en-US"/>
              </w:rPr>
            </w:pPr>
            <w:r w:rsidRPr="00660EDD">
              <w:rPr>
                <w:rFonts w:ascii="Arial" w:eastAsia="Calibri" w:hAnsi="Arial" w:cs="Arial"/>
                <w:sz w:val="18"/>
                <w:szCs w:val="18"/>
                <w:lang w:val="en-US"/>
              </w:rPr>
              <w:t>12. Institutional monitoring on the implementation of the CPG</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5</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4</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3</w:t>
            </w:r>
          </w:p>
        </w:tc>
        <w:tc>
          <w:tcPr>
            <w:tcW w:w="1418"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2</w:t>
            </w:r>
          </w:p>
        </w:tc>
        <w:tc>
          <w:tcPr>
            <w:tcW w:w="1134" w:type="dxa"/>
            <w:vAlign w:val="center"/>
          </w:tcPr>
          <w:p w:rsidR="00443561" w:rsidRPr="00E03564" w:rsidRDefault="00443561" w:rsidP="007C4EE3">
            <w:pPr>
              <w:jc w:val="center"/>
              <w:rPr>
                <w:rFonts w:ascii="Arial" w:eastAsia="Times New Roman" w:hAnsi="Arial" w:cs="Arial"/>
                <w:b/>
                <w:color w:val="BFBFBF"/>
                <w:sz w:val="18"/>
                <w:szCs w:val="18"/>
                <w:lang w:eastAsia="es-CO"/>
              </w:rPr>
            </w:pPr>
            <w:r>
              <w:rPr>
                <w:rFonts w:ascii="Arial" w:eastAsia="Times New Roman" w:hAnsi="Arial" w:cs="Arial"/>
                <w:b/>
                <w:color w:val="BFBFBF"/>
                <w:sz w:val="18"/>
                <w:szCs w:val="18"/>
                <w:lang w:eastAsia="es-CO"/>
              </w:rPr>
              <w:t>1</w:t>
            </w:r>
          </w:p>
        </w:tc>
      </w:tr>
      <w:tr w:rsidR="00E43B68" w:rsidRPr="00F77679" w:rsidTr="00E43B68">
        <w:trPr>
          <w:trHeight w:val="227"/>
        </w:trPr>
        <w:tc>
          <w:tcPr>
            <w:tcW w:w="7513" w:type="dxa"/>
            <w:tcBorders>
              <w:top w:val="single" w:sz="4" w:space="0" w:color="auto"/>
              <w:left w:val="single" w:sz="4" w:space="0" w:color="auto"/>
              <w:bottom w:val="single" w:sz="4" w:space="0" w:color="auto"/>
              <w:right w:val="single" w:sz="4" w:space="0" w:color="auto"/>
            </w:tcBorders>
            <w:shd w:val="clear" w:color="auto" w:fill="CCC0D9"/>
            <w:noWrap/>
          </w:tcPr>
          <w:p w:rsidR="002C43F9" w:rsidRPr="007C4EE3" w:rsidRDefault="00443561" w:rsidP="00443561">
            <w:pPr>
              <w:rPr>
                <w:rFonts w:eastAsia="Times New Roman"/>
                <w:b/>
                <w:color w:val="000000"/>
                <w:sz w:val="18"/>
                <w:szCs w:val="16"/>
                <w:lang w:val="en-US" w:eastAsia="es-CO"/>
              </w:rPr>
            </w:pPr>
            <w:r w:rsidRPr="00443561">
              <w:rPr>
                <w:rFonts w:eastAsia="Times New Roman"/>
                <w:b/>
                <w:color w:val="000000"/>
                <w:sz w:val="18"/>
                <w:szCs w:val="16"/>
                <w:lang w:val="en-US" w:eastAsia="es-CO"/>
              </w:rPr>
              <w:t xml:space="preserve">B. Please rate how often the following factors limit (or impede) the implementation of the CPG recommendations in your current clinical practice. </w:t>
            </w:r>
            <w:r w:rsidRPr="007C4EE3">
              <w:rPr>
                <w:rFonts w:eastAsia="Times New Roman"/>
                <w:b/>
                <w:color w:val="000000"/>
                <w:sz w:val="18"/>
                <w:szCs w:val="16"/>
                <w:lang w:val="en-US" w:eastAsia="es-CO"/>
              </w:rPr>
              <w:t>(Mark only one answer)</w:t>
            </w:r>
          </w:p>
        </w:tc>
        <w:tc>
          <w:tcPr>
            <w:tcW w:w="1134" w:type="dxa"/>
            <w:tcBorders>
              <w:top w:val="single" w:sz="4" w:space="0" w:color="auto"/>
              <w:left w:val="single" w:sz="4" w:space="0" w:color="auto"/>
              <w:bottom w:val="single" w:sz="4" w:space="0" w:color="auto"/>
              <w:right w:val="single" w:sz="4" w:space="0" w:color="auto"/>
            </w:tcBorders>
            <w:shd w:val="clear" w:color="auto" w:fill="CCC0D9"/>
          </w:tcPr>
          <w:p w:rsidR="002C43F9" w:rsidRPr="00A749C2" w:rsidRDefault="002C43F9" w:rsidP="007C4EE3">
            <w:pPr>
              <w:jc w:val="center"/>
              <w:rPr>
                <w:rFonts w:cs="Arial"/>
                <w:b/>
                <w:sz w:val="18"/>
                <w:szCs w:val="18"/>
              </w:rPr>
            </w:pPr>
            <w:r w:rsidRPr="00A749C2">
              <w:rPr>
                <w:rFonts w:cs="Arial"/>
                <w:b/>
                <w:sz w:val="18"/>
                <w:szCs w:val="18"/>
              </w:rPr>
              <w:t>N</w:t>
            </w:r>
            <w:r w:rsidR="00E43B68">
              <w:rPr>
                <w:rFonts w:cs="Arial"/>
                <w:b/>
                <w:sz w:val="18"/>
                <w:szCs w:val="18"/>
              </w:rPr>
              <w:t>ever</w:t>
            </w:r>
          </w:p>
        </w:tc>
        <w:tc>
          <w:tcPr>
            <w:tcW w:w="1134" w:type="dxa"/>
            <w:tcBorders>
              <w:top w:val="single" w:sz="4" w:space="0" w:color="auto"/>
              <w:left w:val="single" w:sz="4" w:space="0" w:color="auto"/>
              <w:bottom w:val="single" w:sz="4" w:space="0" w:color="auto"/>
              <w:right w:val="single" w:sz="4" w:space="0" w:color="auto"/>
            </w:tcBorders>
            <w:shd w:val="clear" w:color="auto" w:fill="CCC0D9"/>
          </w:tcPr>
          <w:p w:rsidR="002C43F9" w:rsidRPr="00A749C2" w:rsidRDefault="00E43B68" w:rsidP="007C4EE3">
            <w:pPr>
              <w:jc w:val="center"/>
              <w:rPr>
                <w:rFonts w:cs="Arial"/>
                <w:b/>
                <w:sz w:val="18"/>
                <w:szCs w:val="18"/>
              </w:rPr>
            </w:pPr>
            <w:r>
              <w:rPr>
                <w:rFonts w:cs="Arial"/>
                <w:b/>
                <w:sz w:val="18"/>
                <w:szCs w:val="18"/>
              </w:rPr>
              <w:t>Rarely</w:t>
            </w:r>
          </w:p>
        </w:tc>
        <w:tc>
          <w:tcPr>
            <w:tcW w:w="1134" w:type="dxa"/>
            <w:tcBorders>
              <w:top w:val="single" w:sz="4" w:space="0" w:color="auto"/>
              <w:left w:val="single" w:sz="4" w:space="0" w:color="auto"/>
              <w:bottom w:val="single" w:sz="4" w:space="0" w:color="auto"/>
              <w:right w:val="single" w:sz="4" w:space="0" w:color="auto"/>
            </w:tcBorders>
            <w:shd w:val="clear" w:color="auto" w:fill="CCC0D9"/>
          </w:tcPr>
          <w:p w:rsidR="002C43F9" w:rsidRPr="00A749C2" w:rsidRDefault="00E43B68" w:rsidP="007C4EE3">
            <w:pPr>
              <w:jc w:val="center"/>
              <w:rPr>
                <w:rFonts w:cs="Arial"/>
                <w:b/>
                <w:sz w:val="18"/>
                <w:szCs w:val="18"/>
              </w:rPr>
            </w:pPr>
            <w:r>
              <w:rPr>
                <w:rFonts w:cs="Arial"/>
                <w:b/>
                <w:sz w:val="18"/>
                <w:szCs w:val="18"/>
              </w:rPr>
              <w:t>Sometimes</w:t>
            </w:r>
          </w:p>
        </w:tc>
        <w:tc>
          <w:tcPr>
            <w:tcW w:w="1418" w:type="dxa"/>
            <w:tcBorders>
              <w:top w:val="single" w:sz="4" w:space="0" w:color="auto"/>
              <w:left w:val="single" w:sz="4" w:space="0" w:color="auto"/>
              <w:bottom w:val="single" w:sz="4" w:space="0" w:color="auto"/>
              <w:right w:val="single" w:sz="4" w:space="0" w:color="auto"/>
            </w:tcBorders>
            <w:shd w:val="clear" w:color="auto" w:fill="CCC0D9"/>
          </w:tcPr>
          <w:p w:rsidR="002C43F9" w:rsidRPr="00A749C2" w:rsidRDefault="00E43B68" w:rsidP="007C4EE3">
            <w:pPr>
              <w:jc w:val="center"/>
              <w:rPr>
                <w:rFonts w:cs="Arial"/>
                <w:b/>
                <w:sz w:val="18"/>
                <w:szCs w:val="18"/>
              </w:rPr>
            </w:pPr>
            <w:r>
              <w:rPr>
                <w:rFonts w:cs="Arial"/>
                <w:b/>
                <w:sz w:val="18"/>
                <w:szCs w:val="18"/>
              </w:rPr>
              <w:t>Almost always</w:t>
            </w:r>
          </w:p>
        </w:tc>
        <w:tc>
          <w:tcPr>
            <w:tcW w:w="1134" w:type="dxa"/>
            <w:tcBorders>
              <w:top w:val="single" w:sz="4" w:space="0" w:color="auto"/>
              <w:left w:val="single" w:sz="4" w:space="0" w:color="auto"/>
              <w:bottom w:val="single" w:sz="4" w:space="0" w:color="auto"/>
              <w:right w:val="single" w:sz="4" w:space="0" w:color="auto"/>
            </w:tcBorders>
            <w:shd w:val="clear" w:color="auto" w:fill="CCC0D9"/>
          </w:tcPr>
          <w:p w:rsidR="002C43F9" w:rsidRPr="00A749C2" w:rsidRDefault="00E43B68" w:rsidP="007C4EE3">
            <w:pPr>
              <w:jc w:val="center"/>
              <w:rPr>
                <w:rFonts w:cs="Arial"/>
                <w:b/>
                <w:sz w:val="18"/>
                <w:szCs w:val="18"/>
              </w:rPr>
            </w:pPr>
            <w:r>
              <w:rPr>
                <w:rFonts w:cs="Arial"/>
                <w:b/>
                <w:sz w:val="18"/>
                <w:szCs w:val="18"/>
              </w:rPr>
              <w:t>Always</w:t>
            </w:r>
          </w:p>
        </w:tc>
      </w:tr>
      <w:tr w:rsidR="00E43B68" w:rsidRPr="00F77679" w:rsidTr="00E43B68">
        <w:trPr>
          <w:trHeight w:val="227"/>
        </w:trPr>
        <w:tc>
          <w:tcPr>
            <w:tcW w:w="7513" w:type="dxa"/>
            <w:shd w:val="clear" w:color="auto" w:fill="FFFFFF"/>
            <w:noWrap/>
            <w:vAlign w:val="center"/>
          </w:tcPr>
          <w:p w:rsidR="00443561" w:rsidRPr="00660EDD" w:rsidRDefault="00443561" w:rsidP="00443561">
            <w:pPr>
              <w:rPr>
                <w:rFonts w:ascii="Arial" w:eastAsia="Calibri" w:hAnsi="Arial" w:cs="Arial"/>
                <w:sz w:val="18"/>
                <w:szCs w:val="18"/>
                <w:lang w:val="en-US"/>
              </w:rPr>
            </w:pPr>
            <w:r w:rsidRPr="00660EDD">
              <w:rPr>
                <w:rFonts w:ascii="Arial" w:eastAsia="Calibri" w:hAnsi="Arial" w:cs="Arial"/>
                <w:sz w:val="18"/>
                <w:szCs w:val="18"/>
                <w:lang w:val="en-US"/>
              </w:rPr>
              <w:t xml:space="preserve">13. Lack of human resources in the institution </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1</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2</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3</w:t>
            </w:r>
          </w:p>
        </w:tc>
        <w:tc>
          <w:tcPr>
            <w:tcW w:w="1418"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4</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5</w:t>
            </w:r>
          </w:p>
        </w:tc>
      </w:tr>
      <w:tr w:rsidR="00E43B68" w:rsidRPr="00F77679" w:rsidTr="00E43B68">
        <w:trPr>
          <w:trHeight w:val="227"/>
        </w:trPr>
        <w:tc>
          <w:tcPr>
            <w:tcW w:w="7513" w:type="dxa"/>
            <w:shd w:val="clear" w:color="auto" w:fill="FFFFFF"/>
            <w:noWrap/>
            <w:vAlign w:val="center"/>
          </w:tcPr>
          <w:p w:rsidR="00443561" w:rsidRPr="00A81813" w:rsidRDefault="00443561" w:rsidP="00443561">
            <w:pPr>
              <w:rPr>
                <w:rFonts w:ascii="Arial" w:eastAsia="Calibri" w:hAnsi="Arial" w:cs="Arial"/>
                <w:sz w:val="18"/>
                <w:szCs w:val="18"/>
                <w:lang w:val="en-US"/>
              </w:rPr>
            </w:pPr>
            <w:r w:rsidRPr="00A81813">
              <w:rPr>
                <w:rFonts w:ascii="Arial" w:eastAsia="Calibri" w:hAnsi="Arial" w:cs="Arial"/>
                <w:sz w:val="18"/>
                <w:szCs w:val="18"/>
                <w:lang w:val="en-US"/>
              </w:rPr>
              <w:t>14. Continuity in the process of patient care</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1</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2</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3</w:t>
            </w:r>
          </w:p>
        </w:tc>
        <w:tc>
          <w:tcPr>
            <w:tcW w:w="1418"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4</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5</w:t>
            </w:r>
          </w:p>
        </w:tc>
      </w:tr>
      <w:tr w:rsidR="00E43B68" w:rsidRPr="00F77679" w:rsidTr="00E43B68">
        <w:trPr>
          <w:trHeight w:val="227"/>
        </w:trPr>
        <w:tc>
          <w:tcPr>
            <w:tcW w:w="7513" w:type="dxa"/>
            <w:shd w:val="clear" w:color="auto" w:fill="FFFFFF"/>
            <w:noWrap/>
            <w:vAlign w:val="center"/>
          </w:tcPr>
          <w:p w:rsidR="00443561" w:rsidRPr="00A81813" w:rsidRDefault="00443561" w:rsidP="00443561">
            <w:pPr>
              <w:rPr>
                <w:rFonts w:ascii="Arial" w:eastAsia="Calibri" w:hAnsi="Arial" w:cs="Arial"/>
                <w:sz w:val="18"/>
                <w:szCs w:val="18"/>
                <w:lang w:val="en-US"/>
              </w:rPr>
            </w:pPr>
            <w:r w:rsidRPr="00A81813">
              <w:rPr>
                <w:rFonts w:ascii="Arial" w:eastAsia="Calibri" w:hAnsi="Arial" w:cs="Arial"/>
                <w:sz w:val="18"/>
                <w:szCs w:val="18"/>
                <w:lang w:val="en-US"/>
              </w:rPr>
              <w:t>15. Availability of technological resources in the institution</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1</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2</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3</w:t>
            </w:r>
          </w:p>
        </w:tc>
        <w:tc>
          <w:tcPr>
            <w:tcW w:w="1418"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4</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5</w:t>
            </w:r>
          </w:p>
        </w:tc>
      </w:tr>
      <w:tr w:rsidR="00E43B68" w:rsidRPr="00F77679" w:rsidTr="00E43B68">
        <w:trPr>
          <w:trHeight w:val="227"/>
        </w:trPr>
        <w:tc>
          <w:tcPr>
            <w:tcW w:w="7513" w:type="dxa"/>
            <w:shd w:val="clear" w:color="auto" w:fill="FFFFFF"/>
            <w:noWrap/>
            <w:vAlign w:val="center"/>
          </w:tcPr>
          <w:p w:rsidR="00443561" w:rsidRPr="00A81813" w:rsidRDefault="00443561" w:rsidP="00443561">
            <w:pPr>
              <w:rPr>
                <w:rFonts w:ascii="Arial" w:eastAsia="Calibri" w:hAnsi="Arial" w:cs="Arial"/>
                <w:sz w:val="18"/>
                <w:szCs w:val="18"/>
                <w:lang w:val="en-US"/>
              </w:rPr>
            </w:pPr>
            <w:r w:rsidRPr="00A81813">
              <w:rPr>
                <w:rFonts w:ascii="Arial" w:eastAsia="Calibri" w:hAnsi="Arial" w:cs="Arial"/>
                <w:sz w:val="18"/>
                <w:szCs w:val="18"/>
                <w:lang w:val="en-US"/>
              </w:rPr>
              <w:t>16. Recommended interventions not included in the benefit plan</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1</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2</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3</w:t>
            </w:r>
          </w:p>
        </w:tc>
        <w:tc>
          <w:tcPr>
            <w:tcW w:w="1418"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4</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5</w:t>
            </w:r>
          </w:p>
        </w:tc>
      </w:tr>
      <w:tr w:rsidR="00E43B68" w:rsidRPr="00F77679" w:rsidTr="00E43B68">
        <w:trPr>
          <w:trHeight w:val="227"/>
        </w:trPr>
        <w:tc>
          <w:tcPr>
            <w:tcW w:w="7513" w:type="dxa"/>
            <w:shd w:val="clear" w:color="auto" w:fill="FFFFFF"/>
            <w:noWrap/>
            <w:vAlign w:val="center"/>
          </w:tcPr>
          <w:p w:rsidR="00443561" w:rsidRPr="00A81813" w:rsidRDefault="00443561" w:rsidP="00443561">
            <w:pPr>
              <w:rPr>
                <w:rFonts w:ascii="Arial" w:eastAsia="Calibri" w:hAnsi="Arial" w:cs="Arial"/>
                <w:sz w:val="18"/>
                <w:szCs w:val="18"/>
                <w:lang w:val="en-US"/>
              </w:rPr>
            </w:pPr>
            <w:r w:rsidRPr="00A81813">
              <w:rPr>
                <w:rFonts w:ascii="Arial" w:eastAsia="Calibri" w:hAnsi="Arial" w:cs="Arial"/>
                <w:sz w:val="18"/>
                <w:szCs w:val="18"/>
                <w:lang w:val="en-US"/>
              </w:rPr>
              <w:t>17. Lack time for professionals to familiarize themselves with the CPG</w:t>
            </w:r>
          </w:p>
        </w:tc>
        <w:tc>
          <w:tcPr>
            <w:tcW w:w="1134" w:type="dxa"/>
            <w:vAlign w:val="center"/>
          </w:tcPr>
          <w:p w:rsidR="00443561" w:rsidRPr="00E03564" w:rsidRDefault="00443561" w:rsidP="00443561">
            <w:pPr>
              <w:jc w:val="center"/>
              <w:rPr>
                <w:rFonts w:ascii="Arial" w:eastAsia="Times New Roman" w:hAnsi="Arial" w:cs="Arial"/>
                <w:b/>
                <w:color w:val="BFBFBF" w:themeColor="background1" w:themeShade="BF"/>
                <w:sz w:val="18"/>
                <w:szCs w:val="18"/>
                <w:lang w:eastAsia="es-CO"/>
              </w:rPr>
            </w:pPr>
            <w:r w:rsidRPr="00E03564">
              <w:rPr>
                <w:rFonts w:ascii="Arial" w:eastAsia="Times New Roman" w:hAnsi="Arial" w:cs="Arial"/>
                <w:b/>
                <w:color w:val="BFBFBF" w:themeColor="background1" w:themeShade="BF"/>
                <w:sz w:val="18"/>
                <w:szCs w:val="18"/>
                <w:lang w:eastAsia="es-CO"/>
              </w:rPr>
              <w:t>1</w:t>
            </w:r>
          </w:p>
        </w:tc>
        <w:tc>
          <w:tcPr>
            <w:tcW w:w="1134" w:type="dxa"/>
            <w:vAlign w:val="center"/>
          </w:tcPr>
          <w:p w:rsidR="00443561" w:rsidRPr="00E03564" w:rsidRDefault="00443561" w:rsidP="00443561">
            <w:pPr>
              <w:jc w:val="center"/>
              <w:rPr>
                <w:rFonts w:ascii="Arial" w:eastAsia="Times New Roman" w:hAnsi="Arial" w:cs="Arial"/>
                <w:b/>
                <w:color w:val="BFBFBF" w:themeColor="background1" w:themeShade="BF"/>
                <w:sz w:val="18"/>
                <w:szCs w:val="18"/>
                <w:lang w:eastAsia="es-CO"/>
              </w:rPr>
            </w:pPr>
            <w:r w:rsidRPr="00E03564">
              <w:rPr>
                <w:rFonts w:ascii="Arial" w:eastAsia="Times New Roman" w:hAnsi="Arial" w:cs="Arial"/>
                <w:b/>
                <w:color w:val="BFBFBF" w:themeColor="background1" w:themeShade="BF"/>
                <w:sz w:val="18"/>
                <w:szCs w:val="18"/>
                <w:lang w:eastAsia="es-CO"/>
              </w:rPr>
              <w:t>2</w:t>
            </w:r>
          </w:p>
        </w:tc>
        <w:tc>
          <w:tcPr>
            <w:tcW w:w="1134" w:type="dxa"/>
            <w:vAlign w:val="center"/>
          </w:tcPr>
          <w:p w:rsidR="00443561" w:rsidRPr="00E03564" w:rsidRDefault="00443561" w:rsidP="00443561">
            <w:pPr>
              <w:jc w:val="center"/>
              <w:rPr>
                <w:rFonts w:ascii="Arial" w:eastAsia="Times New Roman" w:hAnsi="Arial" w:cs="Arial"/>
                <w:b/>
                <w:color w:val="BFBFBF" w:themeColor="background1" w:themeShade="BF"/>
                <w:sz w:val="18"/>
                <w:szCs w:val="18"/>
                <w:lang w:eastAsia="es-CO"/>
              </w:rPr>
            </w:pPr>
            <w:r w:rsidRPr="00E03564">
              <w:rPr>
                <w:rFonts w:ascii="Arial" w:eastAsia="Times New Roman" w:hAnsi="Arial" w:cs="Arial"/>
                <w:b/>
                <w:color w:val="BFBFBF" w:themeColor="background1" w:themeShade="BF"/>
                <w:sz w:val="18"/>
                <w:szCs w:val="18"/>
                <w:lang w:eastAsia="es-CO"/>
              </w:rPr>
              <w:t>3</w:t>
            </w:r>
          </w:p>
        </w:tc>
        <w:tc>
          <w:tcPr>
            <w:tcW w:w="1418" w:type="dxa"/>
            <w:vAlign w:val="center"/>
          </w:tcPr>
          <w:p w:rsidR="00443561" w:rsidRPr="00E03564" w:rsidRDefault="00443561" w:rsidP="00443561">
            <w:pPr>
              <w:jc w:val="center"/>
              <w:rPr>
                <w:rFonts w:ascii="Arial" w:eastAsia="Times New Roman" w:hAnsi="Arial" w:cs="Arial"/>
                <w:b/>
                <w:color w:val="BFBFBF" w:themeColor="background1" w:themeShade="BF"/>
                <w:sz w:val="18"/>
                <w:szCs w:val="18"/>
                <w:lang w:eastAsia="es-CO"/>
              </w:rPr>
            </w:pPr>
            <w:r w:rsidRPr="00E03564">
              <w:rPr>
                <w:rFonts w:ascii="Arial" w:eastAsia="Times New Roman" w:hAnsi="Arial" w:cs="Arial"/>
                <w:b/>
                <w:color w:val="BFBFBF" w:themeColor="background1" w:themeShade="BF"/>
                <w:sz w:val="18"/>
                <w:szCs w:val="18"/>
                <w:lang w:eastAsia="es-CO"/>
              </w:rPr>
              <w:t>4</w:t>
            </w:r>
          </w:p>
        </w:tc>
        <w:tc>
          <w:tcPr>
            <w:tcW w:w="1134" w:type="dxa"/>
            <w:vAlign w:val="center"/>
          </w:tcPr>
          <w:p w:rsidR="00443561" w:rsidRPr="00E03564" w:rsidRDefault="00443561" w:rsidP="00443561">
            <w:pPr>
              <w:jc w:val="center"/>
              <w:rPr>
                <w:rFonts w:ascii="Arial" w:eastAsia="Times New Roman" w:hAnsi="Arial" w:cs="Arial"/>
                <w:b/>
                <w:color w:val="BFBFBF" w:themeColor="background1" w:themeShade="BF"/>
                <w:sz w:val="18"/>
                <w:szCs w:val="18"/>
                <w:lang w:eastAsia="es-CO"/>
              </w:rPr>
            </w:pPr>
            <w:r w:rsidRPr="00E03564">
              <w:rPr>
                <w:rFonts w:ascii="Arial" w:eastAsia="Times New Roman" w:hAnsi="Arial" w:cs="Arial"/>
                <w:b/>
                <w:color w:val="BFBFBF" w:themeColor="background1" w:themeShade="BF"/>
                <w:sz w:val="18"/>
                <w:szCs w:val="18"/>
                <w:lang w:eastAsia="es-CO"/>
              </w:rPr>
              <w:t>5</w:t>
            </w:r>
          </w:p>
        </w:tc>
      </w:tr>
      <w:tr w:rsidR="00E43B68" w:rsidRPr="00F77679" w:rsidTr="00E43B68">
        <w:trPr>
          <w:trHeight w:val="227"/>
        </w:trPr>
        <w:tc>
          <w:tcPr>
            <w:tcW w:w="7513" w:type="dxa"/>
            <w:shd w:val="clear" w:color="auto" w:fill="FFFFFF"/>
            <w:noWrap/>
            <w:vAlign w:val="center"/>
          </w:tcPr>
          <w:p w:rsidR="00443561" w:rsidRPr="00A81813" w:rsidRDefault="00443561" w:rsidP="00443561">
            <w:pPr>
              <w:rPr>
                <w:rFonts w:ascii="Arial" w:eastAsia="Calibri" w:hAnsi="Arial" w:cs="Arial"/>
                <w:sz w:val="18"/>
                <w:szCs w:val="18"/>
                <w:lang w:val="en-US"/>
              </w:rPr>
            </w:pPr>
            <w:r w:rsidRPr="00A81813">
              <w:rPr>
                <w:rFonts w:ascii="Arial" w:eastAsia="Calibri" w:hAnsi="Arial" w:cs="Arial"/>
                <w:sz w:val="18"/>
                <w:szCs w:val="18"/>
                <w:lang w:val="en-US"/>
              </w:rPr>
              <w:t>18. Lack of a universal health information system in the country</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1</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2</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3</w:t>
            </w:r>
          </w:p>
        </w:tc>
        <w:tc>
          <w:tcPr>
            <w:tcW w:w="1418"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4</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5</w:t>
            </w:r>
          </w:p>
        </w:tc>
      </w:tr>
      <w:tr w:rsidR="00E43B68" w:rsidRPr="00F77679" w:rsidTr="00E43B68">
        <w:trPr>
          <w:trHeight w:val="227"/>
        </w:trPr>
        <w:tc>
          <w:tcPr>
            <w:tcW w:w="7513" w:type="dxa"/>
            <w:shd w:val="clear" w:color="auto" w:fill="FFFFFF"/>
            <w:noWrap/>
            <w:vAlign w:val="center"/>
          </w:tcPr>
          <w:p w:rsidR="00443561" w:rsidRPr="00A81813" w:rsidRDefault="00443561" w:rsidP="00443561">
            <w:pPr>
              <w:rPr>
                <w:rFonts w:ascii="Arial" w:eastAsia="Calibri" w:hAnsi="Arial" w:cs="Arial"/>
                <w:sz w:val="18"/>
                <w:szCs w:val="18"/>
                <w:lang w:val="en-US"/>
              </w:rPr>
            </w:pPr>
            <w:r w:rsidRPr="00A81813">
              <w:rPr>
                <w:rFonts w:ascii="Arial" w:eastAsia="Calibri" w:hAnsi="Arial" w:cs="Arial"/>
                <w:sz w:val="18"/>
                <w:szCs w:val="18"/>
                <w:lang w:val="en-US"/>
              </w:rPr>
              <w:t>19. Resistance to follow protocols by the professionals at the institution</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1</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2</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3</w:t>
            </w:r>
          </w:p>
        </w:tc>
        <w:tc>
          <w:tcPr>
            <w:tcW w:w="1418"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4</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5</w:t>
            </w:r>
          </w:p>
        </w:tc>
      </w:tr>
      <w:tr w:rsidR="00E43B68" w:rsidRPr="00F77679" w:rsidTr="00E43B68">
        <w:trPr>
          <w:trHeight w:val="227"/>
        </w:trPr>
        <w:tc>
          <w:tcPr>
            <w:tcW w:w="7513" w:type="dxa"/>
            <w:shd w:val="clear" w:color="auto" w:fill="FFFFFF"/>
            <w:noWrap/>
            <w:vAlign w:val="center"/>
          </w:tcPr>
          <w:p w:rsidR="00443561" w:rsidRPr="00A81813" w:rsidRDefault="00443561" w:rsidP="00F74F3E">
            <w:pPr>
              <w:rPr>
                <w:rFonts w:ascii="Arial" w:eastAsia="Calibri" w:hAnsi="Arial" w:cs="Arial"/>
                <w:sz w:val="18"/>
                <w:szCs w:val="18"/>
                <w:lang w:val="en-US"/>
              </w:rPr>
            </w:pPr>
            <w:r w:rsidRPr="00A81813">
              <w:rPr>
                <w:rFonts w:ascii="Arial" w:eastAsia="Calibri" w:hAnsi="Arial" w:cs="Arial"/>
                <w:sz w:val="18"/>
                <w:szCs w:val="18"/>
                <w:lang w:val="en-US"/>
              </w:rPr>
              <w:t>20. Current timeliness of the authorization and administrative processes of health services</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1</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2</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3</w:t>
            </w:r>
          </w:p>
        </w:tc>
        <w:tc>
          <w:tcPr>
            <w:tcW w:w="1418"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4</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5</w:t>
            </w:r>
          </w:p>
        </w:tc>
      </w:tr>
      <w:tr w:rsidR="00E43B68" w:rsidRPr="00F77679" w:rsidTr="00E43B68">
        <w:trPr>
          <w:trHeight w:val="227"/>
        </w:trPr>
        <w:tc>
          <w:tcPr>
            <w:tcW w:w="7513" w:type="dxa"/>
            <w:shd w:val="clear" w:color="auto" w:fill="FFFFFF"/>
            <w:noWrap/>
            <w:vAlign w:val="center"/>
          </w:tcPr>
          <w:p w:rsidR="00443561" w:rsidRPr="00A81813" w:rsidRDefault="00443561" w:rsidP="00443561">
            <w:pPr>
              <w:rPr>
                <w:rFonts w:ascii="Arial" w:eastAsia="Calibri" w:hAnsi="Arial" w:cs="Arial"/>
                <w:sz w:val="18"/>
                <w:szCs w:val="18"/>
                <w:lang w:val="en-US"/>
              </w:rPr>
            </w:pPr>
            <w:r w:rsidRPr="00A81813">
              <w:rPr>
                <w:rFonts w:ascii="Arial" w:eastAsia="Calibri" w:hAnsi="Arial" w:cs="Arial"/>
                <w:sz w:val="18"/>
                <w:szCs w:val="18"/>
                <w:lang w:val="en-US"/>
              </w:rPr>
              <w:t>21. Lack of motivation by professionals to stay updated on the topics of the CPG</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1</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2</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3</w:t>
            </w:r>
          </w:p>
        </w:tc>
        <w:tc>
          <w:tcPr>
            <w:tcW w:w="1418"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4</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5</w:t>
            </w:r>
          </w:p>
        </w:tc>
      </w:tr>
      <w:tr w:rsidR="00E43B68" w:rsidRPr="00F77679" w:rsidTr="00E43B68">
        <w:trPr>
          <w:trHeight w:val="227"/>
        </w:trPr>
        <w:tc>
          <w:tcPr>
            <w:tcW w:w="7513" w:type="dxa"/>
            <w:shd w:val="clear" w:color="auto" w:fill="FFFFFF" w:themeFill="background1"/>
            <w:noWrap/>
            <w:vAlign w:val="center"/>
          </w:tcPr>
          <w:p w:rsidR="00443561" w:rsidRPr="00A81813" w:rsidRDefault="00443561" w:rsidP="00443561">
            <w:pPr>
              <w:rPr>
                <w:rFonts w:ascii="Arial" w:hAnsi="Arial" w:cs="Arial"/>
                <w:sz w:val="18"/>
                <w:szCs w:val="18"/>
                <w:lang w:val="en-US"/>
              </w:rPr>
            </w:pPr>
            <w:r w:rsidRPr="00A81813">
              <w:rPr>
                <w:rFonts w:ascii="Arial" w:eastAsia="Calibri" w:hAnsi="Arial" w:cs="Arial"/>
                <w:sz w:val="18"/>
                <w:szCs w:val="18"/>
                <w:lang w:val="en-US"/>
              </w:rPr>
              <w:t>22. Lack of continuing education activities at the institution</w:t>
            </w:r>
          </w:p>
        </w:tc>
        <w:tc>
          <w:tcPr>
            <w:tcW w:w="1134" w:type="dxa"/>
            <w:vAlign w:val="center"/>
          </w:tcPr>
          <w:p w:rsidR="00443561" w:rsidRPr="00E03564" w:rsidRDefault="00443561" w:rsidP="00443561">
            <w:pPr>
              <w:jc w:val="center"/>
              <w:rPr>
                <w:rFonts w:ascii="Arial" w:eastAsia="Times New Roman" w:hAnsi="Arial" w:cs="Arial"/>
                <w:b/>
                <w:color w:val="BFBFBF" w:themeColor="background1" w:themeShade="BF"/>
                <w:sz w:val="18"/>
                <w:szCs w:val="18"/>
                <w:lang w:eastAsia="es-CO"/>
              </w:rPr>
            </w:pPr>
            <w:r w:rsidRPr="00E03564">
              <w:rPr>
                <w:rFonts w:ascii="Arial" w:eastAsia="Times New Roman" w:hAnsi="Arial" w:cs="Arial"/>
                <w:b/>
                <w:color w:val="BFBFBF" w:themeColor="background1" w:themeShade="BF"/>
                <w:sz w:val="18"/>
                <w:szCs w:val="18"/>
                <w:lang w:eastAsia="es-CO"/>
              </w:rPr>
              <w:t>1</w:t>
            </w:r>
          </w:p>
        </w:tc>
        <w:tc>
          <w:tcPr>
            <w:tcW w:w="1134" w:type="dxa"/>
            <w:vAlign w:val="center"/>
          </w:tcPr>
          <w:p w:rsidR="00443561" w:rsidRPr="00E03564" w:rsidRDefault="00443561" w:rsidP="00443561">
            <w:pPr>
              <w:jc w:val="center"/>
              <w:rPr>
                <w:rFonts w:ascii="Arial" w:eastAsia="Times New Roman" w:hAnsi="Arial" w:cs="Arial"/>
                <w:b/>
                <w:color w:val="BFBFBF" w:themeColor="background1" w:themeShade="BF"/>
                <w:sz w:val="18"/>
                <w:szCs w:val="18"/>
                <w:lang w:eastAsia="es-CO"/>
              </w:rPr>
            </w:pPr>
            <w:r w:rsidRPr="00E03564">
              <w:rPr>
                <w:rFonts w:ascii="Arial" w:eastAsia="Times New Roman" w:hAnsi="Arial" w:cs="Arial"/>
                <w:b/>
                <w:color w:val="BFBFBF" w:themeColor="background1" w:themeShade="BF"/>
                <w:sz w:val="18"/>
                <w:szCs w:val="18"/>
                <w:lang w:eastAsia="es-CO"/>
              </w:rPr>
              <w:t>2</w:t>
            </w:r>
          </w:p>
        </w:tc>
        <w:tc>
          <w:tcPr>
            <w:tcW w:w="1134" w:type="dxa"/>
            <w:vAlign w:val="center"/>
          </w:tcPr>
          <w:p w:rsidR="00443561" w:rsidRPr="00E03564" w:rsidRDefault="00443561" w:rsidP="00443561">
            <w:pPr>
              <w:jc w:val="center"/>
              <w:rPr>
                <w:rFonts w:ascii="Arial" w:eastAsia="Times New Roman" w:hAnsi="Arial" w:cs="Arial"/>
                <w:b/>
                <w:color w:val="BFBFBF" w:themeColor="background1" w:themeShade="BF"/>
                <w:sz w:val="18"/>
                <w:szCs w:val="18"/>
                <w:lang w:eastAsia="es-CO"/>
              </w:rPr>
            </w:pPr>
            <w:r w:rsidRPr="00E03564">
              <w:rPr>
                <w:rFonts w:ascii="Arial" w:eastAsia="Times New Roman" w:hAnsi="Arial" w:cs="Arial"/>
                <w:b/>
                <w:color w:val="BFBFBF" w:themeColor="background1" w:themeShade="BF"/>
                <w:sz w:val="18"/>
                <w:szCs w:val="18"/>
                <w:lang w:eastAsia="es-CO"/>
              </w:rPr>
              <w:t>3</w:t>
            </w:r>
          </w:p>
        </w:tc>
        <w:tc>
          <w:tcPr>
            <w:tcW w:w="1418" w:type="dxa"/>
            <w:vAlign w:val="center"/>
          </w:tcPr>
          <w:p w:rsidR="00443561" w:rsidRPr="00E03564" w:rsidRDefault="00443561" w:rsidP="00443561">
            <w:pPr>
              <w:jc w:val="center"/>
              <w:rPr>
                <w:rFonts w:ascii="Arial" w:eastAsia="Times New Roman" w:hAnsi="Arial" w:cs="Arial"/>
                <w:b/>
                <w:color w:val="BFBFBF" w:themeColor="background1" w:themeShade="BF"/>
                <w:sz w:val="18"/>
                <w:szCs w:val="18"/>
                <w:lang w:eastAsia="es-CO"/>
              </w:rPr>
            </w:pPr>
            <w:r w:rsidRPr="00E03564">
              <w:rPr>
                <w:rFonts w:ascii="Arial" w:eastAsia="Times New Roman" w:hAnsi="Arial" w:cs="Arial"/>
                <w:b/>
                <w:color w:val="BFBFBF" w:themeColor="background1" w:themeShade="BF"/>
                <w:sz w:val="18"/>
                <w:szCs w:val="18"/>
                <w:lang w:eastAsia="es-CO"/>
              </w:rPr>
              <w:t>4</w:t>
            </w:r>
          </w:p>
        </w:tc>
        <w:tc>
          <w:tcPr>
            <w:tcW w:w="1134" w:type="dxa"/>
            <w:vAlign w:val="center"/>
          </w:tcPr>
          <w:p w:rsidR="00443561" w:rsidRPr="00E03564" w:rsidRDefault="00443561" w:rsidP="00443561">
            <w:pPr>
              <w:jc w:val="center"/>
              <w:rPr>
                <w:rFonts w:ascii="Arial" w:eastAsia="Times New Roman" w:hAnsi="Arial" w:cs="Arial"/>
                <w:b/>
                <w:color w:val="BFBFBF" w:themeColor="background1" w:themeShade="BF"/>
                <w:sz w:val="18"/>
                <w:szCs w:val="18"/>
                <w:lang w:eastAsia="es-CO"/>
              </w:rPr>
            </w:pPr>
            <w:r w:rsidRPr="00E03564">
              <w:rPr>
                <w:rFonts w:ascii="Arial" w:eastAsia="Times New Roman" w:hAnsi="Arial" w:cs="Arial"/>
                <w:b/>
                <w:color w:val="BFBFBF" w:themeColor="background1" w:themeShade="BF"/>
                <w:sz w:val="18"/>
                <w:szCs w:val="18"/>
                <w:lang w:eastAsia="es-CO"/>
              </w:rPr>
              <w:t>5</w:t>
            </w:r>
          </w:p>
        </w:tc>
      </w:tr>
      <w:tr w:rsidR="00E43B68" w:rsidRPr="00F77679" w:rsidTr="00E43B68">
        <w:trPr>
          <w:trHeight w:val="227"/>
        </w:trPr>
        <w:tc>
          <w:tcPr>
            <w:tcW w:w="7513" w:type="dxa"/>
            <w:shd w:val="clear" w:color="auto" w:fill="FFFFFF"/>
            <w:noWrap/>
            <w:vAlign w:val="center"/>
          </w:tcPr>
          <w:p w:rsidR="00443561" w:rsidRPr="00A81813" w:rsidRDefault="00443561" w:rsidP="00443561">
            <w:pPr>
              <w:rPr>
                <w:rFonts w:ascii="Arial" w:eastAsia="Calibri" w:hAnsi="Arial" w:cs="Arial"/>
                <w:sz w:val="18"/>
                <w:szCs w:val="18"/>
                <w:lang w:val="en-US"/>
              </w:rPr>
            </w:pPr>
            <w:r w:rsidRPr="00A81813">
              <w:rPr>
                <w:rFonts w:ascii="Arial" w:eastAsia="Calibri" w:hAnsi="Arial" w:cs="Arial"/>
                <w:sz w:val="18"/>
                <w:szCs w:val="18"/>
                <w:lang w:val="en-US"/>
              </w:rPr>
              <w:t>23. Lack of access to health services in remote areas</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1</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2</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3</w:t>
            </w:r>
          </w:p>
        </w:tc>
        <w:tc>
          <w:tcPr>
            <w:tcW w:w="1418"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4</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5</w:t>
            </w:r>
          </w:p>
        </w:tc>
      </w:tr>
      <w:tr w:rsidR="00E43B68" w:rsidRPr="00F77679" w:rsidTr="00E43B68">
        <w:trPr>
          <w:trHeight w:val="227"/>
        </w:trPr>
        <w:tc>
          <w:tcPr>
            <w:tcW w:w="7513" w:type="dxa"/>
            <w:shd w:val="clear" w:color="auto" w:fill="FFFFFF" w:themeFill="background1"/>
            <w:noWrap/>
            <w:vAlign w:val="center"/>
          </w:tcPr>
          <w:p w:rsidR="00443561" w:rsidRPr="00A81813" w:rsidRDefault="00443561" w:rsidP="00443561">
            <w:pPr>
              <w:rPr>
                <w:rFonts w:ascii="Arial" w:hAnsi="Arial" w:cs="Arial"/>
                <w:sz w:val="18"/>
                <w:szCs w:val="18"/>
                <w:lang w:val="en-US"/>
              </w:rPr>
            </w:pPr>
            <w:r w:rsidRPr="00A81813">
              <w:rPr>
                <w:rFonts w:ascii="Arial" w:hAnsi="Arial" w:cs="Arial"/>
                <w:sz w:val="18"/>
                <w:szCs w:val="18"/>
                <w:lang w:val="en-US"/>
              </w:rPr>
              <w:t>24. Availability of supplies and medical devices at the institution</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1</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2</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3</w:t>
            </w:r>
          </w:p>
        </w:tc>
        <w:tc>
          <w:tcPr>
            <w:tcW w:w="1418"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4</w:t>
            </w:r>
          </w:p>
        </w:tc>
        <w:tc>
          <w:tcPr>
            <w:tcW w:w="1134" w:type="dxa"/>
            <w:vAlign w:val="center"/>
          </w:tcPr>
          <w:p w:rsidR="00443561" w:rsidRPr="00E03564" w:rsidRDefault="00443561" w:rsidP="00443561">
            <w:pPr>
              <w:jc w:val="center"/>
              <w:rPr>
                <w:rFonts w:ascii="Arial" w:eastAsia="Times New Roman" w:hAnsi="Arial" w:cs="Arial"/>
                <w:b/>
                <w:color w:val="BFBFBF"/>
                <w:sz w:val="18"/>
                <w:szCs w:val="18"/>
                <w:lang w:eastAsia="es-CO"/>
              </w:rPr>
            </w:pPr>
            <w:r w:rsidRPr="00E03564">
              <w:rPr>
                <w:rFonts w:ascii="Arial" w:eastAsia="Times New Roman" w:hAnsi="Arial" w:cs="Arial"/>
                <w:b/>
                <w:color w:val="BFBFBF"/>
                <w:sz w:val="18"/>
                <w:szCs w:val="18"/>
                <w:lang w:eastAsia="es-CO"/>
              </w:rPr>
              <w:t>5</w:t>
            </w:r>
          </w:p>
        </w:tc>
      </w:tr>
      <w:tr w:rsidR="00E43B68" w:rsidRPr="00F77679" w:rsidTr="00E43B68">
        <w:trPr>
          <w:trHeight w:val="227"/>
        </w:trPr>
        <w:tc>
          <w:tcPr>
            <w:tcW w:w="7513" w:type="dxa"/>
            <w:shd w:val="clear" w:color="auto" w:fill="FFFFFF" w:themeFill="background1"/>
            <w:noWrap/>
            <w:vAlign w:val="center"/>
          </w:tcPr>
          <w:p w:rsidR="00443561" w:rsidRPr="00A81813" w:rsidRDefault="00443561" w:rsidP="00443561">
            <w:pPr>
              <w:rPr>
                <w:rFonts w:ascii="Arial" w:hAnsi="Arial" w:cs="Arial"/>
                <w:sz w:val="18"/>
                <w:szCs w:val="18"/>
                <w:lang w:val="en-US"/>
              </w:rPr>
            </w:pPr>
            <w:r w:rsidRPr="00A81813">
              <w:rPr>
                <w:rFonts w:ascii="Arial" w:hAnsi="Arial" w:cs="Arial"/>
                <w:sz w:val="18"/>
                <w:szCs w:val="18"/>
                <w:lang w:val="en-US"/>
              </w:rPr>
              <w:t>25. Teamwork of healthcare professionals at the institution</w:t>
            </w:r>
          </w:p>
        </w:tc>
        <w:tc>
          <w:tcPr>
            <w:tcW w:w="1134" w:type="dxa"/>
            <w:vAlign w:val="center"/>
          </w:tcPr>
          <w:p w:rsidR="00443561" w:rsidRPr="00E03564" w:rsidRDefault="00443561" w:rsidP="00443561">
            <w:pPr>
              <w:jc w:val="center"/>
              <w:rPr>
                <w:rFonts w:ascii="Arial" w:eastAsia="Times New Roman" w:hAnsi="Arial" w:cs="Arial"/>
                <w:b/>
                <w:color w:val="BFBFBF" w:themeColor="background1" w:themeShade="BF"/>
                <w:sz w:val="18"/>
                <w:szCs w:val="18"/>
                <w:lang w:eastAsia="es-CO"/>
              </w:rPr>
            </w:pPr>
            <w:r w:rsidRPr="00E03564">
              <w:rPr>
                <w:rFonts w:ascii="Arial" w:eastAsia="Times New Roman" w:hAnsi="Arial" w:cs="Arial"/>
                <w:b/>
                <w:color w:val="BFBFBF" w:themeColor="background1" w:themeShade="BF"/>
                <w:sz w:val="18"/>
                <w:szCs w:val="18"/>
                <w:lang w:eastAsia="es-CO"/>
              </w:rPr>
              <w:t>1</w:t>
            </w:r>
          </w:p>
        </w:tc>
        <w:tc>
          <w:tcPr>
            <w:tcW w:w="1134" w:type="dxa"/>
            <w:vAlign w:val="center"/>
          </w:tcPr>
          <w:p w:rsidR="00443561" w:rsidRPr="00E03564" w:rsidRDefault="00443561" w:rsidP="00443561">
            <w:pPr>
              <w:jc w:val="center"/>
              <w:rPr>
                <w:rFonts w:ascii="Arial" w:eastAsia="Times New Roman" w:hAnsi="Arial" w:cs="Arial"/>
                <w:b/>
                <w:color w:val="BFBFBF" w:themeColor="background1" w:themeShade="BF"/>
                <w:sz w:val="18"/>
                <w:szCs w:val="18"/>
                <w:lang w:eastAsia="es-CO"/>
              </w:rPr>
            </w:pPr>
            <w:r w:rsidRPr="00E03564">
              <w:rPr>
                <w:rFonts w:ascii="Arial" w:eastAsia="Times New Roman" w:hAnsi="Arial" w:cs="Arial"/>
                <w:b/>
                <w:color w:val="BFBFBF" w:themeColor="background1" w:themeShade="BF"/>
                <w:sz w:val="18"/>
                <w:szCs w:val="18"/>
                <w:lang w:eastAsia="es-CO"/>
              </w:rPr>
              <w:t>2</w:t>
            </w:r>
          </w:p>
        </w:tc>
        <w:tc>
          <w:tcPr>
            <w:tcW w:w="1134" w:type="dxa"/>
            <w:vAlign w:val="center"/>
          </w:tcPr>
          <w:p w:rsidR="00443561" w:rsidRPr="00E03564" w:rsidRDefault="00443561" w:rsidP="00443561">
            <w:pPr>
              <w:jc w:val="center"/>
              <w:rPr>
                <w:rFonts w:ascii="Arial" w:eastAsia="Times New Roman" w:hAnsi="Arial" w:cs="Arial"/>
                <w:b/>
                <w:color w:val="BFBFBF" w:themeColor="background1" w:themeShade="BF"/>
                <w:sz w:val="18"/>
                <w:szCs w:val="18"/>
                <w:lang w:eastAsia="es-CO"/>
              </w:rPr>
            </w:pPr>
            <w:r w:rsidRPr="00E03564">
              <w:rPr>
                <w:rFonts w:ascii="Arial" w:eastAsia="Times New Roman" w:hAnsi="Arial" w:cs="Arial"/>
                <w:b/>
                <w:color w:val="BFBFBF" w:themeColor="background1" w:themeShade="BF"/>
                <w:sz w:val="18"/>
                <w:szCs w:val="18"/>
                <w:lang w:eastAsia="es-CO"/>
              </w:rPr>
              <w:t>3</w:t>
            </w:r>
          </w:p>
        </w:tc>
        <w:tc>
          <w:tcPr>
            <w:tcW w:w="1418" w:type="dxa"/>
            <w:vAlign w:val="center"/>
          </w:tcPr>
          <w:p w:rsidR="00443561" w:rsidRPr="00E03564" w:rsidRDefault="00443561" w:rsidP="00443561">
            <w:pPr>
              <w:jc w:val="center"/>
              <w:rPr>
                <w:rFonts w:ascii="Arial" w:eastAsia="Times New Roman" w:hAnsi="Arial" w:cs="Arial"/>
                <w:b/>
                <w:color w:val="BFBFBF" w:themeColor="background1" w:themeShade="BF"/>
                <w:sz w:val="18"/>
                <w:szCs w:val="18"/>
                <w:lang w:eastAsia="es-CO"/>
              </w:rPr>
            </w:pPr>
            <w:r w:rsidRPr="00E03564">
              <w:rPr>
                <w:rFonts w:ascii="Arial" w:eastAsia="Times New Roman" w:hAnsi="Arial" w:cs="Arial"/>
                <w:b/>
                <w:color w:val="BFBFBF" w:themeColor="background1" w:themeShade="BF"/>
                <w:sz w:val="18"/>
                <w:szCs w:val="18"/>
                <w:lang w:eastAsia="es-CO"/>
              </w:rPr>
              <w:t>4</w:t>
            </w:r>
          </w:p>
        </w:tc>
        <w:tc>
          <w:tcPr>
            <w:tcW w:w="1134" w:type="dxa"/>
            <w:vAlign w:val="center"/>
          </w:tcPr>
          <w:p w:rsidR="00443561" w:rsidRPr="00E03564" w:rsidRDefault="00443561" w:rsidP="00443561">
            <w:pPr>
              <w:jc w:val="center"/>
              <w:rPr>
                <w:rFonts w:ascii="Arial" w:eastAsia="Times New Roman" w:hAnsi="Arial" w:cs="Arial"/>
                <w:b/>
                <w:color w:val="BFBFBF" w:themeColor="background1" w:themeShade="BF"/>
                <w:sz w:val="18"/>
                <w:szCs w:val="18"/>
                <w:lang w:eastAsia="es-CO"/>
              </w:rPr>
            </w:pPr>
            <w:r w:rsidRPr="00E03564">
              <w:rPr>
                <w:rFonts w:ascii="Arial" w:eastAsia="Times New Roman" w:hAnsi="Arial" w:cs="Arial"/>
                <w:b/>
                <w:color w:val="BFBFBF" w:themeColor="background1" w:themeShade="BF"/>
                <w:sz w:val="18"/>
                <w:szCs w:val="18"/>
                <w:lang w:eastAsia="es-CO"/>
              </w:rPr>
              <w:t>5</w:t>
            </w:r>
          </w:p>
        </w:tc>
      </w:tr>
    </w:tbl>
    <w:p w:rsidR="00864426" w:rsidRPr="00864426" w:rsidRDefault="00864426" w:rsidP="00443561">
      <w:pPr>
        <w:tabs>
          <w:tab w:val="left" w:pos="2205"/>
        </w:tabs>
        <w:rPr>
          <w:lang w:val="en-US"/>
        </w:rPr>
      </w:pPr>
    </w:p>
    <w:sectPr w:rsidR="00864426" w:rsidRPr="00864426" w:rsidSect="00A749C2">
      <w:footerReference w:type="default" r:id="rId6"/>
      <w:pgSz w:w="15840" w:h="12240" w:orient="landscape"/>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10D6" w:rsidRDefault="005810D6" w:rsidP="000E0717">
      <w:pPr>
        <w:spacing w:after="0" w:line="240" w:lineRule="auto"/>
      </w:pPr>
      <w:r>
        <w:separator/>
      </w:r>
    </w:p>
  </w:endnote>
  <w:endnote w:type="continuationSeparator" w:id="0">
    <w:p w:rsidR="005810D6" w:rsidRDefault="005810D6" w:rsidP="000E0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352A6" w:rsidRPr="00F74F3E" w:rsidRDefault="00F74F3E" w:rsidP="00F74F3E">
    <w:pPr>
      <w:pStyle w:val="Piedepgina"/>
      <w:jc w:val="center"/>
      <w:rPr>
        <w:lang w:val="en-US"/>
      </w:rPr>
    </w:pPr>
    <w:r w:rsidRPr="00F74F3E">
      <w:rPr>
        <w:rFonts w:cstheme="minorHAnsi"/>
        <w:b/>
        <w:lang w:val="en-US"/>
      </w:rPr>
      <w:t>Developed by the Health Rehabilitation Group of the University of Antioquia. Medellin. 2019.</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10D6" w:rsidRDefault="005810D6" w:rsidP="000E0717">
      <w:pPr>
        <w:spacing w:after="0" w:line="240" w:lineRule="auto"/>
      </w:pPr>
      <w:r>
        <w:separator/>
      </w:r>
    </w:p>
  </w:footnote>
  <w:footnote w:type="continuationSeparator" w:id="0">
    <w:p w:rsidR="005810D6" w:rsidRDefault="005810D6" w:rsidP="000E071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49C2"/>
    <w:rsid w:val="000E0717"/>
    <w:rsid w:val="000E2C14"/>
    <w:rsid w:val="000E7FA4"/>
    <w:rsid w:val="001528AA"/>
    <w:rsid w:val="001A12E0"/>
    <w:rsid w:val="001A2A90"/>
    <w:rsid w:val="001F4B1F"/>
    <w:rsid w:val="002372AA"/>
    <w:rsid w:val="002C43F9"/>
    <w:rsid w:val="00385BFC"/>
    <w:rsid w:val="003B6BED"/>
    <w:rsid w:val="00443561"/>
    <w:rsid w:val="005810D6"/>
    <w:rsid w:val="005B12AF"/>
    <w:rsid w:val="005C69C3"/>
    <w:rsid w:val="005E267B"/>
    <w:rsid w:val="00660EDD"/>
    <w:rsid w:val="006A2A92"/>
    <w:rsid w:val="006D0D50"/>
    <w:rsid w:val="007C4EE3"/>
    <w:rsid w:val="007F788B"/>
    <w:rsid w:val="00864426"/>
    <w:rsid w:val="008820AD"/>
    <w:rsid w:val="008C0186"/>
    <w:rsid w:val="00903FD1"/>
    <w:rsid w:val="009B5CF4"/>
    <w:rsid w:val="00A749C2"/>
    <w:rsid w:val="00A81813"/>
    <w:rsid w:val="00AE55B6"/>
    <w:rsid w:val="00B479C1"/>
    <w:rsid w:val="00B653E8"/>
    <w:rsid w:val="00B94B82"/>
    <w:rsid w:val="00BA431E"/>
    <w:rsid w:val="00BB7136"/>
    <w:rsid w:val="00BE4C59"/>
    <w:rsid w:val="00C352A6"/>
    <w:rsid w:val="00C91D0C"/>
    <w:rsid w:val="00D018F1"/>
    <w:rsid w:val="00D25860"/>
    <w:rsid w:val="00E43B68"/>
    <w:rsid w:val="00E51513"/>
    <w:rsid w:val="00EE776D"/>
    <w:rsid w:val="00F1398B"/>
    <w:rsid w:val="00F45F8D"/>
    <w:rsid w:val="00F515DD"/>
    <w:rsid w:val="00F74F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1D07C1-49AD-46F6-9777-D1B9A4878A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49C2"/>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aconcuadrcula5">
    <w:name w:val="Tabla con cuadrícula5"/>
    <w:basedOn w:val="Tablanormal"/>
    <w:next w:val="Tablaconcuadrcula"/>
    <w:uiPriority w:val="59"/>
    <w:rsid w:val="00A749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39"/>
    <w:rsid w:val="00A749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0E07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0E0717"/>
  </w:style>
  <w:style w:type="paragraph" w:styleId="Piedepgina">
    <w:name w:val="footer"/>
    <w:basedOn w:val="Normal"/>
    <w:link w:val="PiedepginaCar"/>
    <w:uiPriority w:val="99"/>
    <w:unhideWhenUsed/>
    <w:rsid w:val="000E07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0E0717"/>
  </w:style>
  <w:style w:type="paragraph" w:styleId="Prrafodelista">
    <w:name w:val="List Paragraph"/>
    <w:basedOn w:val="Normal"/>
    <w:uiPriority w:val="34"/>
    <w:qFormat/>
    <w:rsid w:val="00E515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447</Words>
  <Characters>2462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dc:creator>
  <cp:keywords/>
  <dc:description/>
  <cp:lastModifiedBy>ANA MARIA POSADA BORRERO</cp:lastModifiedBy>
  <cp:revision>8</cp:revision>
  <dcterms:created xsi:type="dcterms:W3CDTF">2022-04-28T14:55:00Z</dcterms:created>
  <dcterms:modified xsi:type="dcterms:W3CDTF">2022-06-20T04:40:00Z</dcterms:modified>
</cp:coreProperties>
</file>