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7730" w:rsidRPr="00B255E1" w:rsidRDefault="00A57730" w:rsidP="00A57730">
      <w:pPr>
        <w:spacing w:after="0" w:line="480" w:lineRule="auto"/>
        <w:jc w:val="both"/>
        <w:rPr>
          <w:b/>
          <w:szCs w:val="24"/>
          <w:lang w:val="en-GB"/>
        </w:rPr>
      </w:pPr>
      <w:r w:rsidRPr="00B255E1">
        <w:rPr>
          <w:b/>
          <w:szCs w:val="24"/>
          <w:lang w:val="en-GB"/>
        </w:rPr>
        <w:t xml:space="preserve">Supplementary Materials </w:t>
      </w:r>
    </w:p>
    <w:p w:rsidR="00A57730" w:rsidRPr="00B255E1" w:rsidRDefault="00A57730" w:rsidP="00A57730">
      <w:pPr>
        <w:spacing w:after="0" w:line="480" w:lineRule="auto"/>
        <w:jc w:val="both"/>
        <w:rPr>
          <w:b/>
          <w:szCs w:val="24"/>
          <w:lang w:val="en-GB"/>
        </w:rPr>
      </w:pPr>
      <w:r w:rsidRPr="00B255E1">
        <w:rPr>
          <w:b/>
          <w:szCs w:val="24"/>
          <w:lang w:val="en-GB"/>
        </w:rPr>
        <w:t>Table S1. Experimental design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83"/>
        <w:gridCol w:w="2277"/>
        <w:gridCol w:w="2279"/>
        <w:gridCol w:w="2277"/>
      </w:tblGrid>
      <w:tr w:rsidR="00A57730" w:rsidRPr="00B85288" w:rsidTr="00B85288">
        <w:trPr>
          <w:trHeight w:val="284"/>
        </w:trPr>
        <w:tc>
          <w:tcPr>
            <w:tcW w:w="1210" w:type="pct"/>
            <w:vMerge w:val="restar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b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b/>
                <w:color w:val="000000"/>
                <w:szCs w:val="24"/>
                <w:lang w:val="en-GB" w:eastAsia="nl-BE"/>
              </w:rPr>
              <w:t>Experiment</w:t>
            </w:r>
          </w:p>
        </w:tc>
        <w:tc>
          <w:tcPr>
            <w:tcW w:w="3790" w:type="pct"/>
            <w:gridSpan w:val="3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jc w:val="center"/>
              <w:rPr>
                <w:rFonts w:eastAsia="Times New Roman"/>
                <w:b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b/>
                <w:color w:val="000000"/>
                <w:szCs w:val="24"/>
                <w:lang w:val="en-GB" w:eastAsia="nl-BE"/>
              </w:rPr>
              <w:t>Factors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vMerge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b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b/>
                <w:color w:val="000000"/>
                <w:szCs w:val="24"/>
                <w:lang w:val="en-GB" w:eastAsia="nl-BE"/>
              </w:rPr>
              <w:t>Buffer strength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b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b/>
                <w:color w:val="000000"/>
                <w:szCs w:val="24"/>
                <w:lang w:val="en-GB" w:eastAsia="nl-BE"/>
              </w:rPr>
              <w:t>pH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b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b/>
                <w:color w:val="000000"/>
                <w:szCs w:val="24"/>
                <w:lang w:val="en-GB" w:eastAsia="nl-BE"/>
              </w:rPr>
              <w:t>Mannitol concentration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1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-1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2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+1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3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-1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4*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+1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5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val="en-GB"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6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7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8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9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10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11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12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13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14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15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16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0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17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-1</w:t>
            </w:r>
          </w:p>
        </w:tc>
      </w:tr>
      <w:tr w:rsidR="00A57730" w:rsidRPr="00B85288" w:rsidTr="00B85288">
        <w:trPr>
          <w:trHeight w:val="284"/>
        </w:trPr>
        <w:tc>
          <w:tcPr>
            <w:tcW w:w="1210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before="60"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18</w:t>
            </w:r>
          </w:p>
        </w:tc>
        <w:tc>
          <w:tcPr>
            <w:tcW w:w="1263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before="60"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before="60"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  <w:tc>
          <w:tcPr>
            <w:tcW w:w="1264" w:type="pct"/>
            <w:shd w:val="clear" w:color="auto" w:fill="auto"/>
            <w:noWrap/>
            <w:vAlign w:val="center"/>
          </w:tcPr>
          <w:p w:rsidR="00A57730" w:rsidRPr="00B85288" w:rsidRDefault="00A57730" w:rsidP="00B85288">
            <w:pPr>
              <w:spacing w:before="60" w:after="0" w:line="480" w:lineRule="auto"/>
              <w:rPr>
                <w:rFonts w:eastAsia="Times New Roman"/>
                <w:color w:val="000000"/>
                <w:szCs w:val="24"/>
                <w:lang w:eastAsia="nl-BE"/>
              </w:rPr>
            </w:pPr>
            <w:r w:rsidRPr="00B85288">
              <w:rPr>
                <w:rFonts w:eastAsia="Times New Roman"/>
                <w:color w:val="000000"/>
                <w:szCs w:val="24"/>
                <w:lang w:eastAsia="nl-BE"/>
              </w:rPr>
              <w:t>+1</w:t>
            </w:r>
          </w:p>
        </w:tc>
      </w:tr>
    </w:tbl>
    <w:p w:rsidR="00A57730" w:rsidRPr="00B85288" w:rsidRDefault="00A57730" w:rsidP="00A57730">
      <w:pPr>
        <w:spacing w:after="0" w:line="480" w:lineRule="auto"/>
        <w:jc w:val="both"/>
        <w:rPr>
          <w:b/>
          <w:szCs w:val="24"/>
          <w:lang w:val="en-GB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 w:eastAsia="en-US"/>
        </w:rPr>
      </w:pPr>
      <w:bookmarkStart w:id="0" w:name="_Hlk102319681"/>
    </w:p>
    <w:p w:rsidR="00A57730" w:rsidRPr="00B255E1" w:rsidRDefault="00A57730" w:rsidP="00A57730">
      <w:pPr>
        <w:spacing w:after="0" w:line="480" w:lineRule="auto"/>
        <w:rPr>
          <w:rFonts w:eastAsia="Calibri"/>
          <w:b/>
          <w:szCs w:val="24"/>
          <w:lang w:val="en-US" w:eastAsia="en-US"/>
        </w:rPr>
      </w:pPr>
      <w:r w:rsidRPr="00B255E1">
        <w:rPr>
          <w:rFonts w:eastAsia="Calibri"/>
          <w:b/>
          <w:szCs w:val="24"/>
          <w:lang w:val="en-US" w:eastAsia="en-US"/>
        </w:rPr>
        <w:lastRenderedPageBreak/>
        <w:t>Table S2. The effects of the factors on the hydrolysis rate constants and Arrhenius parameters for each formulation</w:t>
      </w:r>
    </w:p>
    <w:tbl>
      <w:tblPr>
        <w:tblW w:w="9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992"/>
        <w:gridCol w:w="1390"/>
        <w:gridCol w:w="1162"/>
        <w:gridCol w:w="1106"/>
        <w:gridCol w:w="1162"/>
        <w:gridCol w:w="1083"/>
        <w:gridCol w:w="1158"/>
      </w:tblGrid>
      <w:tr w:rsidR="00A57730" w:rsidRPr="00B255E1" w:rsidTr="00B85288">
        <w:trPr>
          <w:trHeight w:val="290"/>
        </w:trPr>
        <w:tc>
          <w:tcPr>
            <w:tcW w:w="3653" w:type="dxa"/>
            <w:gridSpan w:val="3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  <w:lang w:val="en-GB"/>
              </w:rPr>
            </w:pPr>
            <w:r w:rsidRPr="00B255E1">
              <w:rPr>
                <w:b/>
                <w:szCs w:val="24"/>
                <w:lang w:val="en-GB"/>
              </w:rPr>
              <w:t xml:space="preserve">Factors </w:t>
            </w:r>
          </w:p>
        </w:tc>
        <w:tc>
          <w:tcPr>
            <w:tcW w:w="5630" w:type="dxa"/>
            <w:gridSpan w:val="5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jc w:val="center"/>
              <w:rPr>
                <w:rFonts w:eastAsia="Times New Roman"/>
                <w:b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b/>
                <w:color w:val="000000"/>
                <w:szCs w:val="24"/>
                <w:lang w:val="en-GB"/>
              </w:rPr>
              <w:t>Responses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b/>
                <w:szCs w:val="24"/>
              </w:rPr>
              <w:t xml:space="preserve">Buffer </w:t>
            </w:r>
            <w:r w:rsidRPr="00B255E1">
              <w:rPr>
                <w:b/>
                <w:szCs w:val="24"/>
                <w:lang w:val="en-GB"/>
              </w:rPr>
              <w:t>(M)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b/>
                <w:szCs w:val="24"/>
              </w:rPr>
              <w:t>pH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jc w:val="both"/>
              <w:rPr>
                <w:b/>
                <w:szCs w:val="24"/>
              </w:rPr>
            </w:pPr>
            <w:r w:rsidRPr="00B255E1">
              <w:rPr>
                <w:b/>
                <w:szCs w:val="24"/>
                <w:lang w:val="en-GB"/>
              </w:rPr>
              <w:t xml:space="preserve">  </w:t>
            </w:r>
            <w:r w:rsidRPr="00B255E1">
              <w:rPr>
                <w:b/>
                <w:szCs w:val="24"/>
              </w:rPr>
              <w:t xml:space="preserve">Mannitol </w:t>
            </w:r>
          </w:p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b/>
                <w:szCs w:val="24"/>
              </w:rPr>
              <w:t>(mmol/mL)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b/>
                <w:color w:val="000000"/>
                <w:szCs w:val="24"/>
                <w:lang w:val="en-GB"/>
              </w:rPr>
            </w:pPr>
            <w:r>
              <w:rPr>
                <w:rFonts w:eastAsia="Times New Roman"/>
                <w:b/>
                <w:color w:val="000000"/>
                <w:szCs w:val="24"/>
                <w:lang w:val="en-GB"/>
              </w:rPr>
              <w:t>k</w:t>
            </w:r>
          </w:p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b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b/>
                <w:color w:val="000000"/>
                <w:szCs w:val="24"/>
                <w:lang w:val="en-GB"/>
              </w:rPr>
              <w:t xml:space="preserve"> (5 ℃)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b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b/>
                <w:color w:val="000000"/>
                <w:szCs w:val="24"/>
                <w:lang w:val="en-GB"/>
              </w:rPr>
              <w:t xml:space="preserve">k  </w:t>
            </w:r>
          </w:p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b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b/>
                <w:color w:val="000000"/>
                <w:szCs w:val="24"/>
                <w:lang w:val="en-GB"/>
              </w:rPr>
              <w:t>(25 ℃)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b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b/>
                <w:color w:val="000000"/>
                <w:szCs w:val="24"/>
                <w:lang w:val="en-GB"/>
              </w:rPr>
              <w:t>k</w:t>
            </w:r>
          </w:p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b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b/>
                <w:color w:val="000000"/>
                <w:szCs w:val="24"/>
                <w:lang w:val="en-GB"/>
              </w:rPr>
              <w:t>(40 ℃)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jc w:val="both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Ea</w:t>
            </w:r>
            <w:r w:rsidRPr="00B255E1">
              <w:rPr>
                <w:rFonts w:eastAsia="Times New Roman"/>
                <w:b/>
                <w:color w:val="000000"/>
                <w:szCs w:val="24"/>
                <w:lang w:val="en-GB"/>
              </w:rPr>
              <w:t xml:space="preserve"> </w:t>
            </w:r>
          </w:p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b/>
                <w:szCs w:val="24"/>
              </w:rPr>
              <w:t>(kJ/mol)</w:t>
            </w:r>
          </w:p>
        </w:tc>
        <w:tc>
          <w:tcPr>
            <w:tcW w:w="1117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b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b/>
                <w:color w:val="000000"/>
                <w:szCs w:val="24"/>
                <w:lang w:val="en-GB"/>
              </w:rPr>
              <w:t xml:space="preserve"> A</w:t>
            </w:r>
          </w:p>
          <w:p w:rsidR="00A57730" w:rsidRPr="00B255E1" w:rsidRDefault="00A57730" w:rsidP="00B85288">
            <w:pPr>
              <w:spacing w:after="0" w:line="480" w:lineRule="auto"/>
              <w:jc w:val="both"/>
              <w:rPr>
                <w:rFonts w:eastAsia="Times New Roman"/>
                <w:b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b/>
                <w:color w:val="000000"/>
                <w:szCs w:val="24"/>
                <w:lang w:val="en-GB"/>
              </w:rPr>
              <w:t>(h</w:t>
            </w:r>
            <w:r w:rsidRPr="003A4243">
              <w:rPr>
                <w:rFonts w:eastAsia="Times New Roman"/>
                <w:b/>
                <w:color w:val="000000"/>
                <w:szCs w:val="24"/>
                <w:vertAlign w:val="superscript"/>
                <w:lang w:val="en-GB"/>
              </w:rPr>
              <w:t>-</w:t>
            </w:r>
            <w:r w:rsidRPr="00B255E1">
              <w:rPr>
                <w:rFonts w:eastAsia="Times New Roman"/>
                <w:b/>
                <w:color w:val="000000"/>
                <w:szCs w:val="24"/>
                <w:vertAlign w:val="superscript"/>
                <w:lang w:val="en-GB"/>
              </w:rPr>
              <w:t>1</w:t>
            </w:r>
            <w:r w:rsidRPr="00B255E1">
              <w:rPr>
                <w:rFonts w:eastAsia="Times New Roman"/>
                <w:b/>
                <w:color w:val="000000"/>
                <w:szCs w:val="24"/>
                <w:lang w:val="en-GB"/>
              </w:rPr>
              <w:t>)</w:t>
            </w:r>
          </w:p>
        </w:tc>
      </w:tr>
      <w:tr w:rsidR="00A57730" w:rsidRPr="00B255E1" w:rsidTr="00B85288">
        <w:trPr>
          <w:trHeight w:val="5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0.00067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0.0054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0.0597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91.08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3A4243">
              <w:rPr>
                <w:szCs w:val="24"/>
              </w:rPr>
              <w:t>7.3</w:t>
            </w:r>
            <w:r>
              <w:rPr>
                <w:szCs w:val="24"/>
              </w:rPr>
              <w:t>0</w:t>
            </w:r>
            <w:r w:rsidRPr="003A4243">
              <w:rPr>
                <w:szCs w:val="24"/>
              </w:rPr>
              <w:t>E+13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0.22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0.00067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0.0056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0.039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83.26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3A4243">
              <w:rPr>
                <w:szCs w:val="24"/>
              </w:rPr>
              <w:t>2.65E+12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9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0.00075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0.0054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0.0588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88.5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3A4243">
              <w:rPr>
                <w:szCs w:val="24"/>
              </w:rPr>
              <w:t>2.63E+13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9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0.22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0.00056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0.006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0.0563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90.83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3A4243">
              <w:rPr>
                <w:szCs w:val="24"/>
              </w:rPr>
              <w:t>6.67E+13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10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0.00132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0.0053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0.0553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75.01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3A4243">
              <w:rPr>
                <w:szCs w:val="24"/>
              </w:rPr>
              <w:t>1.29E+11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10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0.22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0.00071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0.0061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0.04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82.89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3A4243">
              <w:rPr>
                <w:szCs w:val="24"/>
              </w:rPr>
              <w:t>2.44E+12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0.00075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0.0051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0.051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85.57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3A4243">
              <w:rPr>
                <w:szCs w:val="24"/>
              </w:rPr>
              <w:t>7.52E+12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0.22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0.00115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0.0065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0.046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75.09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3A4243">
              <w:rPr>
                <w:szCs w:val="24"/>
              </w:rPr>
              <w:t>1.27E+11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9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0.00077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0.005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0.0525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86.51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3A4243">
              <w:rPr>
                <w:szCs w:val="24"/>
              </w:rPr>
              <w:t>1.15E+13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9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0.22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0.00081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0.0064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0.05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00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84.21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3A4243">
              <w:rPr>
                <w:szCs w:val="24"/>
              </w:rPr>
              <w:t>4.74E+12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10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0.00083</w:t>
            </w:r>
          </w:p>
        </w:tc>
        <w:tc>
          <w:tcPr>
            <w:tcW w:w="1106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0.0049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0.0504</w:t>
            </w:r>
          </w:p>
        </w:tc>
        <w:tc>
          <w:tcPr>
            <w:tcW w:w="1083" w:type="dxa"/>
            <w:shd w:val="clear" w:color="auto" w:fill="auto"/>
            <w:noWrap/>
            <w:vAlign w:val="bottom"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61.49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3A4243">
              <w:rPr>
                <w:szCs w:val="24"/>
              </w:rPr>
              <w:t>2.44E+12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10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0.22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0.00082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0.006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0.0472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82.67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3A4243">
              <w:rPr>
                <w:szCs w:val="24"/>
              </w:rPr>
              <w:t>5.86E+11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0.00089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0.0061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0.0433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79.15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3A4243">
              <w:rPr>
                <w:szCs w:val="24"/>
              </w:rPr>
              <w:t>3.03E+10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0.22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0.00137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0.007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0.0459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71.35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3A4243">
              <w:rPr>
                <w:szCs w:val="24"/>
              </w:rPr>
              <w:t>2.48E+12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9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0.0009</w:t>
            </w:r>
            <w:r w:rsidRPr="00B255E1">
              <w:rPr>
                <w:rFonts w:eastAsia="Times New Roman"/>
                <w:color w:val="000000"/>
                <w:szCs w:val="24"/>
                <w:lang w:val="en-GB"/>
              </w:rPr>
              <w:t>0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0.0069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0.0515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82.44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3A4243">
              <w:rPr>
                <w:szCs w:val="24"/>
              </w:rPr>
              <w:t>1.30E+12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9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0.22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0.00082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0.0062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0.0433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81.17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3A4243">
              <w:rPr>
                <w:szCs w:val="24"/>
              </w:rPr>
              <w:t>4.87E+12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10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0.00089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0.0062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0.0555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84.14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3A4243">
              <w:rPr>
                <w:szCs w:val="24"/>
              </w:rPr>
              <w:t>1.46E+12</w:t>
            </w:r>
          </w:p>
        </w:tc>
      </w:tr>
      <w:tr w:rsidR="00A57730" w:rsidRPr="00B255E1" w:rsidTr="00B85288">
        <w:trPr>
          <w:trHeight w:val="290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10</w:t>
            </w:r>
          </w:p>
        </w:tc>
        <w:tc>
          <w:tcPr>
            <w:tcW w:w="1390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0.22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0.00105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0.0065</w:t>
            </w:r>
          </w:p>
        </w:tc>
        <w:tc>
          <w:tcPr>
            <w:tcW w:w="1162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0.0567</w:t>
            </w:r>
          </w:p>
        </w:tc>
        <w:tc>
          <w:tcPr>
            <w:tcW w:w="1083" w:type="dxa"/>
            <w:shd w:val="clear" w:color="auto" w:fill="auto"/>
            <w:noWrap/>
            <w:vAlign w:val="bottom"/>
            <w:hideMark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</w:rPr>
            </w:pPr>
            <w:r w:rsidRPr="00B255E1">
              <w:rPr>
                <w:rFonts w:eastAsia="Times New Roman"/>
                <w:color w:val="000000"/>
                <w:szCs w:val="24"/>
              </w:rPr>
              <w:t>80.99</w:t>
            </w:r>
          </w:p>
        </w:tc>
        <w:tc>
          <w:tcPr>
            <w:tcW w:w="1117" w:type="dxa"/>
            <w:shd w:val="clear" w:color="auto" w:fill="auto"/>
            <w:noWrap/>
          </w:tcPr>
          <w:p w:rsidR="00A57730" w:rsidRPr="00B255E1" w:rsidRDefault="00A57730" w:rsidP="00B85288">
            <w:pPr>
              <w:spacing w:after="0" w:line="480" w:lineRule="auto"/>
              <w:rPr>
                <w:rFonts w:eastAsia="Times New Roman"/>
                <w:color w:val="000000"/>
                <w:szCs w:val="24"/>
                <w:lang w:val="en-GB"/>
              </w:rPr>
            </w:pPr>
            <w:r w:rsidRPr="003A4243">
              <w:rPr>
                <w:szCs w:val="24"/>
              </w:rPr>
              <w:t>7.3</w:t>
            </w:r>
            <w:r>
              <w:rPr>
                <w:szCs w:val="24"/>
              </w:rPr>
              <w:t>0</w:t>
            </w:r>
            <w:r w:rsidRPr="003A4243">
              <w:rPr>
                <w:szCs w:val="24"/>
              </w:rPr>
              <w:t>E+13</w:t>
            </w:r>
          </w:p>
        </w:tc>
      </w:tr>
    </w:tbl>
    <w:p w:rsidR="00A57730" w:rsidRPr="00B255E1" w:rsidRDefault="00A57730" w:rsidP="00A57730">
      <w:pPr>
        <w:spacing w:after="0" w:line="480" w:lineRule="auto"/>
        <w:rPr>
          <w:rFonts w:eastAsia="Calibri"/>
          <w:b/>
          <w:szCs w:val="24"/>
          <w:lang w:val="en-US" w:eastAsia="en-US"/>
        </w:rPr>
      </w:pPr>
    </w:p>
    <w:p w:rsidR="00A57730" w:rsidRDefault="00A57730" w:rsidP="00A57730">
      <w:pPr>
        <w:spacing w:after="0" w:line="480" w:lineRule="auto"/>
        <w:rPr>
          <w:b/>
          <w:szCs w:val="24"/>
          <w:lang w:val="en-GB"/>
        </w:rPr>
      </w:pPr>
    </w:p>
    <w:p w:rsidR="00A57730" w:rsidRPr="003A4243" w:rsidRDefault="00A57730" w:rsidP="00A57730">
      <w:pPr>
        <w:spacing w:after="0" w:line="480" w:lineRule="auto"/>
        <w:rPr>
          <w:b/>
          <w:szCs w:val="24"/>
          <w:lang w:val="en-GB"/>
        </w:rPr>
      </w:pPr>
      <w:r w:rsidRPr="003A4243">
        <w:rPr>
          <w:b/>
          <w:szCs w:val="24"/>
          <w:lang w:val="en-GB"/>
        </w:rPr>
        <w:lastRenderedPageBreak/>
        <w:t xml:space="preserve">Table S3. Summary of ANOVA results of </w:t>
      </w:r>
      <w:r>
        <w:rPr>
          <w:b/>
          <w:szCs w:val="24"/>
          <w:lang w:val="en-GB"/>
        </w:rPr>
        <w:t>k</w:t>
      </w:r>
      <w:r w:rsidRPr="003A4243">
        <w:rPr>
          <w:b/>
          <w:szCs w:val="24"/>
          <w:lang w:val="en-GB"/>
        </w:rPr>
        <w:t xml:space="preserve"> </w:t>
      </w:r>
      <w:r w:rsidRPr="003A4243">
        <w:rPr>
          <w:b/>
          <w:szCs w:val="24"/>
          <w:lang w:val="en-GB"/>
        </w:rPr>
        <w:t xml:space="preserve">at 5 </w:t>
      </w:r>
      <w:r w:rsidRPr="003A4243">
        <w:rPr>
          <w:rFonts w:hint="eastAsia"/>
          <w:b/>
          <w:szCs w:val="24"/>
          <w:lang w:val="en-GB"/>
        </w:rPr>
        <w:t>℃</w:t>
      </w:r>
      <w:r w:rsidRPr="003A4243">
        <w:rPr>
          <w:b/>
          <w:szCs w:val="24"/>
          <w:lang w:val="en-GB"/>
        </w:rPr>
        <w:t xml:space="preserve"> </w:t>
      </w:r>
    </w:p>
    <w:tbl>
      <w:tblPr>
        <w:tblStyle w:val="TableGrid1"/>
        <w:tblW w:w="9351" w:type="dxa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851"/>
        <w:gridCol w:w="1417"/>
        <w:gridCol w:w="1134"/>
        <w:gridCol w:w="1418"/>
        <w:gridCol w:w="1701"/>
      </w:tblGrid>
      <w:tr w:rsidR="00A57730" w:rsidRPr="00B255E1" w:rsidTr="00B85288">
        <w:tc>
          <w:tcPr>
            <w:tcW w:w="1413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 xml:space="preserve">Source 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Sum squares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DF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Mean square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F-value</w:t>
            </w:r>
          </w:p>
        </w:tc>
        <w:tc>
          <w:tcPr>
            <w:tcW w:w="1418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P-value</w:t>
            </w:r>
          </w:p>
        </w:tc>
        <w:tc>
          <w:tcPr>
            <w:tcW w:w="1701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Remarks</w:t>
            </w:r>
          </w:p>
        </w:tc>
      </w:tr>
      <w:tr w:rsidR="00A57730" w:rsidRPr="00B255E1" w:rsidTr="00B85288">
        <w:tc>
          <w:tcPr>
            <w:tcW w:w="1413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Model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color w:val="000000"/>
                <w:szCs w:val="24"/>
              </w:rPr>
              <w:t>5.938E-07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6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1.027E-07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4.41</w:t>
            </w:r>
          </w:p>
        </w:tc>
        <w:tc>
          <w:tcPr>
            <w:tcW w:w="1418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0.0194</w:t>
            </w:r>
          </w:p>
        </w:tc>
        <w:tc>
          <w:tcPr>
            <w:tcW w:w="170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413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6.161E-07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1.232E-07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5.30</w:t>
            </w:r>
          </w:p>
        </w:tc>
        <w:tc>
          <w:tcPr>
            <w:tcW w:w="1418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0.0442</w:t>
            </w:r>
          </w:p>
        </w:tc>
        <w:tc>
          <w:tcPr>
            <w:tcW w:w="170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„</w:t>
            </w:r>
          </w:p>
        </w:tc>
      </w:tr>
      <w:tr w:rsidR="00A57730" w:rsidRPr="00B255E1" w:rsidTr="00B85288">
        <w:trPr>
          <w:trHeight w:val="274"/>
        </w:trPr>
        <w:tc>
          <w:tcPr>
            <w:tcW w:w="1413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1.232E-07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1.990E-07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8.55</w:t>
            </w:r>
          </w:p>
        </w:tc>
        <w:tc>
          <w:tcPr>
            <w:tcW w:w="1418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0.0152</w:t>
            </w:r>
          </w:p>
        </w:tc>
        <w:tc>
          <w:tcPr>
            <w:tcW w:w="170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„</w:t>
            </w:r>
          </w:p>
        </w:tc>
      </w:tr>
      <w:tr w:rsidR="00A57730" w:rsidRPr="00B255E1" w:rsidTr="00B85288">
        <w:tc>
          <w:tcPr>
            <w:tcW w:w="1413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3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1.990E-07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5.422E-08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2.33</w:t>
            </w:r>
          </w:p>
        </w:tc>
        <w:tc>
          <w:tcPr>
            <w:tcW w:w="1418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0.1579</w:t>
            </w:r>
          </w:p>
        </w:tc>
        <w:tc>
          <w:tcPr>
            <w:tcW w:w="170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A57730" w:rsidRPr="00B255E1" w:rsidTr="00B85288">
        <w:tc>
          <w:tcPr>
            <w:tcW w:w="1413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1</w:t>
            </w: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5.422E-08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1.275E-07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5.48</w:t>
            </w:r>
          </w:p>
        </w:tc>
        <w:tc>
          <w:tcPr>
            <w:tcW w:w="1418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0.0413</w:t>
            </w:r>
          </w:p>
        </w:tc>
        <w:tc>
          <w:tcPr>
            <w:tcW w:w="170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413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3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1.275E-07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1.661E-07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7.14</w:t>
            </w:r>
          </w:p>
        </w:tc>
        <w:tc>
          <w:tcPr>
            <w:tcW w:w="1418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0.0234</w:t>
            </w:r>
          </w:p>
        </w:tc>
        <w:tc>
          <w:tcPr>
            <w:tcW w:w="170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A42ABD">
              <w:rPr>
                <w:szCs w:val="24"/>
              </w:rPr>
              <w:t>„</w:t>
            </w:r>
          </w:p>
        </w:tc>
      </w:tr>
      <w:tr w:rsidR="00A57730" w:rsidRPr="00B255E1" w:rsidTr="00B85288">
        <w:tc>
          <w:tcPr>
            <w:tcW w:w="1413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  <w:r w:rsidRPr="00B255E1">
              <w:rPr>
                <w:szCs w:val="24"/>
                <w:vertAlign w:val="superscript"/>
              </w:rPr>
              <w:t>2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1.661E-07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1.806E-07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7.76</w:t>
            </w:r>
          </w:p>
        </w:tc>
        <w:tc>
          <w:tcPr>
            <w:tcW w:w="1418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0.0193</w:t>
            </w:r>
          </w:p>
        </w:tc>
        <w:tc>
          <w:tcPr>
            <w:tcW w:w="170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A42ABD">
              <w:rPr>
                <w:szCs w:val="24"/>
              </w:rPr>
              <w:t>„</w:t>
            </w:r>
          </w:p>
        </w:tc>
      </w:tr>
      <w:tr w:rsidR="00A57730" w:rsidRPr="00B255E1" w:rsidTr="00B85288">
        <w:tc>
          <w:tcPr>
            <w:tcW w:w="1413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Residual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color w:val="000000"/>
                <w:szCs w:val="24"/>
              </w:rPr>
              <w:t>2.195E-07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10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2.327E-08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418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70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</w:tr>
      <w:tr w:rsidR="00A57730" w:rsidRPr="00B255E1" w:rsidTr="00B85288">
        <w:tc>
          <w:tcPr>
            <w:tcW w:w="1413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Core Total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color w:val="000000"/>
                <w:szCs w:val="24"/>
              </w:rPr>
              <w:t>8.134E-07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16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418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70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</w:tr>
    </w:tbl>
    <w:p w:rsidR="00A57730" w:rsidRDefault="00A57730" w:rsidP="00A57730">
      <w:pPr>
        <w:spacing w:after="0" w:line="480" w:lineRule="auto"/>
        <w:ind w:firstLine="708"/>
        <w:rPr>
          <w:b/>
          <w:szCs w:val="24"/>
          <w:lang w:val="en-GB"/>
        </w:rPr>
      </w:pPr>
    </w:p>
    <w:p w:rsidR="00A57730" w:rsidRDefault="00A57730" w:rsidP="00A57730">
      <w:pPr>
        <w:spacing w:after="0" w:line="480" w:lineRule="auto"/>
        <w:rPr>
          <w:b/>
          <w:szCs w:val="24"/>
          <w:lang w:val="en-GB"/>
        </w:rPr>
      </w:pPr>
    </w:p>
    <w:p w:rsidR="00A57730" w:rsidRPr="003A4243" w:rsidRDefault="00A57730" w:rsidP="00A57730">
      <w:pPr>
        <w:spacing w:after="0" w:line="480" w:lineRule="auto"/>
        <w:rPr>
          <w:b/>
          <w:szCs w:val="24"/>
          <w:lang w:val="en-GB"/>
        </w:rPr>
      </w:pPr>
      <w:r w:rsidRPr="003A4243">
        <w:rPr>
          <w:b/>
          <w:szCs w:val="24"/>
          <w:lang w:val="en-GB"/>
        </w:rPr>
        <w:t xml:space="preserve">Table S4. Summary of ANOVA results of </w:t>
      </w:r>
      <w:r>
        <w:rPr>
          <w:b/>
          <w:szCs w:val="24"/>
          <w:lang w:val="en-GB"/>
        </w:rPr>
        <w:t>k</w:t>
      </w:r>
      <w:r w:rsidRPr="003A4243">
        <w:rPr>
          <w:b/>
          <w:szCs w:val="24"/>
          <w:lang w:val="en-GB"/>
        </w:rPr>
        <w:t xml:space="preserve"> </w:t>
      </w:r>
      <w:r w:rsidRPr="003A4243">
        <w:rPr>
          <w:b/>
          <w:szCs w:val="24"/>
          <w:lang w:val="en-GB"/>
        </w:rPr>
        <w:t xml:space="preserve">at 25 </w:t>
      </w:r>
      <w:r w:rsidRPr="003A4243">
        <w:rPr>
          <w:rFonts w:hint="eastAsia"/>
          <w:b/>
          <w:szCs w:val="24"/>
          <w:lang w:val="en-GB"/>
        </w:rPr>
        <w:t>℃</w:t>
      </w:r>
      <w:r w:rsidRPr="003A4243">
        <w:rPr>
          <w:b/>
          <w:szCs w:val="24"/>
          <w:lang w:val="en-GB"/>
        </w:rPr>
        <w:t xml:space="preserve"> </w:t>
      </w:r>
    </w:p>
    <w:tbl>
      <w:tblPr>
        <w:tblStyle w:val="TableGrid2"/>
        <w:tblW w:w="9209" w:type="dxa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851"/>
        <w:gridCol w:w="1417"/>
        <w:gridCol w:w="1134"/>
        <w:gridCol w:w="1276"/>
        <w:gridCol w:w="1559"/>
      </w:tblGrid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 xml:space="preserve">Source 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Sum squares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DF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Mean square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F-value</w:t>
            </w:r>
          </w:p>
        </w:tc>
        <w:tc>
          <w:tcPr>
            <w:tcW w:w="1276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P-value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Remarks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Model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3.596E-06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3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1.199E-06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7.25</w:t>
            </w:r>
          </w:p>
        </w:tc>
        <w:tc>
          <w:tcPr>
            <w:tcW w:w="1276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0.0042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2.168E-06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2.168E-06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13.11</w:t>
            </w:r>
          </w:p>
        </w:tc>
        <w:tc>
          <w:tcPr>
            <w:tcW w:w="1276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0.0031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„</w:t>
            </w:r>
          </w:p>
        </w:tc>
      </w:tr>
      <w:tr w:rsidR="00A57730" w:rsidRPr="00B255E1" w:rsidTr="00B85288">
        <w:trPr>
          <w:trHeight w:val="226"/>
        </w:trPr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5.172E-10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5.172E-10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0.0031</w:t>
            </w:r>
          </w:p>
        </w:tc>
        <w:tc>
          <w:tcPr>
            <w:tcW w:w="1276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0.9562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3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1.415E-06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1.415E-06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8.56</w:t>
            </w:r>
          </w:p>
        </w:tc>
        <w:tc>
          <w:tcPr>
            <w:tcW w:w="1276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0.0118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Residual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2.149E-06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13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1.653E-07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276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Core Total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5.745E-06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16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276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</w:tr>
    </w:tbl>
    <w:p w:rsidR="00A57730" w:rsidRPr="00B255E1" w:rsidRDefault="00A57730" w:rsidP="00A57730">
      <w:pPr>
        <w:spacing w:after="0" w:line="480" w:lineRule="auto"/>
        <w:rPr>
          <w:rFonts w:eastAsia="Calibri"/>
          <w:b/>
          <w:szCs w:val="24"/>
          <w:lang w:val="en-US" w:eastAsia="en-US"/>
        </w:rPr>
      </w:pPr>
    </w:p>
    <w:p w:rsidR="00A57730" w:rsidRDefault="00A57730" w:rsidP="00A57730">
      <w:pPr>
        <w:spacing w:after="0" w:line="480" w:lineRule="auto"/>
        <w:rPr>
          <w:b/>
          <w:szCs w:val="24"/>
          <w:lang w:val="en-GB"/>
        </w:rPr>
      </w:pPr>
    </w:p>
    <w:p w:rsidR="00A57730" w:rsidRPr="003A4243" w:rsidRDefault="00A57730" w:rsidP="00A57730">
      <w:pPr>
        <w:spacing w:after="0" w:line="480" w:lineRule="auto"/>
        <w:rPr>
          <w:b/>
          <w:szCs w:val="24"/>
          <w:lang w:val="en-GB"/>
        </w:rPr>
      </w:pPr>
      <w:r w:rsidRPr="00B255E1">
        <w:rPr>
          <w:b/>
          <w:szCs w:val="24"/>
          <w:lang w:val="en-GB"/>
        </w:rPr>
        <w:lastRenderedPageBreak/>
        <w:t>Table S5</w:t>
      </w:r>
      <w:r w:rsidRPr="00B255E1">
        <w:rPr>
          <w:rFonts w:hint="eastAsia"/>
          <w:b/>
          <w:szCs w:val="24"/>
          <w:lang w:val="en-GB"/>
        </w:rPr>
        <w:t xml:space="preserve">. Summary of ANOVA results of </w:t>
      </w:r>
      <w:r>
        <w:rPr>
          <w:b/>
          <w:szCs w:val="24"/>
          <w:lang w:val="en-GB"/>
        </w:rPr>
        <w:t>k</w:t>
      </w:r>
      <w:r w:rsidRPr="00B255E1">
        <w:rPr>
          <w:rFonts w:hint="eastAsia"/>
          <w:b/>
          <w:szCs w:val="24"/>
          <w:lang w:val="en-GB"/>
        </w:rPr>
        <w:t xml:space="preserve"> </w:t>
      </w:r>
      <w:r w:rsidRPr="00B255E1">
        <w:rPr>
          <w:rFonts w:hint="eastAsia"/>
          <w:b/>
          <w:szCs w:val="24"/>
          <w:lang w:val="en-GB"/>
        </w:rPr>
        <w:t xml:space="preserve">at 40 </w:t>
      </w:r>
      <w:r w:rsidRPr="00B255E1">
        <w:rPr>
          <w:rFonts w:hint="eastAsia"/>
          <w:b/>
          <w:szCs w:val="24"/>
          <w:lang w:val="en-GB"/>
        </w:rPr>
        <w:t>℃</w:t>
      </w:r>
      <w:r w:rsidRPr="00B255E1">
        <w:rPr>
          <w:rFonts w:hint="eastAsia"/>
          <w:b/>
          <w:szCs w:val="24"/>
          <w:lang w:val="en-GB"/>
        </w:rPr>
        <w:t xml:space="preserve"> </w:t>
      </w:r>
    </w:p>
    <w:tbl>
      <w:tblPr>
        <w:tblStyle w:val="TableGrid2"/>
        <w:tblW w:w="9209" w:type="dxa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851"/>
        <w:gridCol w:w="1417"/>
        <w:gridCol w:w="1134"/>
        <w:gridCol w:w="1276"/>
        <w:gridCol w:w="1559"/>
      </w:tblGrid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 xml:space="preserve">Source 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Sum squares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DF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Mean square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F-value</w:t>
            </w:r>
          </w:p>
        </w:tc>
        <w:tc>
          <w:tcPr>
            <w:tcW w:w="1276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P-value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szCs w:val="24"/>
              </w:rPr>
            </w:pPr>
            <w:r w:rsidRPr="00B255E1">
              <w:rPr>
                <w:b/>
                <w:szCs w:val="24"/>
              </w:rPr>
              <w:t>Remarks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Model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0.0004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6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0.0001</w:t>
            </w:r>
          </w:p>
        </w:tc>
        <w:tc>
          <w:tcPr>
            <w:tcW w:w="1134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2.67</w:t>
            </w:r>
          </w:p>
        </w:tc>
        <w:tc>
          <w:tcPr>
            <w:tcW w:w="1276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0.0821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Insignificant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1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0.0001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0.0000</w:t>
            </w:r>
          </w:p>
        </w:tc>
        <w:tc>
          <w:tcPr>
            <w:tcW w:w="1134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0.53</w:t>
            </w:r>
          </w:p>
        </w:tc>
        <w:tc>
          <w:tcPr>
            <w:tcW w:w="1276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0.4820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„</w:t>
            </w:r>
          </w:p>
        </w:tc>
      </w:tr>
      <w:tr w:rsidR="00A57730" w:rsidRPr="00B255E1" w:rsidTr="00B85288">
        <w:trPr>
          <w:trHeight w:val="232"/>
        </w:trPr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0.0001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0.0000</w:t>
            </w:r>
          </w:p>
        </w:tc>
        <w:tc>
          <w:tcPr>
            <w:tcW w:w="1134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1.89</w:t>
            </w:r>
          </w:p>
        </w:tc>
        <w:tc>
          <w:tcPr>
            <w:tcW w:w="1276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0.1994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„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3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0.0000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0.0002</w:t>
            </w:r>
          </w:p>
        </w:tc>
        <w:tc>
          <w:tcPr>
            <w:tcW w:w="1134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6.92</w:t>
            </w:r>
          </w:p>
        </w:tc>
        <w:tc>
          <w:tcPr>
            <w:tcW w:w="1276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0.0252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„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1</w:t>
            </w: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0.0001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0.0001</w:t>
            </w:r>
          </w:p>
        </w:tc>
        <w:tc>
          <w:tcPr>
            <w:tcW w:w="1134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3.36</w:t>
            </w:r>
          </w:p>
        </w:tc>
        <w:tc>
          <w:tcPr>
            <w:tcW w:w="1276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0.0969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„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3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0.0001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0.0001</w:t>
            </w:r>
          </w:p>
        </w:tc>
        <w:tc>
          <w:tcPr>
            <w:tcW w:w="1134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3.73</w:t>
            </w:r>
          </w:p>
        </w:tc>
        <w:tc>
          <w:tcPr>
            <w:tcW w:w="1276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0.0821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„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  <w:r w:rsidRPr="00B255E1">
              <w:rPr>
                <w:szCs w:val="24"/>
                <w:vertAlign w:val="superscript"/>
              </w:rPr>
              <w:t>2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1.105E-08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1.105E-08</w:t>
            </w:r>
          </w:p>
        </w:tc>
        <w:tc>
          <w:tcPr>
            <w:tcW w:w="1134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0.0004</w:t>
            </w:r>
          </w:p>
        </w:tc>
        <w:tc>
          <w:tcPr>
            <w:tcW w:w="1276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0.9839</w:t>
            </w: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„</w:t>
            </w: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Residual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0.0003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10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0.0000</w:t>
            </w: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276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</w:tr>
      <w:tr w:rsidR="00A57730" w:rsidRPr="00B255E1" w:rsidTr="00B85288">
        <w:tc>
          <w:tcPr>
            <w:tcW w:w="1555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Core Total</w:t>
            </w:r>
          </w:p>
        </w:tc>
        <w:tc>
          <w:tcPr>
            <w:tcW w:w="1417" w:type="dxa"/>
          </w:tcPr>
          <w:p w:rsidR="00A57730" w:rsidRPr="003A424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0.0007</w:t>
            </w:r>
          </w:p>
        </w:tc>
        <w:tc>
          <w:tcPr>
            <w:tcW w:w="85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16</w:t>
            </w:r>
          </w:p>
        </w:tc>
        <w:tc>
          <w:tcPr>
            <w:tcW w:w="141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134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276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559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</w:tr>
    </w:tbl>
    <w:p w:rsidR="00A57730" w:rsidRPr="00B255E1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Pr="00B255E1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  <w:r w:rsidRPr="00B255E1">
        <w:rPr>
          <w:rFonts w:eastAsia="Calibri"/>
          <w:b/>
          <w:szCs w:val="24"/>
          <w:lang w:val="en-US"/>
        </w:rPr>
        <w:lastRenderedPageBreak/>
        <w:t xml:space="preserve">Table S6: Summary of ANOVA results of quadratic models for activation energy </w:t>
      </w:r>
    </w:p>
    <w:tbl>
      <w:tblPr>
        <w:tblStyle w:val="TableGrid1"/>
        <w:tblW w:w="9198" w:type="dxa"/>
        <w:tblLayout w:type="fixed"/>
        <w:tblLook w:val="04A0" w:firstRow="1" w:lastRow="0" w:firstColumn="1" w:lastColumn="0" w:noHBand="0" w:noVBand="1"/>
      </w:tblPr>
      <w:tblGrid>
        <w:gridCol w:w="1691"/>
        <w:gridCol w:w="1260"/>
        <w:gridCol w:w="847"/>
        <w:gridCol w:w="1440"/>
        <w:gridCol w:w="1170"/>
        <w:gridCol w:w="1260"/>
        <w:gridCol w:w="1530"/>
      </w:tblGrid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bookmarkStart w:id="1" w:name="_Hlk102423135"/>
            <w:r w:rsidRPr="00B255E1">
              <w:rPr>
                <w:b/>
                <w:color w:val="000000"/>
                <w:szCs w:val="24"/>
              </w:rPr>
              <w:t xml:space="preserve">Source 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B255E1">
              <w:rPr>
                <w:b/>
                <w:color w:val="000000"/>
                <w:szCs w:val="24"/>
              </w:rPr>
              <w:t>Sum squares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B255E1">
              <w:rPr>
                <w:b/>
                <w:color w:val="000000"/>
                <w:szCs w:val="24"/>
              </w:rPr>
              <w:t>DF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B255E1">
              <w:rPr>
                <w:b/>
                <w:color w:val="000000"/>
                <w:szCs w:val="24"/>
              </w:rPr>
              <w:t>Mean square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B255E1">
              <w:rPr>
                <w:b/>
                <w:color w:val="000000"/>
                <w:szCs w:val="24"/>
              </w:rPr>
              <w:t>F-value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B255E1">
              <w:rPr>
                <w:b/>
                <w:color w:val="000000"/>
                <w:szCs w:val="24"/>
              </w:rPr>
              <w:t>P-value</w:t>
            </w: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B255E1">
              <w:rPr>
                <w:b/>
                <w:color w:val="000000"/>
                <w:szCs w:val="24"/>
              </w:rPr>
              <w:t>Remarks</w:t>
            </w: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Model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421.95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 xml:space="preserve"> 8   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421.95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10.76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0.0015</w:t>
            </w: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Buffer(X</w:t>
            </w:r>
            <w:r w:rsidRPr="00B255E1">
              <w:rPr>
                <w:szCs w:val="24"/>
                <w:vertAlign w:val="subscript"/>
              </w:rPr>
              <w:t>1</w:t>
            </w:r>
            <w:r w:rsidRPr="00B255E1">
              <w:rPr>
                <w:szCs w:val="24"/>
              </w:rPr>
              <w:t>)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63.50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63.50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12.96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0.0070</w:t>
            </w: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pH(X</w:t>
            </w:r>
            <w:r w:rsidRPr="00B255E1">
              <w:rPr>
                <w:szCs w:val="24"/>
                <w:vertAlign w:val="subscript"/>
              </w:rPr>
              <w:t>2</w:t>
            </w:r>
            <w:r w:rsidRPr="00B255E1">
              <w:rPr>
                <w:szCs w:val="24"/>
              </w:rPr>
              <w:t>)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49.62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 xml:space="preserve"> 1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49.62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10.12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0.0130</w:t>
            </w: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Mannitol (X</w:t>
            </w:r>
            <w:r w:rsidRPr="00B255E1">
              <w:rPr>
                <w:szCs w:val="24"/>
                <w:vertAlign w:val="subscript"/>
              </w:rPr>
              <w:t>3</w:t>
            </w:r>
            <w:r w:rsidRPr="00B255E1">
              <w:rPr>
                <w:szCs w:val="24"/>
              </w:rPr>
              <w:t>)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61.81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61.81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12.61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0.0075</w:t>
            </w: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1</w:t>
            </w: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121.48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121.48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24.79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0.0011</w:t>
            </w: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1</w:t>
            </w: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3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17.01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17.01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3.49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0.0987</w:t>
            </w: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-</w:t>
            </w: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3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91.53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 xml:space="preserve">1  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91.53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18.68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0.0025</w:t>
            </w: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1</w:t>
            </w:r>
            <w:r w:rsidRPr="00B255E1">
              <w:rPr>
                <w:szCs w:val="24"/>
                <w:vertAlign w:val="superscript"/>
              </w:rPr>
              <w:t>2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2.99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 xml:space="preserve"> 1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2.99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0.61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0.4570</w:t>
            </w: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-</w:t>
            </w: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X</w:t>
            </w:r>
            <w:r w:rsidRPr="00B255E1">
              <w:rPr>
                <w:szCs w:val="24"/>
                <w:vertAlign w:val="subscript"/>
              </w:rPr>
              <w:t>2</w:t>
            </w:r>
            <w:r w:rsidRPr="00B255E1">
              <w:rPr>
                <w:szCs w:val="24"/>
                <w:vertAlign w:val="superscript"/>
              </w:rPr>
              <w:t>2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90.47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90.47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18.46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0.0026</w:t>
            </w: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Significant</w:t>
            </w: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 xml:space="preserve">Residual 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39.21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 xml:space="preserve">8   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4.90</w:t>
            </w: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</w:tr>
      <w:tr w:rsidR="00A57730" w:rsidRPr="00B255E1" w:rsidTr="00B85288">
        <w:tc>
          <w:tcPr>
            <w:tcW w:w="1691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Total</w:t>
            </w: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461.16</w:t>
            </w:r>
          </w:p>
        </w:tc>
        <w:tc>
          <w:tcPr>
            <w:tcW w:w="847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  <w:r w:rsidRPr="00B255E1">
              <w:rPr>
                <w:szCs w:val="24"/>
              </w:rPr>
              <w:t>16</w:t>
            </w:r>
          </w:p>
        </w:tc>
        <w:tc>
          <w:tcPr>
            <w:tcW w:w="144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17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26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530" w:type="dxa"/>
          </w:tcPr>
          <w:p w:rsidR="00A57730" w:rsidRPr="00B255E1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</w:tr>
      <w:bookmarkEnd w:id="1"/>
    </w:tbl>
    <w:p w:rsidR="00A57730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</w:p>
    <w:p w:rsidR="00A57730" w:rsidRPr="00B255E1" w:rsidRDefault="00A57730" w:rsidP="00A57730">
      <w:pPr>
        <w:spacing w:after="0" w:line="480" w:lineRule="auto"/>
        <w:rPr>
          <w:rFonts w:eastAsia="Calibri"/>
          <w:b/>
          <w:szCs w:val="24"/>
          <w:lang w:val="en-US"/>
        </w:rPr>
      </w:pPr>
      <w:r w:rsidRPr="00B255E1">
        <w:rPr>
          <w:rFonts w:eastAsia="Calibri"/>
          <w:b/>
          <w:szCs w:val="24"/>
          <w:lang w:val="en-US"/>
        </w:rPr>
        <w:t xml:space="preserve">Table S7: Summary of ANOVA results of quadratic models for frequency factor </w:t>
      </w:r>
    </w:p>
    <w:tbl>
      <w:tblPr>
        <w:tblStyle w:val="TableGrid1"/>
        <w:tblW w:w="9198" w:type="dxa"/>
        <w:tblLayout w:type="fixed"/>
        <w:tblLook w:val="04A0" w:firstRow="1" w:lastRow="0" w:firstColumn="1" w:lastColumn="0" w:noHBand="0" w:noVBand="1"/>
      </w:tblPr>
      <w:tblGrid>
        <w:gridCol w:w="1413"/>
        <w:gridCol w:w="1538"/>
        <w:gridCol w:w="847"/>
        <w:gridCol w:w="1440"/>
        <w:gridCol w:w="1170"/>
        <w:gridCol w:w="1260"/>
        <w:gridCol w:w="1530"/>
      </w:tblGrid>
      <w:tr w:rsidR="00A57730" w:rsidRPr="00153283" w:rsidTr="00B85288">
        <w:tc>
          <w:tcPr>
            <w:tcW w:w="1413" w:type="dxa"/>
          </w:tcPr>
          <w:p w:rsidR="00A57730" w:rsidRPr="00153283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153283">
              <w:rPr>
                <w:b/>
                <w:color w:val="000000"/>
                <w:szCs w:val="24"/>
              </w:rPr>
              <w:t xml:space="preserve">Source </w:t>
            </w:r>
          </w:p>
        </w:tc>
        <w:tc>
          <w:tcPr>
            <w:tcW w:w="1538" w:type="dxa"/>
          </w:tcPr>
          <w:p w:rsidR="00A57730" w:rsidRPr="00153283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153283">
              <w:rPr>
                <w:b/>
                <w:color w:val="000000"/>
                <w:szCs w:val="24"/>
              </w:rPr>
              <w:t>Sum squares</w:t>
            </w:r>
          </w:p>
        </w:tc>
        <w:tc>
          <w:tcPr>
            <w:tcW w:w="847" w:type="dxa"/>
          </w:tcPr>
          <w:p w:rsidR="00A57730" w:rsidRPr="00153283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153283">
              <w:rPr>
                <w:b/>
                <w:color w:val="000000"/>
                <w:szCs w:val="24"/>
              </w:rPr>
              <w:t>DF</w:t>
            </w:r>
          </w:p>
        </w:tc>
        <w:tc>
          <w:tcPr>
            <w:tcW w:w="1440" w:type="dxa"/>
          </w:tcPr>
          <w:p w:rsidR="00A57730" w:rsidRPr="00153283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153283">
              <w:rPr>
                <w:b/>
                <w:color w:val="000000"/>
                <w:szCs w:val="24"/>
              </w:rPr>
              <w:t>Mean square</w:t>
            </w:r>
          </w:p>
        </w:tc>
        <w:tc>
          <w:tcPr>
            <w:tcW w:w="1170" w:type="dxa"/>
          </w:tcPr>
          <w:p w:rsidR="00A57730" w:rsidRPr="00153283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153283">
              <w:rPr>
                <w:b/>
                <w:color w:val="000000"/>
                <w:szCs w:val="24"/>
              </w:rPr>
              <w:t>F-value</w:t>
            </w:r>
          </w:p>
        </w:tc>
        <w:tc>
          <w:tcPr>
            <w:tcW w:w="1260" w:type="dxa"/>
          </w:tcPr>
          <w:p w:rsidR="00A57730" w:rsidRPr="00153283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153283">
              <w:rPr>
                <w:b/>
                <w:color w:val="000000"/>
                <w:szCs w:val="24"/>
              </w:rPr>
              <w:t>P-value</w:t>
            </w:r>
          </w:p>
        </w:tc>
        <w:tc>
          <w:tcPr>
            <w:tcW w:w="1530" w:type="dxa"/>
          </w:tcPr>
          <w:p w:rsidR="00A57730" w:rsidRPr="00153283" w:rsidRDefault="00A57730" w:rsidP="00B85288">
            <w:pPr>
              <w:spacing w:after="0" w:line="480" w:lineRule="auto"/>
              <w:rPr>
                <w:b/>
                <w:color w:val="000000"/>
                <w:szCs w:val="24"/>
              </w:rPr>
            </w:pPr>
            <w:r w:rsidRPr="00153283">
              <w:rPr>
                <w:b/>
                <w:color w:val="000000"/>
                <w:szCs w:val="24"/>
              </w:rPr>
              <w:t>Remarks</w:t>
            </w:r>
          </w:p>
        </w:tc>
      </w:tr>
      <w:tr w:rsidR="00A57730" w:rsidRPr="00153283" w:rsidTr="00B85288">
        <w:tc>
          <w:tcPr>
            <w:tcW w:w="1413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>Model</w:t>
            </w:r>
          </w:p>
        </w:tc>
        <w:tc>
          <w:tcPr>
            <w:tcW w:w="1538" w:type="dxa"/>
            <w:vAlign w:val="center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rFonts w:eastAsia="Times New Roman"/>
                <w:color w:val="000000"/>
                <w:szCs w:val="24"/>
              </w:rPr>
              <w:t>2.147E+27</w:t>
            </w:r>
          </w:p>
        </w:tc>
        <w:tc>
          <w:tcPr>
            <w:tcW w:w="847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 xml:space="preserve"> 1   </w:t>
            </w:r>
          </w:p>
        </w:tc>
        <w:tc>
          <w:tcPr>
            <w:tcW w:w="144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2.147E+27</w:t>
            </w:r>
          </w:p>
        </w:tc>
        <w:tc>
          <w:tcPr>
            <w:tcW w:w="117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>5.33</w:t>
            </w:r>
          </w:p>
        </w:tc>
        <w:tc>
          <w:tcPr>
            <w:tcW w:w="1260" w:type="dxa"/>
          </w:tcPr>
          <w:p w:rsidR="00A57730" w:rsidRPr="003A4243" w:rsidRDefault="00A57730" w:rsidP="00B85288">
            <w:pPr>
              <w:spacing w:after="0" w:line="480" w:lineRule="auto"/>
              <w:rPr>
                <w:color w:val="000000"/>
                <w:szCs w:val="24"/>
              </w:rPr>
            </w:pPr>
            <w:r w:rsidRPr="003A4243">
              <w:rPr>
                <w:color w:val="000000"/>
                <w:szCs w:val="24"/>
              </w:rPr>
              <w:t>0.0356</w:t>
            </w:r>
          </w:p>
        </w:tc>
        <w:tc>
          <w:tcPr>
            <w:tcW w:w="153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>Significant</w:t>
            </w:r>
          </w:p>
        </w:tc>
      </w:tr>
      <w:tr w:rsidR="00A57730" w:rsidRPr="00153283" w:rsidTr="00B85288">
        <w:tc>
          <w:tcPr>
            <w:tcW w:w="1413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>Buffer(X</w:t>
            </w:r>
            <w:r w:rsidRPr="00153283">
              <w:rPr>
                <w:szCs w:val="24"/>
                <w:vertAlign w:val="subscript"/>
              </w:rPr>
              <w:t>1</w:t>
            </w:r>
            <w:r w:rsidRPr="00153283">
              <w:rPr>
                <w:szCs w:val="24"/>
              </w:rPr>
              <w:t>)</w:t>
            </w:r>
          </w:p>
        </w:tc>
        <w:tc>
          <w:tcPr>
            <w:tcW w:w="1538" w:type="dxa"/>
            <w:vAlign w:val="center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rFonts w:eastAsia="Times New Roman"/>
                <w:color w:val="000000"/>
                <w:szCs w:val="24"/>
              </w:rPr>
              <w:t>2.147E+27</w:t>
            </w:r>
          </w:p>
        </w:tc>
        <w:tc>
          <w:tcPr>
            <w:tcW w:w="847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>1</w:t>
            </w:r>
          </w:p>
        </w:tc>
        <w:tc>
          <w:tcPr>
            <w:tcW w:w="144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2.147E+27</w:t>
            </w:r>
          </w:p>
        </w:tc>
        <w:tc>
          <w:tcPr>
            <w:tcW w:w="117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>5.33</w:t>
            </w:r>
          </w:p>
        </w:tc>
        <w:tc>
          <w:tcPr>
            <w:tcW w:w="126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color w:val="000000"/>
                <w:szCs w:val="24"/>
              </w:rPr>
              <w:t>0.0356</w:t>
            </w:r>
          </w:p>
        </w:tc>
        <w:tc>
          <w:tcPr>
            <w:tcW w:w="153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>Significant</w:t>
            </w:r>
          </w:p>
        </w:tc>
      </w:tr>
      <w:tr w:rsidR="00A57730" w:rsidRPr="00153283" w:rsidTr="00B85288">
        <w:tc>
          <w:tcPr>
            <w:tcW w:w="1413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 xml:space="preserve">Residual </w:t>
            </w:r>
          </w:p>
        </w:tc>
        <w:tc>
          <w:tcPr>
            <w:tcW w:w="1538" w:type="dxa"/>
            <w:vAlign w:val="center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rFonts w:eastAsia="Times New Roman"/>
                <w:color w:val="000000"/>
                <w:szCs w:val="24"/>
              </w:rPr>
              <w:t>6.036E+27</w:t>
            </w:r>
          </w:p>
        </w:tc>
        <w:tc>
          <w:tcPr>
            <w:tcW w:w="847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 xml:space="preserve">15   </w:t>
            </w:r>
          </w:p>
        </w:tc>
        <w:tc>
          <w:tcPr>
            <w:tcW w:w="144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3A4243">
              <w:rPr>
                <w:szCs w:val="24"/>
              </w:rPr>
              <w:t>4.024E+26</w:t>
            </w:r>
          </w:p>
        </w:tc>
        <w:tc>
          <w:tcPr>
            <w:tcW w:w="117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26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53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</w:tr>
      <w:tr w:rsidR="00A57730" w:rsidRPr="00153283" w:rsidTr="00B85288">
        <w:tc>
          <w:tcPr>
            <w:tcW w:w="1413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>Total</w:t>
            </w:r>
          </w:p>
        </w:tc>
        <w:tc>
          <w:tcPr>
            <w:tcW w:w="1538" w:type="dxa"/>
            <w:vAlign w:val="center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rFonts w:eastAsia="Times New Roman"/>
                <w:color w:val="000000"/>
                <w:szCs w:val="24"/>
              </w:rPr>
              <w:t>8.182E+27</w:t>
            </w:r>
          </w:p>
        </w:tc>
        <w:tc>
          <w:tcPr>
            <w:tcW w:w="847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  <w:r w:rsidRPr="00153283">
              <w:rPr>
                <w:szCs w:val="24"/>
              </w:rPr>
              <w:t>16</w:t>
            </w:r>
          </w:p>
        </w:tc>
        <w:tc>
          <w:tcPr>
            <w:tcW w:w="144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17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26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  <w:tc>
          <w:tcPr>
            <w:tcW w:w="1530" w:type="dxa"/>
          </w:tcPr>
          <w:p w:rsidR="00A57730" w:rsidRPr="00153283" w:rsidRDefault="00A57730" w:rsidP="00B85288">
            <w:pPr>
              <w:spacing w:after="0" w:line="480" w:lineRule="auto"/>
              <w:rPr>
                <w:szCs w:val="24"/>
              </w:rPr>
            </w:pPr>
          </w:p>
        </w:tc>
      </w:tr>
    </w:tbl>
    <w:p w:rsidR="00C8270F" w:rsidRDefault="00A57730">
      <w:bookmarkStart w:id="2" w:name="_GoBack"/>
      <w:bookmarkEnd w:id="0"/>
      <w:bookmarkEnd w:id="2"/>
    </w:p>
    <w:sectPr w:rsidR="00C827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730"/>
    <w:rsid w:val="00565FBA"/>
    <w:rsid w:val="008D5977"/>
    <w:rsid w:val="00A5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FC9EFF-7783-4A73-A156-B3C7467AE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7730"/>
    <w:pPr>
      <w:spacing w:after="200" w:line="276" w:lineRule="auto"/>
    </w:pPr>
    <w:rPr>
      <w:rFonts w:ascii="Times New Roman" w:eastAsia="SimSun" w:hAnsi="Times New Roman" w:cs="Times New Roman"/>
      <w:sz w:val="24"/>
      <w:lang w:val="nl-BE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A57730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A57730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577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Fanta Gashe Fufa</dc:creator>
  <cp:keywords/>
  <dc:description/>
  <cp:lastModifiedBy>Fanta Gashe Fufa</cp:lastModifiedBy>
  <cp:revision>1</cp:revision>
  <dcterms:created xsi:type="dcterms:W3CDTF">2022-06-19T16:18:00Z</dcterms:created>
  <dcterms:modified xsi:type="dcterms:W3CDTF">2022-06-19T16:19:00Z</dcterms:modified>
</cp:coreProperties>
</file>