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Style w:val="12"/>
          <w:b/>
          <w:bCs/>
          <w:sz w:val="32"/>
          <w:szCs w:val="32"/>
        </w:rPr>
      </w:pPr>
      <w:bookmarkStart w:id="11" w:name="_GoBack"/>
      <w:bookmarkEnd w:id="11"/>
      <w:r>
        <w:rPr>
          <w:b/>
          <w:bCs/>
          <w:sz w:val="32"/>
          <w:szCs w:val="32"/>
        </w:rPr>
        <w:t>Supplementary Materials for</w:t>
      </w:r>
    </w:p>
    <w:p>
      <w:pPr>
        <w:spacing w:line="480" w:lineRule="auto"/>
        <w:rPr>
          <w:b/>
          <w:color w:val="000000"/>
          <w:sz w:val="24"/>
          <w:szCs w:val="24"/>
        </w:rPr>
      </w:pPr>
      <w:r>
        <w:rPr>
          <w:sz w:val="32"/>
          <w:szCs w:val="32"/>
        </w:rPr>
        <w:t>‘</w:t>
      </w:r>
      <w:r>
        <w:rPr>
          <w:b/>
          <w:color w:val="000000"/>
          <w:sz w:val="32"/>
          <w:szCs w:val="32"/>
        </w:rPr>
        <w:t>Herpes simplex type 1 UL43 multiple membrane-spanning protein increases energy metabolismin of host cells through interacting with ARL2</w:t>
      </w:r>
      <w:r>
        <w:rPr>
          <w:sz w:val="32"/>
          <w:szCs w:val="32"/>
        </w:rPr>
        <w:t>’</w:t>
      </w:r>
      <w:bookmarkStart w:id="0" w:name="OLE_LINK245"/>
    </w:p>
    <w:bookmarkEnd w:id="0"/>
    <w:p>
      <w:pPr>
        <w:spacing w:line="480" w:lineRule="auto"/>
        <w:rPr>
          <w:b/>
          <w:kern w:val="0"/>
          <w:sz w:val="24"/>
          <w:szCs w:val="24"/>
          <w:lang w:eastAsia="en-US"/>
        </w:rPr>
      </w:pPr>
      <w:bookmarkStart w:id="1" w:name="_Hlk95832096"/>
      <w:bookmarkStart w:id="2" w:name="_Hlk114407052"/>
      <w:r>
        <w:rPr>
          <w:rFonts w:hint="eastAsia"/>
          <w:b/>
          <w:kern w:val="0"/>
          <w:sz w:val="24"/>
          <w:szCs w:val="24"/>
          <w:lang w:eastAsia="en-US"/>
        </w:rPr>
        <w:t>Jianshan</w:t>
      </w:r>
      <w:r>
        <w:rPr>
          <w:b/>
          <w:kern w:val="0"/>
          <w:sz w:val="24"/>
          <w:szCs w:val="24"/>
          <w:lang w:eastAsia="en-US"/>
        </w:rPr>
        <w:t xml:space="preserve"> </w:t>
      </w:r>
      <w:r>
        <w:rPr>
          <w:rFonts w:hint="eastAsia"/>
          <w:b/>
          <w:kern w:val="0"/>
          <w:sz w:val="24"/>
          <w:szCs w:val="24"/>
          <w:lang w:eastAsia="en-US"/>
        </w:rPr>
        <w:t>Deng</w:t>
      </w:r>
      <w:r>
        <w:rPr>
          <w:b/>
          <w:kern w:val="0"/>
          <w:sz w:val="24"/>
          <w:szCs w:val="24"/>
          <w:vertAlign w:val="superscript"/>
          <w:lang w:eastAsia="en-US"/>
        </w:rPr>
        <w:t>1, #</w:t>
      </w:r>
      <w:r>
        <w:rPr>
          <w:b/>
          <w:kern w:val="0"/>
          <w:sz w:val="24"/>
          <w:szCs w:val="24"/>
          <w:lang w:eastAsia="en-US"/>
        </w:rPr>
        <w:t>, Zhiying Zhong</w:t>
      </w:r>
      <w:bookmarkStart w:id="3" w:name="_Hlk94296204"/>
      <w:r>
        <w:rPr>
          <w:b/>
          <w:kern w:val="0"/>
          <w:sz w:val="24"/>
          <w:szCs w:val="24"/>
          <w:vertAlign w:val="superscript"/>
          <w:lang w:eastAsia="en-US"/>
        </w:rPr>
        <w:t>1</w:t>
      </w:r>
      <w:bookmarkEnd w:id="3"/>
      <w:r>
        <w:rPr>
          <w:b/>
          <w:kern w:val="0"/>
          <w:sz w:val="24"/>
          <w:szCs w:val="24"/>
          <w:vertAlign w:val="superscript"/>
          <w:lang w:eastAsia="en-US"/>
        </w:rPr>
        <w:t>, #</w:t>
      </w:r>
      <w:r>
        <w:rPr>
          <w:b/>
          <w:kern w:val="0"/>
          <w:sz w:val="24"/>
          <w:szCs w:val="24"/>
          <w:lang w:eastAsia="en-US"/>
        </w:rPr>
        <w:t>, Chengxu Geng</w:t>
      </w:r>
      <w:r>
        <w:rPr>
          <w:b/>
          <w:kern w:val="0"/>
          <w:sz w:val="24"/>
          <w:szCs w:val="24"/>
          <w:vertAlign w:val="superscript"/>
          <w:lang w:eastAsia="en-US"/>
        </w:rPr>
        <w:t>1, #</w:t>
      </w:r>
      <w:r>
        <w:rPr>
          <w:rFonts w:hint="eastAsia"/>
          <w:b/>
          <w:kern w:val="0"/>
          <w:sz w:val="24"/>
          <w:szCs w:val="24"/>
        </w:rPr>
        <w:t>,</w:t>
      </w:r>
      <w:r>
        <w:rPr>
          <w:b/>
          <w:kern w:val="0"/>
          <w:sz w:val="24"/>
          <w:szCs w:val="24"/>
        </w:rPr>
        <w:t xml:space="preserve"> </w:t>
      </w:r>
      <w:r>
        <w:rPr>
          <w:b/>
          <w:kern w:val="0"/>
          <w:sz w:val="24"/>
          <w:szCs w:val="24"/>
          <w:lang w:eastAsia="en-US"/>
        </w:rPr>
        <w:t>Zhenning</w:t>
      </w:r>
      <w:r>
        <w:rPr>
          <w:rFonts w:hint="eastAsia"/>
          <w:b/>
          <w:kern w:val="0"/>
          <w:sz w:val="24"/>
          <w:szCs w:val="24"/>
          <w:lang w:eastAsia="en-US"/>
        </w:rPr>
        <w:t xml:space="preserve"> </w:t>
      </w:r>
      <w:r>
        <w:rPr>
          <w:b/>
          <w:kern w:val="0"/>
          <w:sz w:val="24"/>
          <w:szCs w:val="24"/>
          <w:lang w:eastAsia="en-US"/>
        </w:rPr>
        <w:t>Dai</w:t>
      </w:r>
      <w:r>
        <w:rPr>
          <w:rFonts w:hint="eastAsia"/>
          <w:b/>
          <w:kern w:val="0"/>
          <w:sz w:val="24"/>
          <w:szCs w:val="24"/>
          <w:vertAlign w:val="superscript"/>
          <w:lang w:val="en-US" w:eastAsia="zh-CN"/>
        </w:rPr>
        <w:t xml:space="preserve">2, </w:t>
      </w:r>
      <w:r>
        <w:rPr>
          <w:b/>
          <w:kern w:val="0"/>
          <w:sz w:val="24"/>
          <w:szCs w:val="24"/>
          <w:vertAlign w:val="superscript"/>
          <w:lang w:eastAsia="en-US"/>
        </w:rPr>
        <w:t>3</w:t>
      </w:r>
      <w:r>
        <w:rPr>
          <w:b/>
          <w:kern w:val="0"/>
          <w:sz w:val="24"/>
          <w:szCs w:val="24"/>
        </w:rPr>
        <w:t xml:space="preserve">, </w:t>
      </w:r>
      <w:r>
        <w:rPr>
          <w:b/>
          <w:kern w:val="0"/>
          <w:sz w:val="24"/>
          <w:szCs w:val="24"/>
          <w:lang w:eastAsia="en-US"/>
        </w:rPr>
        <w:t>Weihan Zheng</w:t>
      </w:r>
      <w:r>
        <w:rPr>
          <w:b/>
          <w:kern w:val="0"/>
          <w:sz w:val="24"/>
          <w:szCs w:val="24"/>
          <w:vertAlign w:val="superscript"/>
          <w:lang w:eastAsia="en-US"/>
        </w:rPr>
        <w:t>2</w:t>
      </w:r>
      <w:bookmarkStart w:id="4" w:name="OLE_LINK207"/>
      <w:r>
        <w:rPr>
          <w:b/>
          <w:kern w:val="0"/>
          <w:sz w:val="24"/>
          <w:szCs w:val="24"/>
          <w:lang w:eastAsia="en-US"/>
        </w:rPr>
        <w:t>,</w:t>
      </w:r>
      <w:r>
        <w:rPr>
          <w:rFonts w:hint="eastAsia"/>
          <w:b/>
          <w:kern w:val="0"/>
          <w:sz w:val="24"/>
          <w:szCs w:val="24"/>
        </w:rPr>
        <w:t xml:space="preserve"> Z</w:t>
      </w:r>
      <w:r>
        <w:rPr>
          <w:b/>
          <w:kern w:val="0"/>
          <w:sz w:val="24"/>
          <w:szCs w:val="24"/>
        </w:rPr>
        <w:t>iyue L</w:t>
      </w:r>
      <w:r>
        <w:rPr>
          <w:rFonts w:hint="eastAsia"/>
          <w:b/>
          <w:kern w:val="0"/>
          <w:sz w:val="24"/>
          <w:szCs w:val="24"/>
        </w:rPr>
        <w:t>i</w:t>
      </w:r>
      <w:r>
        <w:rPr>
          <w:b/>
          <w:kern w:val="0"/>
          <w:sz w:val="24"/>
          <w:szCs w:val="24"/>
          <w:vertAlign w:val="superscript"/>
        </w:rPr>
        <w:t>2</w:t>
      </w:r>
      <w:r>
        <w:rPr>
          <w:b/>
          <w:kern w:val="0"/>
          <w:sz w:val="24"/>
          <w:szCs w:val="24"/>
          <w:lang w:eastAsia="en-US"/>
        </w:rPr>
        <w:t>, Zi Yan</w:t>
      </w:r>
      <w:r>
        <w:rPr>
          <w:b/>
          <w:kern w:val="0"/>
          <w:sz w:val="24"/>
          <w:szCs w:val="24"/>
          <w:vertAlign w:val="superscript"/>
        </w:rPr>
        <w:t>2</w:t>
      </w:r>
      <w:r>
        <w:rPr>
          <w:b/>
          <w:kern w:val="0"/>
          <w:sz w:val="24"/>
          <w:szCs w:val="24"/>
          <w:lang w:eastAsia="en-US"/>
        </w:rPr>
        <w:t>, Jiaxin Yang</w:t>
      </w:r>
      <w:r>
        <w:rPr>
          <w:rFonts w:hint="eastAsia"/>
          <w:b/>
          <w:kern w:val="0"/>
          <w:sz w:val="24"/>
          <w:szCs w:val="24"/>
          <w:vertAlign w:val="superscript"/>
          <w:lang w:val="en-US" w:eastAsia="zh-CN"/>
        </w:rPr>
        <w:t>4</w:t>
      </w:r>
      <w:r>
        <w:rPr>
          <w:b/>
          <w:kern w:val="0"/>
          <w:sz w:val="24"/>
          <w:szCs w:val="24"/>
          <w:lang w:eastAsia="en-US"/>
        </w:rPr>
        <w:t xml:space="preserve">, </w:t>
      </w:r>
      <w:bookmarkEnd w:id="4"/>
      <w:r>
        <w:rPr>
          <w:b/>
          <w:kern w:val="0"/>
          <w:sz w:val="24"/>
          <w:szCs w:val="24"/>
          <w:lang w:eastAsia="en-US"/>
        </w:rPr>
        <w:t>W</w:t>
      </w:r>
      <w:r>
        <w:rPr>
          <w:rFonts w:hint="eastAsia"/>
          <w:b/>
          <w:kern w:val="0"/>
          <w:sz w:val="24"/>
          <w:szCs w:val="24"/>
        </w:rPr>
        <w:t>en</w:t>
      </w:r>
      <w:r>
        <w:rPr>
          <w:b/>
          <w:kern w:val="0"/>
          <w:sz w:val="24"/>
          <w:szCs w:val="24"/>
          <w:lang w:eastAsia="en-US"/>
        </w:rPr>
        <w:t>feng Deng</w:t>
      </w:r>
      <w:r>
        <w:rPr>
          <w:rFonts w:hint="eastAsia"/>
          <w:b/>
          <w:kern w:val="0"/>
          <w:sz w:val="24"/>
          <w:szCs w:val="24"/>
          <w:vertAlign w:val="superscript"/>
          <w:lang w:val="en-US" w:eastAsia="zh-CN"/>
        </w:rPr>
        <w:t>5</w:t>
      </w:r>
      <w:r>
        <w:rPr>
          <w:b/>
          <w:kern w:val="0"/>
          <w:sz w:val="24"/>
          <w:szCs w:val="24"/>
          <w:lang w:eastAsia="en-US"/>
        </w:rPr>
        <w:t>, Wei Tan</w:t>
      </w:r>
      <w:r>
        <w:rPr>
          <w:b/>
          <w:kern w:val="0"/>
          <w:sz w:val="24"/>
          <w:szCs w:val="24"/>
          <w:vertAlign w:val="superscript"/>
          <w:lang w:eastAsia="en-US"/>
        </w:rPr>
        <w:t>2, *</w:t>
      </w:r>
      <w:r>
        <w:rPr>
          <w:b/>
          <w:kern w:val="0"/>
          <w:sz w:val="24"/>
          <w:szCs w:val="24"/>
          <w:lang w:eastAsia="en-US"/>
        </w:rPr>
        <w:t>, Hanxiao Sun</w:t>
      </w:r>
      <w:r>
        <w:rPr>
          <w:b/>
          <w:kern w:val="0"/>
          <w:sz w:val="24"/>
          <w:szCs w:val="24"/>
          <w:vertAlign w:val="superscript"/>
          <w:lang w:eastAsia="en-US"/>
        </w:rPr>
        <w:t>1, *</w:t>
      </w:r>
      <w:bookmarkEnd w:id="1"/>
      <w:r>
        <w:rPr>
          <w:b/>
          <w:kern w:val="0"/>
          <w:sz w:val="24"/>
          <w:szCs w:val="24"/>
          <w:lang w:eastAsia="en-US"/>
        </w:rPr>
        <w:t>, Shiyu Li</w:t>
      </w:r>
      <w:r>
        <w:rPr>
          <w:b/>
          <w:kern w:val="0"/>
          <w:sz w:val="24"/>
          <w:szCs w:val="24"/>
          <w:vertAlign w:val="superscript"/>
          <w:lang w:eastAsia="en-US"/>
        </w:rPr>
        <w:t>1,</w:t>
      </w:r>
      <w:r>
        <w:rPr>
          <w:rFonts w:hint="eastAsia"/>
          <w:b/>
          <w:kern w:val="0"/>
          <w:sz w:val="24"/>
          <w:szCs w:val="24"/>
          <w:vertAlign w:val="superscript"/>
          <w:lang w:val="en-US" w:eastAsia="zh-CN"/>
        </w:rPr>
        <w:t xml:space="preserve"> </w:t>
      </w:r>
      <w:r>
        <w:rPr>
          <w:b/>
          <w:kern w:val="0"/>
          <w:sz w:val="24"/>
          <w:szCs w:val="24"/>
          <w:vertAlign w:val="superscript"/>
          <w:lang w:eastAsia="en-US"/>
        </w:rPr>
        <w:t xml:space="preserve">2, </w:t>
      </w:r>
      <w:r>
        <w:rPr>
          <w:rFonts w:hint="eastAsia"/>
          <w:b/>
          <w:kern w:val="0"/>
          <w:sz w:val="24"/>
          <w:szCs w:val="24"/>
          <w:vertAlign w:val="superscript"/>
          <w:lang w:val="en-US" w:eastAsia="zh-CN"/>
        </w:rPr>
        <w:t>4</w:t>
      </w:r>
      <w:r>
        <w:rPr>
          <w:b/>
          <w:kern w:val="0"/>
          <w:sz w:val="24"/>
          <w:szCs w:val="24"/>
          <w:vertAlign w:val="superscript"/>
          <w:lang w:eastAsia="en-US"/>
        </w:rPr>
        <w:t>*</w:t>
      </w:r>
    </w:p>
    <w:p>
      <w:pPr>
        <w:spacing w:line="480" w:lineRule="auto"/>
        <w:rPr>
          <w:color w:val="000000"/>
          <w:sz w:val="24"/>
          <w:szCs w:val="24"/>
          <w:vertAlign w:val="superscript"/>
        </w:rPr>
      </w:pPr>
      <w:bookmarkStart w:id="5" w:name="_Hlk95832947"/>
      <w:r>
        <w:rPr>
          <w:rFonts w:hint="eastAsia"/>
          <w:color w:val="000000"/>
          <w:sz w:val="24"/>
          <w:szCs w:val="24"/>
          <w:vertAlign w:val="superscript"/>
        </w:rPr>
        <w:t>1</w:t>
      </w:r>
      <w:r>
        <w:rPr>
          <w:color w:val="000000"/>
          <w:sz w:val="24"/>
          <w:szCs w:val="24"/>
        </w:rPr>
        <w:t xml:space="preserve"> Institute of Genomic Medicine, </w:t>
      </w:r>
      <w:bookmarkStart w:id="6" w:name="OLE_LINK128"/>
      <w:bookmarkStart w:id="7" w:name="OLE_LINK118"/>
      <w:r>
        <w:rPr>
          <w:color w:val="000000"/>
          <w:sz w:val="24"/>
          <w:szCs w:val="24"/>
        </w:rPr>
        <w:t>College of Pharmacy</w:t>
      </w:r>
      <w:bookmarkEnd w:id="6"/>
      <w:bookmarkEnd w:id="7"/>
      <w:r>
        <w:rPr>
          <w:color w:val="000000"/>
          <w:sz w:val="24"/>
          <w:szCs w:val="24"/>
        </w:rPr>
        <w:t xml:space="preserve">, </w:t>
      </w:r>
      <w:bookmarkStart w:id="8" w:name="OLE_LINK111"/>
      <w:bookmarkStart w:id="9" w:name="OLE_LINK114"/>
      <w:r>
        <w:rPr>
          <w:color w:val="000000"/>
          <w:sz w:val="24"/>
          <w:szCs w:val="24"/>
        </w:rPr>
        <w:t>Jinan University</w:t>
      </w:r>
      <w:bookmarkEnd w:id="8"/>
      <w:bookmarkEnd w:id="9"/>
      <w:r>
        <w:rPr>
          <w:color w:val="000000"/>
          <w:sz w:val="24"/>
          <w:szCs w:val="24"/>
        </w:rPr>
        <w:t>, Guangzhou 511436, China.</w:t>
      </w:r>
    </w:p>
    <w:p>
      <w:pPr>
        <w:spacing w:line="480" w:lineRule="auto"/>
        <w:rPr>
          <w:rFonts w:hint="eastAsia"/>
          <w:color w:val="000000"/>
          <w:sz w:val="24"/>
          <w:szCs w:val="24"/>
        </w:rPr>
      </w:pPr>
      <w:r>
        <w:rPr>
          <w:color w:val="000000"/>
          <w:sz w:val="24"/>
          <w:szCs w:val="24"/>
          <w:vertAlign w:val="superscript"/>
        </w:rPr>
        <w:t>2</w:t>
      </w:r>
      <w:r>
        <w:rPr>
          <w:rFonts w:hint="eastAsia"/>
          <w:color w:val="000000"/>
          <w:sz w:val="24"/>
          <w:szCs w:val="24"/>
          <w:vertAlign w:val="superscript"/>
          <w:lang w:val="en-US" w:eastAsia="zh-CN"/>
        </w:rPr>
        <w:t xml:space="preserve"> </w:t>
      </w:r>
      <w:r>
        <w:rPr>
          <w:color w:val="000000"/>
          <w:sz w:val="24"/>
          <w:szCs w:val="24"/>
        </w:rPr>
        <w:t>Guangdong Medical Innovation Platform for Translation of 3D Printing Application, The third Affiliated Hospital of Southern Medical University, Southern Medical University,</w:t>
      </w:r>
      <w:r>
        <w:rPr>
          <w:rFonts w:hint="eastAsia"/>
          <w:color w:val="FF0000"/>
          <w:sz w:val="24"/>
          <w:szCs w:val="24"/>
        </w:rPr>
        <w:t xml:space="preserve"> </w:t>
      </w:r>
      <w:r>
        <w:rPr>
          <w:color w:val="000000"/>
          <w:sz w:val="24"/>
          <w:szCs w:val="24"/>
        </w:rPr>
        <w:t>Guangzhou 510630, China.</w:t>
      </w:r>
    </w:p>
    <w:p>
      <w:pPr>
        <w:spacing w:line="480" w:lineRule="auto"/>
        <w:rPr>
          <w:color w:val="000000"/>
          <w:sz w:val="24"/>
          <w:szCs w:val="24"/>
        </w:rPr>
      </w:pPr>
      <w:bookmarkStart w:id="10" w:name="OLE_LINK130"/>
      <w:r>
        <w:rPr>
          <w:color w:val="000000"/>
          <w:sz w:val="24"/>
          <w:szCs w:val="24"/>
          <w:vertAlign w:val="superscript"/>
        </w:rPr>
        <w:t>3</w:t>
      </w:r>
      <w:r>
        <w:rPr>
          <w:rFonts w:hint="eastAsia"/>
          <w:color w:val="000000"/>
          <w:sz w:val="24"/>
          <w:szCs w:val="24"/>
          <w:vertAlign w:val="superscript"/>
          <w:lang w:val="en-US" w:eastAsia="zh-CN"/>
        </w:rPr>
        <w:t xml:space="preserve"> </w:t>
      </w:r>
      <w:r>
        <w:rPr>
          <w:color w:val="000000"/>
          <w:sz w:val="24"/>
          <w:szCs w:val="24"/>
        </w:rPr>
        <w:t>Department of Stomatology, Guangdong Second Traditional Chinese Medicine Hospital, Guangzhou 510095, China.</w:t>
      </w:r>
    </w:p>
    <w:p>
      <w:pPr>
        <w:spacing w:line="480" w:lineRule="auto"/>
        <w:rPr>
          <w:rFonts w:hint="default" w:eastAsia="宋体"/>
          <w:color w:val="000000"/>
          <w:sz w:val="24"/>
          <w:szCs w:val="24"/>
          <w:lang w:val="en-US" w:eastAsia="zh-CN"/>
        </w:rPr>
      </w:pPr>
      <w:r>
        <w:rPr>
          <w:rFonts w:hint="eastAsia"/>
          <w:color w:val="000000"/>
          <w:sz w:val="24"/>
          <w:szCs w:val="24"/>
          <w:vertAlign w:val="superscript"/>
          <w:lang w:val="en-US" w:eastAsia="zh-CN"/>
        </w:rPr>
        <w:t>4</w:t>
      </w:r>
      <w:r>
        <w:rPr>
          <w:rFonts w:hint="eastAsia"/>
          <w:color w:val="000000"/>
          <w:sz w:val="24"/>
          <w:szCs w:val="24"/>
          <w:lang w:val="en-US" w:eastAsia="zh-CN"/>
        </w:rPr>
        <w:t xml:space="preserve"> Department of Anatomy, Guangdong Provincial Key Laboratory of Digital Medicine and Biomechanics, School of Basic Medical Sciences, Southern Medical University, Guangzhou 510515, China</w:t>
      </w:r>
    </w:p>
    <w:p>
      <w:pPr>
        <w:spacing w:line="480" w:lineRule="auto"/>
        <w:rPr>
          <w:color w:val="000000"/>
          <w:sz w:val="24"/>
          <w:szCs w:val="24"/>
        </w:rPr>
      </w:pPr>
      <w:r>
        <w:rPr>
          <w:rFonts w:hint="eastAsia"/>
          <w:color w:val="000000"/>
          <w:sz w:val="24"/>
          <w:szCs w:val="24"/>
          <w:vertAlign w:val="superscript"/>
          <w:lang w:val="en-US" w:eastAsia="zh-CN"/>
        </w:rPr>
        <w:t xml:space="preserve">5 </w:t>
      </w:r>
      <w:r>
        <w:rPr>
          <w:color w:val="000000"/>
          <w:sz w:val="24"/>
          <w:szCs w:val="24"/>
        </w:rPr>
        <w:t xml:space="preserve">Guangzhou </w:t>
      </w:r>
      <w:r>
        <w:rPr>
          <w:rFonts w:hint="eastAsia"/>
          <w:color w:val="000000"/>
          <w:sz w:val="24"/>
          <w:szCs w:val="24"/>
          <w:lang w:val="en-US" w:eastAsia="zh-CN"/>
        </w:rPr>
        <w:t>W</w:t>
      </w:r>
      <w:r>
        <w:rPr>
          <w:color w:val="000000"/>
          <w:sz w:val="24"/>
          <w:szCs w:val="24"/>
        </w:rPr>
        <w:t xml:space="preserve">omen and </w:t>
      </w:r>
      <w:r>
        <w:rPr>
          <w:rFonts w:hint="eastAsia"/>
          <w:color w:val="000000"/>
          <w:sz w:val="24"/>
          <w:szCs w:val="24"/>
          <w:lang w:val="en-US" w:eastAsia="zh-CN"/>
        </w:rPr>
        <w:t>C</w:t>
      </w:r>
      <w:r>
        <w:rPr>
          <w:color w:val="000000"/>
          <w:sz w:val="24"/>
          <w:szCs w:val="24"/>
        </w:rPr>
        <w:t xml:space="preserve">hildren’s </w:t>
      </w:r>
      <w:r>
        <w:rPr>
          <w:rFonts w:hint="eastAsia"/>
          <w:color w:val="000000"/>
          <w:sz w:val="24"/>
          <w:szCs w:val="24"/>
          <w:lang w:val="en-US" w:eastAsia="zh-CN"/>
        </w:rPr>
        <w:t>M</w:t>
      </w:r>
      <w:r>
        <w:rPr>
          <w:color w:val="000000"/>
          <w:sz w:val="24"/>
          <w:szCs w:val="24"/>
        </w:rPr>
        <w:t xml:space="preserve">edical </w:t>
      </w:r>
      <w:r>
        <w:rPr>
          <w:rFonts w:hint="eastAsia"/>
          <w:color w:val="000000"/>
          <w:sz w:val="24"/>
          <w:szCs w:val="24"/>
          <w:lang w:val="en-US" w:eastAsia="zh-CN"/>
        </w:rPr>
        <w:t>C</w:t>
      </w:r>
      <w:r>
        <w:rPr>
          <w:color w:val="000000"/>
          <w:sz w:val="24"/>
          <w:szCs w:val="24"/>
        </w:rPr>
        <w:t xml:space="preserve">enter, Guangzhou </w:t>
      </w:r>
      <w:r>
        <w:rPr>
          <w:rFonts w:hint="eastAsia"/>
          <w:color w:val="000000"/>
          <w:sz w:val="24"/>
          <w:szCs w:val="24"/>
          <w:lang w:val="en-US" w:eastAsia="zh-CN"/>
        </w:rPr>
        <w:t>M</w:t>
      </w:r>
      <w:r>
        <w:rPr>
          <w:color w:val="000000"/>
          <w:sz w:val="24"/>
          <w:szCs w:val="24"/>
        </w:rPr>
        <w:t>edical University, Guangzhou 510799, China.</w:t>
      </w:r>
    </w:p>
    <w:p>
      <w:pPr>
        <w:spacing w:line="480" w:lineRule="auto"/>
        <w:rPr>
          <w:rFonts w:hint="eastAsia"/>
          <w:color w:val="000000"/>
          <w:sz w:val="24"/>
          <w:szCs w:val="24"/>
        </w:rPr>
      </w:pPr>
    </w:p>
    <w:bookmarkEnd w:id="5"/>
    <w:bookmarkEnd w:id="10"/>
    <w:p>
      <w:pPr>
        <w:spacing w:line="480" w:lineRule="auto"/>
        <w:jc w:val="left"/>
        <w:rPr>
          <w:color w:val="000000"/>
          <w:sz w:val="24"/>
          <w:szCs w:val="24"/>
        </w:rPr>
      </w:pPr>
      <w:r>
        <w:rPr>
          <w:color w:val="000000"/>
          <w:sz w:val="24"/>
          <w:szCs w:val="24"/>
          <w:vertAlign w:val="superscript"/>
        </w:rPr>
        <w:t>#</w:t>
      </w:r>
      <w:r>
        <w:rPr>
          <w:color w:val="000000"/>
          <w:sz w:val="24"/>
          <w:szCs w:val="24"/>
        </w:rPr>
        <w:t>These authors contributed equally to this work and share first authorship</w:t>
      </w:r>
    </w:p>
    <w:p>
      <w:pPr>
        <w:widowControl/>
        <w:spacing w:line="480" w:lineRule="auto"/>
        <w:jc w:val="left"/>
        <w:rPr>
          <w:color w:val="000000"/>
          <w:sz w:val="24"/>
          <w:szCs w:val="24"/>
        </w:rPr>
      </w:pPr>
      <w:r>
        <w:rPr>
          <w:color w:val="000000"/>
          <w:sz w:val="24"/>
          <w:szCs w:val="24"/>
          <w:vertAlign w:val="superscript"/>
        </w:rPr>
        <w:t>*</w:t>
      </w:r>
      <w:r>
        <w:rPr>
          <w:color w:val="000000"/>
          <w:sz w:val="24"/>
          <w:szCs w:val="24"/>
        </w:rPr>
        <w:t>Corresponding author:</w:t>
      </w:r>
    </w:p>
    <w:p>
      <w:pPr>
        <w:widowControl/>
        <w:spacing w:line="480" w:lineRule="auto"/>
        <w:jc w:val="left"/>
        <w:rPr>
          <w:color w:val="000000"/>
          <w:sz w:val="24"/>
          <w:szCs w:val="24"/>
        </w:rPr>
      </w:pPr>
      <w:r>
        <w:rPr>
          <w:color w:val="000000"/>
          <w:sz w:val="24"/>
          <w:szCs w:val="24"/>
        </w:rPr>
        <w:fldChar w:fldCharType="begin"/>
      </w:r>
      <w:r>
        <w:rPr>
          <w:color w:val="000000"/>
          <w:sz w:val="24"/>
          <w:szCs w:val="24"/>
        </w:rPr>
        <w:instrText xml:space="preserve"> HYPERLINK "mailto:tandoctor@163.com139.com(W.T.)" </w:instrText>
      </w:r>
      <w:r>
        <w:rPr>
          <w:color w:val="000000"/>
          <w:sz w:val="24"/>
          <w:szCs w:val="24"/>
        </w:rPr>
        <w:fldChar w:fldCharType="separate"/>
      </w:r>
      <w:r>
        <w:rPr>
          <w:color w:val="000000"/>
          <w:sz w:val="24"/>
          <w:szCs w:val="24"/>
        </w:rPr>
        <w:t>tandoctor@163.com (W.T.)</w:t>
      </w:r>
      <w:r>
        <w:rPr>
          <w:color w:val="000000"/>
          <w:sz w:val="24"/>
          <w:szCs w:val="24"/>
        </w:rPr>
        <w:fldChar w:fldCharType="end"/>
      </w:r>
      <w:r>
        <w:rPr>
          <w:color w:val="000000"/>
          <w:sz w:val="24"/>
          <w:szCs w:val="24"/>
        </w:rPr>
        <w:t>;</w:t>
      </w:r>
    </w:p>
    <w:p>
      <w:pPr>
        <w:widowControl/>
        <w:spacing w:line="480" w:lineRule="auto"/>
        <w:jc w:val="left"/>
        <w:rPr>
          <w:color w:val="000000"/>
          <w:sz w:val="24"/>
          <w:szCs w:val="24"/>
        </w:rPr>
      </w:pPr>
      <w:r>
        <w:rPr>
          <w:color w:val="000000"/>
          <w:sz w:val="24"/>
          <w:szCs w:val="24"/>
        </w:rPr>
        <w:fldChar w:fldCharType="begin"/>
      </w:r>
      <w:r>
        <w:rPr>
          <w:color w:val="000000"/>
          <w:sz w:val="24"/>
          <w:szCs w:val="24"/>
        </w:rPr>
        <w:instrText xml:space="preserve"> HYPERLINK "mailto:sunhx718@163.com(H.S.)" </w:instrText>
      </w:r>
      <w:r>
        <w:rPr>
          <w:color w:val="000000"/>
          <w:sz w:val="24"/>
          <w:szCs w:val="24"/>
        </w:rPr>
        <w:fldChar w:fldCharType="separate"/>
      </w:r>
      <w:r>
        <w:rPr>
          <w:color w:val="000000"/>
          <w:sz w:val="24"/>
          <w:szCs w:val="24"/>
        </w:rPr>
        <w:t>sunhx718@163.com(H.S.)</w:t>
      </w:r>
      <w:r>
        <w:rPr>
          <w:color w:val="000000"/>
          <w:sz w:val="24"/>
          <w:szCs w:val="24"/>
        </w:rPr>
        <w:fldChar w:fldCharType="end"/>
      </w:r>
      <w:r>
        <w:rPr>
          <w:color w:val="000000"/>
          <w:sz w:val="24"/>
          <w:szCs w:val="24"/>
        </w:rPr>
        <w:t>;</w:t>
      </w:r>
    </w:p>
    <w:p>
      <w:pPr>
        <w:widowControl/>
        <w:spacing w:line="480" w:lineRule="auto"/>
        <w:jc w:val="left"/>
        <w:rPr>
          <w:color w:val="000000"/>
          <w:sz w:val="24"/>
          <w:szCs w:val="24"/>
        </w:rPr>
      </w:pPr>
      <w:r>
        <w:rPr>
          <w:rFonts w:hint="eastAsia"/>
          <w:color w:val="000000"/>
          <w:sz w:val="24"/>
          <w:szCs w:val="24"/>
        </w:rPr>
        <w:t>l</w:t>
      </w:r>
      <w:r>
        <w:rPr>
          <w:color w:val="000000"/>
          <w:sz w:val="24"/>
          <w:szCs w:val="24"/>
        </w:rPr>
        <w:t>i421@126.com(S.L.)</w:t>
      </w:r>
    </w:p>
    <w:bookmarkEnd w:id="2"/>
    <w:p>
      <w:pPr>
        <w:widowControl/>
        <w:spacing w:line="480" w:lineRule="auto"/>
        <w:rPr>
          <w:b/>
          <w:sz w:val="24"/>
          <w:szCs w:val="24"/>
        </w:rPr>
      </w:pPr>
    </w:p>
    <w:p>
      <w:pPr>
        <w:widowControl/>
        <w:spacing w:line="480" w:lineRule="auto"/>
        <w:rPr>
          <w:b/>
          <w:sz w:val="24"/>
          <w:szCs w:val="24"/>
        </w:rPr>
      </w:pPr>
      <w:r>
        <w:rPr>
          <w:b/>
          <w:sz w:val="24"/>
          <w:szCs w:val="24"/>
        </w:rPr>
        <w:t>This PDF file includes:</w:t>
      </w:r>
    </w:p>
    <w:p>
      <w:pPr>
        <w:spacing w:line="480" w:lineRule="auto"/>
        <w:rPr>
          <w:b/>
          <w:bCs/>
          <w:sz w:val="24"/>
          <w:szCs w:val="24"/>
        </w:rPr>
        <w:sectPr>
          <w:pgSz w:w="11900" w:h="16840"/>
          <w:pgMar w:top="1440" w:right="1800" w:bottom="1440" w:left="1800" w:header="851" w:footer="992" w:gutter="0"/>
          <w:cols w:space="425" w:num="1"/>
          <w:docGrid w:type="lines" w:linePitch="312" w:charSpace="0"/>
        </w:sectPr>
      </w:pPr>
      <w:r>
        <w:rPr>
          <w:b/>
          <w:bCs/>
          <w:sz w:val="24"/>
          <w:szCs w:val="24"/>
        </w:rPr>
        <w:t xml:space="preserve">Supplementary Table </w:t>
      </w:r>
      <w:r>
        <w:rPr>
          <w:rFonts w:hint="eastAsia"/>
          <w:b/>
          <w:bCs/>
          <w:sz w:val="24"/>
          <w:szCs w:val="24"/>
          <w:lang w:val="en-US" w:eastAsia="zh-CN"/>
        </w:rPr>
        <w:t>S</w:t>
      </w:r>
      <w:r>
        <w:rPr>
          <w:b/>
          <w:bCs/>
          <w:sz w:val="24"/>
          <w:szCs w:val="24"/>
        </w:rPr>
        <w:t xml:space="preserve">1 to </w:t>
      </w:r>
      <w:r>
        <w:rPr>
          <w:rFonts w:hint="eastAsia"/>
          <w:b/>
          <w:bCs/>
          <w:sz w:val="24"/>
          <w:szCs w:val="24"/>
          <w:lang w:val="en-US" w:eastAsia="zh-CN"/>
        </w:rPr>
        <w:t>S</w:t>
      </w:r>
      <w:r>
        <w:rPr>
          <w:b/>
          <w:bCs/>
          <w:sz w:val="24"/>
          <w:szCs w:val="24"/>
        </w:rPr>
        <w:t>3</w:t>
      </w:r>
      <w:r>
        <w:rPr>
          <w:rFonts w:hint="eastAsia"/>
          <w:b/>
          <w:bCs/>
          <w:sz w:val="24"/>
          <w:szCs w:val="24"/>
          <w:lang w:val="en-US" w:eastAsia="zh-CN"/>
        </w:rPr>
        <w:t xml:space="preserve">, Figure S1 </w:t>
      </w:r>
      <w:r>
        <w:rPr>
          <w:rFonts w:hint="eastAsia"/>
          <w:b/>
          <w:bCs/>
          <w:sz w:val="24"/>
          <w:szCs w:val="24"/>
        </w:rPr>
        <w:t xml:space="preserve">and </w:t>
      </w:r>
      <w:r>
        <w:rPr>
          <w:b/>
          <w:bCs/>
          <w:sz w:val="24"/>
          <w:szCs w:val="24"/>
        </w:rPr>
        <w:t xml:space="preserve">Western blots figures </w:t>
      </w:r>
      <w:r>
        <w:rPr>
          <w:rFonts w:hint="eastAsia"/>
          <w:b/>
          <w:bCs/>
          <w:sz w:val="24"/>
          <w:szCs w:val="24"/>
        </w:rPr>
        <w:t>of</w:t>
      </w:r>
      <w:r>
        <w:rPr>
          <w:b/>
          <w:bCs/>
          <w:sz w:val="24"/>
          <w:szCs w:val="24"/>
        </w:rPr>
        <w:t xml:space="preserve"> </w:t>
      </w:r>
      <w:r>
        <w:rPr>
          <w:rFonts w:hint="eastAsia"/>
          <w:b/>
          <w:bCs/>
          <w:sz w:val="24"/>
          <w:szCs w:val="24"/>
        </w:rPr>
        <w:t>the</w:t>
      </w:r>
      <w:r>
        <w:rPr>
          <w:b/>
          <w:bCs/>
          <w:sz w:val="24"/>
          <w:szCs w:val="24"/>
        </w:rPr>
        <w:t xml:space="preserve"> manus</w:t>
      </w:r>
      <w:r>
        <w:rPr>
          <w:rFonts w:hint="eastAsia"/>
          <w:b/>
          <w:bCs/>
          <w:sz w:val="24"/>
          <w:szCs w:val="24"/>
        </w:rPr>
        <w:t>c</w:t>
      </w:r>
      <w:r>
        <w:rPr>
          <w:b/>
          <w:bCs/>
          <w:sz w:val="24"/>
          <w:szCs w:val="24"/>
        </w:rPr>
        <w:t>ript</w:t>
      </w:r>
    </w:p>
    <w:p>
      <w:pPr>
        <w:spacing w:line="480" w:lineRule="auto"/>
        <w:rPr>
          <w:b/>
          <w:bCs/>
          <w:szCs w:val="21"/>
        </w:rPr>
      </w:pPr>
      <w:r>
        <w:rPr>
          <w:b/>
          <w:bCs/>
          <w:sz w:val="24"/>
          <w:szCs w:val="24"/>
        </w:rPr>
        <w:t xml:space="preserve">Supplementary Table </w:t>
      </w:r>
      <w:r>
        <w:rPr>
          <w:rFonts w:hint="eastAsia"/>
          <w:b/>
          <w:bCs/>
          <w:sz w:val="24"/>
          <w:szCs w:val="24"/>
          <w:lang w:val="en-US" w:eastAsia="zh-CN"/>
        </w:rPr>
        <w:t>S</w:t>
      </w:r>
      <w:r>
        <w:rPr>
          <w:b/>
          <w:bCs/>
          <w:sz w:val="24"/>
          <w:szCs w:val="24"/>
        </w:rPr>
        <w:t>1. The primers of selected genes for quantitative real-time PCR</w:t>
      </w:r>
      <w:r>
        <w:rPr>
          <w:b/>
          <w:bCs/>
          <w:szCs w:val="21"/>
        </w:rPr>
        <w:t xml:space="preserve"> </w:t>
      </w:r>
    </w:p>
    <w:tbl>
      <w:tblPr>
        <w:tblStyle w:val="8"/>
        <w:tblW w:w="9493" w:type="dxa"/>
        <w:jc w:val="center"/>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34"/>
        <w:gridCol w:w="3681"/>
        <w:gridCol w:w="3686"/>
        <w:gridCol w:w="992"/>
      </w:tblGrid>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34" w:type="dxa"/>
            <w:tcBorders>
              <w:top w:val="single" w:color="auto" w:sz="12" w:space="0"/>
              <w:bottom w:val="single" w:color="000000" w:sz="4" w:space="0"/>
            </w:tcBorders>
            <w:shd w:val="clear" w:color="auto" w:fill="auto"/>
            <w:vAlign w:val="center"/>
          </w:tcPr>
          <w:p>
            <w:pPr>
              <w:jc w:val="center"/>
              <w:rPr>
                <w:b/>
                <w:bCs/>
                <w:szCs w:val="21"/>
              </w:rPr>
            </w:pPr>
            <w:r>
              <w:rPr>
                <w:b/>
                <w:bCs/>
                <w:szCs w:val="21"/>
              </w:rPr>
              <w:t>Gene title</w:t>
            </w:r>
          </w:p>
        </w:tc>
        <w:tc>
          <w:tcPr>
            <w:tcW w:w="3681" w:type="dxa"/>
            <w:tcBorders>
              <w:top w:val="single" w:color="auto" w:sz="12" w:space="0"/>
              <w:bottom w:val="single" w:color="000000" w:sz="4" w:space="0"/>
            </w:tcBorders>
            <w:shd w:val="clear" w:color="auto" w:fill="auto"/>
            <w:vAlign w:val="center"/>
          </w:tcPr>
          <w:p>
            <w:pPr>
              <w:jc w:val="center"/>
              <w:rPr>
                <w:b/>
                <w:bCs/>
                <w:szCs w:val="21"/>
              </w:rPr>
            </w:pPr>
            <w:r>
              <w:rPr>
                <w:b/>
                <w:bCs/>
                <w:szCs w:val="21"/>
              </w:rPr>
              <w:t>Forward primer</w:t>
            </w:r>
          </w:p>
        </w:tc>
        <w:tc>
          <w:tcPr>
            <w:tcW w:w="3686" w:type="dxa"/>
            <w:tcBorders>
              <w:top w:val="single" w:color="auto" w:sz="12" w:space="0"/>
              <w:bottom w:val="single" w:color="000000" w:sz="4" w:space="0"/>
            </w:tcBorders>
            <w:shd w:val="clear" w:color="auto" w:fill="auto"/>
            <w:vAlign w:val="center"/>
          </w:tcPr>
          <w:p>
            <w:pPr>
              <w:jc w:val="center"/>
              <w:rPr>
                <w:b/>
                <w:bCs/>
                <w:szCs w:val="21"/>
              </w:rPr>
            </w:pPr>
            <w:r>
              <w:rPr>
                <w:b/>
                <w:bCs/>
                <w:szCs w:val="21"/>
              </w:rPr>
              <w:t>Reverse primer</w:t>
            </w:r>
          </w:p>
        </w:tc>
        <w:tc>
          <w:tcPr>
            <w:tcW w:w="992" w:type="dxa"/>
            <w:tcBorders>
              <w:top w:val="single" w:color="auto" w:sz="12" w:space="0"/>
              <w:bottom w:val="single" w:color="000000" w:sz="4" w:space="0"/>
            </w:tcBorders>
            <w:shd w:val="clear" w:color="auto" w:fill="auto"/>
            <w:vAlign w:val="center"/>
          </w:tcPr>
          <w:p>
            <w:pPr>
              <w:jc w:val="center"/>
              <w:rPr>
                <w:b/>
                <w:bCs/>
                <w:szCs w:val="21"/>
              </w:rPr>
            </w:pPr>
            <w:r>
              <w:rPr>
                <w:b/>
                <w:bCs/>
                <w:szCs w:val="21"/>
              </w:rPr>
              <w:t>Size(bp)</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34" w:type="dxa"/>
            <w:shd w:val="clear" w:color="auto" w:fill="auto"/>
            <w:vAlign w:val="center"/>
          </w:tcPr>
          <w:p>
            <w:pPr>
              <w:jc w:val="center"/>
              <w:rPr>
                <w:b/>
                <w:bCs/>
                <w:szCs w:val="21"/>
              </w:rPr>
            </w:pPr>
            <w:r>
              <w:rPr>
                <w:bCs/>
                <w:szCs w:val="21"/>
              </w:rPr>
              <w:t>ACLY</w:t>
            </w:r>
          </w:p>
        </w:tc>
        <w:tc>
          <w:tcPr>
            <w:tcW w:w="3681" w:type="dxa"/>
            <w:shd w:val="clear" w:color="auto" w:fill="auto"/>
            <w:vAlign w:val="center"/>
          </w:tcPr>
          <w:p>
            <w:pPr>
              <w:jc w:val="left"/>
              <w:rPr>
                <w:szCs w:val="21"/>
              </w:rPr>
            </w:pPr>
            <w:r>
              <w:rPr>
                <w:szCs w:val="21"/>
              </w:rPr>
              <w:t>5’-GGTGGGGACAGGTAATCAGC-3’</w:t>
            </w:r>
          </w:p>
        </w:tc>
        <w:tc>
          <w:tcPr>
            <w:tcW w:w="3686" w:type="dxa"/>
            <w:shd w:val="clear" w:color="auto" w:fill="auto"/>
            <w:vAlign w:val="center"/>
          </w:tcPr>
          <w:p>
            <w:pPr>
              <w:jc w:val="left"/>
              <w:rPr>
                <w:szCs w:val="21"/>
              </w:rPr>
            </w:pPr>
            <w:r>
              <w:rPr>
                <w:szCs w:val="21"/>
              </w:rPr>
              <w:t>5’-</w:t>
            </w:r>
            <w:r>
              <w:rPr>
                <w:szCs w:val="21"/>
                <w:shd w:val="clear" w:color="auto" w:fill="FFFFFF"/>
              </w:rPr>
              <w:t>CATCGTCTCCTAGCCCACTG</w:t>
            </w:r>
            <w:r>
              <w:rPr>
                <w:szCs w:val="21"/>
              </w:rPr>
              <w:t>-3’</w:t>
            </w:r>
          </w:p>
        </w:tc>
        <w:tc>
          <w:tcPr>
            <w:tcW w:w="992" w:type="dxa"/>
            <w:shd w:val="clear" w:color="auto" w:fill="auto"/>
            <w:vAlign w:val="center"/>
          </w:tcPr>
          <w:p>
            <w:pPr>
              <w:jc w:val="center"/>
              <w:rPr>
                <w:szCs w:val="21"/>
              </w:rPr>
            </w:pPr>
            <w:r>
              <w:rPr>
                <w:szCs w:val="21"/>
              </w:rPr>
              <w:t>74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34" w:type="dxa"/>
            <w:shd w:val="clear" w:color="auto" w:fill="auto"/>
            <w:vAlign w:val="center"/>
          </w:tcPr>
          <w:p>
            <w:pPr>
              <w:jc w:val="center"/>
              <w:rPr>
                <w:b/>
                <w:bCs/>
                <w:color w:val="000000"/>
                <w:szCs w:val="21"/>
              </w:rPr>
            </w:pPr>
            <w:r>
              <w:rPr>
                <w:bCs/>
                <w:color w:val="000000"/>
                <w:szCs w:val="21"/>
              </w:rPr>
              <w:t>SLC25A4</w:t>
            </w:r>
          </w:p>
        </w:tc>
        <w:tc>
          <w:tcPr>
            <w:tcW w:w="3681" w:type="dxa"/>
            <w:shd w:val="clear" w:color="auto" w:fill="auto"/>
            <w:vAlign w:val="center"/>
          </w:tcPr>
          <w:p>
            <w:pPr>
              <w:jc w:val="center"/>
              <w:rPr>
                <w:color w:val="000000"/>
                <w:szCs w:val="21"/>
              </w:rPr>
            </w:pPr>
            <w:r>
              <w:rPr>
                <w:color w:val="000000"/>
                <w:szCs w:val="21"/>
              </w:rPr>
              <w:t>5’-</w:t>
            </w:r>
            <w:r>
              <w:rPr>
                <w:color w:val="222222"/>
                <w:szCs w:val="21"/>
                <w:shd w:val="clear" w:color="auto" w:fill="FFFFFF"/>
              </w:rPr>
              <w:t>CCAAGTCAAGGGATGGGGTT</w:t>
            </w:r>
            <w:r>
              <w:rPr>
                <w:color w:val="000000"/>
                <w:szCs w:val="21"/>
              </w:rPr>
              <w:t>-3’</w:t>
            </w:r>
          </w:p>
        </w:tc>
        <w:tc>
          <w:tcPr>
            <w:tcW w:w="3686" w:type="dxa"/>
            <w:shd w:val="clear" w:color="auto" w:fill="auto"/>
            <w:vAlign w:val="center"/>
          </w:tcPr>
          <w:p>
            <w:pPr>
              <w:jc w:val="center"/>
              <w:rPr>
                <w:color w:val="000000"/>
                <w:szCs w:val="21"/>
              </w:rPr>
            </w:pPr>
            <w:r>
              <w:rPr>
                <w:color w:val="000000"/>
                <w:szCs w:val="21"/>
              </w:rPr>
              <w:t>5’-</w:t>
            </w:r>
            <w:r>
              <w:rPr>
                <w:color w:val="222222"/>
                <w:szCs w:val="21"/>
                <w:shd w:val="clear" w:color="auto" w:fill="FFFFFF"/>
              </w:rPr>
              <w:t>GCCCCACCTCTAAGAACGTC</w:t>
            </w:r>
            <w:r>
              <w:rPr>
                <w:color w:val="000000"/>
                <w:szCs w:val="21"/>
              </w:rPr>
              <w:t>-3’</w:t>
            </w:r>
          </w:p>
        </w:tc>
        <w:tc>
          <w:tcPr>
            <w:tcW w:w="992" w:type="dxa"/>
            <w:shd w:val="clear" w:color="auto" w:fill="auto"/>
            <w:vAlign w:val="center"/>
          </w:tcPr>
          <w:p>
            <w:pPr>
              <w:jc w:val="center"/>
              <w:rPr>
                <w:color w:val="000000"/>
                <w:szCs w:val="21"/>
              </w:rPr>
            </w:pPr>
            <w:r>
              <w:rPr>
                <w:color w:val="000000"/>
                <w:szCs w:val="21"/>
              </w:rPr>
              <w:t>216</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34" w:type="dxa"/>
            <w:shd w:val="clear" w:color="auto" w:fill="auto"/>
            <w:vAlign w:val="center"/>
          </w:tcPr>
          <w:p>
            <w:pPr>
              <w:jc w:val="center"/>
              <w:rPr>
                <w:b/>
                <w:bCs/>
                <w:szCs w:val="21"/>
              </w:rPr>
            </w:pPr>
            <w:r>
              <w:rPr>
                <w:bCs/>
                <w:szCs w:val="21"/>
              </w:rPr>
              <w:t>IDH3A</w:t>
            </w:r>
          </w:p>
        </w:tc>
        <w:tc>
          <w:tcPr>
            <w:tcW w:w="3681" w:type="dxa"/>
            <w:shd w:val="clear" w:color="auto" w:fill="auto"/>
            <w:vAlign w:val="center"/>
          </w:tcPr>
          <w:p>
            <w:pPr>
              <w:spacing w:line="480" w:lineRule="auto"/>
              <w:jc w:val="left"/>
              <w:rPr>
                <w:szCs w:val="21"/>
              </w:rPr>
            </w:pPr>
            <w:r>
              <w:rPr>
                <w:szCs w:val="21"/>
              </w:rPr>
              <w:t>5’-</w:t>
            </w:r>
            <w:r>
              <w:rPr>
                <w:szCs w:val="21"/>
                <w:shd w:val="clear" w:color="auto" w:fill="FFFFFF"/>
              </w:rPr>
              <w:t>CTCGCAGTGTATGGGCCG</w:t>
            </w:r>
            <w:r>
              <w:rPr>
                <w:szCs w:val="21"/>
              </w:rPr>
              <w:t>-3’</w:t>
            </w:r>
          </w:p>
        </w:tc>
        <w:tc>
          <w:tcPr>
            <w:tcW w:w="3686" w:type="dxa"/>
            <w:shd w:val="clear" w:color="auto" w:fill="auto"/>
            <w:vAlign w:val="center"/>
          </w:tcPr>
          <w:p>
            <w:pPr>
              <w:jc w:val="left"/>
              <w:rPr>
                <w:szCs w:val="21"/>
              </w:rPr>
            </w:pPr>
            <w:r>
              <w:rPr>
                <w:szCs w:val="21"/>
              </w:rPr>
              <w:t>5’-</w:t>
            </w:r>
            <w:r>
              <w:rPr>
                <w:szCs w:val="21"/>
                <w:shd w:val="clear" w:color="auto" w:fill="FFFFFF"/>
              </w:rPr>
              <w:t>TGCTGGTCTCTCTCTCCGAA</w:t>
            </w:r>
            <w:r>
              <w:rPr>
                <w:szCs w:val="21"/>
              </w:rPr>
              <w:t>-3’</w:t>
            </w:r>
          </w:p>
        </w:tc>
        <w:tc>
          <w:tcPr>
            <w:tcW w:w="992" w:type="dxa"/>
            <w:shd w:val="clear" w:color="auto" w:fill="auto"/>
            <w:vAlign w:val="center"/>
          </w:tcPr>
          <w:p>
            <w:pPr>
              <w:jc w:val="center"/>
              <w:rPr>
                <w:szCs w:val="21"/>
              </w:rPr>
            </w:pPr>
            <w:r>
              <w:rPr>
                <w:szCs w:val="21"/>
              </w:rPr>
              <w:t>497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34" w:type="dxa"/>
            <w:shd w:val="clear" w:color="auto" w:fill="auto"/>
            <w:vAlign w:val="center"/>
          </w:tcPr>
          <w:p>
            <w:pPr>
              <w:jc w:val="center"/>
              <w:rPr>
                <w:b/>
                <w:bCs/>
                <w:szCs w:val="21"/>
              </w:rPr>
            </w:pPr>
            <w:r>
              <w:rPr>
                <w:bCs/>
                <w:szCs w:val="21"/>
              </w:rPr>
              <w:t>PHKG2</w:t>
            </w:r>
          </w:p>
        </w:tc>
        <w:tc>
          <w:tcPr>
            <w:tcW w:w="3681" w:type="dxa"/>
            <w:shd w:val="clear" w:color="auto" w:fill="auto"/>
            <w:vAlign w:val="center"/>
          </w:tcPr>
          <w:p>
            <w:pPr>
              <w:jc w:val="left"/>
              <w:rPr>
                <w:szCs w:val="21"/>
              </w:rPr>
            </w:pPr>
            <w:r>
              <w:rPr>
                <w:szCs w:val="21"/>
              </w:rPr>
              <w:t>5’-</w:t>
            </w:r>
            <w:r>
              <w:rPr>
                <w:szCs w:val="21"/>
                <w:shd w:val="clear" w:color="auto" w:fill="FFFFFF"/>
              </w:rPr>
              <w:t>GCCAAACTGCCTTGTTGGAG</w:t>
            </w:r>
            <w:r>
              <w:rPr>
                <w:szCs w:val="21"/>
              </w:rPr>
              <w:t>-3’</w:t>
            </w:r>
          </w:p>
        </w:tc>
        <w:tc>
          <w:tcPr>
            <w:tcW w:w="3686" w:type="dxa"/>
            <w:shd w:val="clear" w:color="auto" w:fill="auto"/>
            <w:vAlign w:val="center"/>
          </w:tcPr>
          <w:p>
            <w:pPr>
              <w:jc w:val="left"/>
              <w:rPr>
                <w:szCs w:val="21"/>
              </w:rPr>
            </w:pPr>
            <w:r>
              <w:rPr>
                <w:szCs w:val="21"/>
              </w:rPr>
              <w:t>5’-</w:t>
            </w:r>
            <w:r>
              <w:rPr>
                <w:szCs w:val="21"/>
                <w:shd w:val="clear" w:color="auto" w:fill="FFFFFF"/>
              </w:rPr>
              <w:t>GGCTCAACCCTTACCTGGTT</w:t>
            </w:r>
            <w:r>
              <w:rPr>
                <w:szCs w:val="21"/>
              </w:rPr>
              <w:t>-3’</w:t>
            </w:r>
          </w:p>
        </w:tc>
        <w:tc>
          <w:tcPr>
            <w:tcW w:w="992" w:type="dxa"/>
            <w:shd w:val="clear" w:color="auto" w:fill="auto"/>
            <w:vAlign w:val="center"/>
          </w:tcPr>
          <w:p>
            <w:pPr>
              <w:jc w:val="center"/>
              <w:rPr>
                <w:szCs w:val="21"/>
              </w:rPr>
            </w:pPr>
            <w:r>
              <w:rPr>
                <w:szCs w:val="21"/>
              </w:rPr>
              <w:t>242</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34" w:type="dxa"/>
            <w:shd w:val="clear" w:color="auto" w:fill="auto"/>
            <w:vAlign w:val="center"/>
          </w:tcPr>
          <w:p>
            <w:pPr>
              <w:jc w:val="center"/>
              <w:rPr>
                <w:b/>
                <w:bCs/>
                <w:szCs w:val="21"/>
              </w:rPr>
            </w:pPr>
            <w:r>
              <w:rPr>
                <w:bCs/>
                <w:szCs w:val="21"/>
              </w:rPr>
              <w:t>UQCRQ</w:t>
            </w:r>
          </w:p>
        </w:tc>
        <w:tc>
          <w:tcPr>
            <w:tcW w:w="3681" w:type="dxa"/>
            <w:shd w:val="clear" w:color="auto" w:fill="auto"/>
            <w:vAlign w:val="center"/>
          </w:tcPr>
          <w:p>
            <w:pPr>
              <w:jc w:val="left"/>
              <w:rPr>
                <w:szCs w:val="21"/>
              </w:rPr>
            </w:pPr>
            <w:r>
              <w:rPr>
                <w:szCs w:val="21"/>
              </w:rPr>
              <w:t>5’-</w:t>
            </w:r>
            <w:r>
              <w:rPr>
                <w:szCs w:val="21"/>
                <w:shd w:val="clear" w:color="auto" w:fill="FFFFFF"/>
              </w:rPr>
              <w:t>GTCTTTCTTTCGCGTGGTGC</w:t>
            </w:r>
            <w:r>
              <w:rPr>
                <w:szCs w:val="21"/>
              </w:rPr>
              <w:t>-3’</w:t>
            </w:r>
          </w:p>
        </w:tc>
        <w:tc>
          <w:tcPr>
            <w:tcW w:w="3686" w:type="dxa"/>
            <w:shd w:val="clear" w:color="auto" w:fill="auto"/>
            <w:vAlign w:val="center"/>
          </w:tcPr>
          <w:p>
            <w:pPr>
              <w:jc w:val="left"/>
              <w:rPr>
                <w:szCs w:val="21"/>
              </w:rPr>
            </w:pPr>
            <w:r>
              <w:rPr>
                <w:szCs w:val="21"/>
              </w:rPr>
              <w:t>5’-</w:t>
            </w:r>
            <w:r>
              <w:rPr>
                <w:szCs w:val="21"/>
                <w:shd w:val="clear" w:color="auto" w:fill="FFFFFF"/>
              </w:rPr>
              <w:t>GTGACCTCAGAGGAACATGC</w:t>
            </w:r>
            <w:r>
              <w:rPr>
                <w:szCs w:val="21"/>
              </w:rPr>
              <w:t xml:space="preserve"> -3’</w:t>
            </w:r>
          </w:p>
        </w:tc>
        <w:tc>
          <w:tcPr>
            <w:tcW w:w="992" w:type="dxa"/>
            <w:shd w:val="clear" w:color="auto" w:fill="auto"/>
            <w:vAlign w:val="center"/>
          </w:tcPr>
          <w:p>
            <w:pPr>
              <w:jc w:val="center"/>
              <w:rPr>
                <w:szCs w:val="21"/>
              </w:rPr>
            </w:pPr>
            <w:r>
              <w:rPr>
                <w:szCs w:val="21"/>
              </w:rPr>
              <w:t>280</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34" w:type="dxa"/>
            <w:shd w:val="clear" w:color="auto" w:fill="auto"/>
            <w:vAlign w:val="center"/>
          </w:tcPr>
          <w:p>
            <w:pPr>
              <w:jc w:val="center"/>
              <w:rPr>
                <w:b/>
                <w:bCs/>
                <w:szCs w:val="21"/>
              </w:rPr>
            </w:pPr>
            <w:r>
              <w:rPr>
                <w:bCs/>
                <w:szCs w:val="21"/>
              </w:rPr>
              <w:t>PFKFB3</w:t>
            </w:r>
          </w:p>
        </w:tc>
        <w:tc>
          <w:tcPr>
            <w:tcW w:w="3681" w:type="dxa"/>
            <w:shd w:val="clear" w:color="auto" w:fill="auto"/>
            <w:vAlign w:val="center"/>
          </w:tcPr>
          <w:p>
            <w:pPr>
              <w:spacing w:line="480" w:lineRule="auto"/>
              <w:jc w:val="left"/>
              <w:rPr>
                <w:szCs w:val="21"/>
              </w:rPr>
            </w:pPr>
            <w:r>
              <w:rPr>
                <w:szCs w:val="21"/>
              </w:rPr>
              <w:t>5’-</w:t>
            </w:r>
            <w:r>
              <w:rPr>
                <w:szCs w:val="21"/>
                <w:shd w:val="clear" w:color="auto" w:fill="FFFFFF"/>
              </w:rPr>
              <w:t>TGATTCGGCCACCTTGACTC</w:t>
            </w:r>
            <w:r>
              <w:rPr>
                <w:szCs w:val="21"/>
              </w:rPr>
              <w:t>-3’</w:t>
            </w:r>
          </w:p>
        </w:tc>
        <w:tc>
          <w:tcPr>
            <w:tcW w:w="3686" w:type="dxa"/>
            <w:shd w:val="clear" w:color="auto" w:fill="auto"/>
            <w:vAlign w:val="center"/>
          </w:tcPr>
          <w:p>
            <w:pPr>
              <w:jc w:val="left"/>
              <w:rPr>
                <w:szCs w:val="21"/>
              </w:rPr>
            </w:pPr>
            <w:r>
              <w:rPr>
                <w:szCs w:val="21"/>
              </w:rPr>
              <w:t>5’</w:t>
            </w:r>
            <w:r>
              <w:rPr>
                <w:szCs w:val="21"/>
                <w:shd w:val="clear" w:color="auto" w:fill="FFFFFF"/>
              </w:rPr>
              <w:t>-ACTTTGCCGCATAAGGCTCT</w:t>
            </w:r>
            <w:r>
              <w:rPr>
                <w:szCs w:val="21"/>
              </w:rPr>
              <w:t>-3’</w:t>
            </w:r>
          </w:p>
        </w:tc>
        <w:tc>
          <w:tcPr>
            <w:tcW w:w="992" w:type="dxa"/>
            <w:shd w:val="clear" w:color="auto" w:fill="auto"/>
            <w:vAlign w:val="center"/>
          </w:tcPr>
          <w:p>
            <w:pPr>
              <w:jc w:val="center"/>
              <w:rPr>
                <w:szCs w:val="21"/>
              </w:rPr>
            </w:pPr>
            <w:r>
              <w:rPr>
                <w:szCs w:val="21"/>
              </w:rPr>
              <w:t>208</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34" w:type="dxa"/>
            <w:shd w:val="clear" w:color="auto" w:fill="auto"/>
            <w:vAlign w:val="center"/>
          </w:tcPr>
          <w:p>
            <w:pPr>
              <w:jc w:val="center"/>
              <w:rPr>
                <w:b/>
                <w:bCs/>
                <w:szCs w:val="21"/>
              </w:rPr>
            </w:pPr>
            <w:r>
              <w:rPr>
                <w:bCs/>
                <w:szCs w:val="21"/>
              </w:rPr>
              <w:t>ARL2</w:t>
            </w:r>
          </w:p>
        </w:tc>
        <w:tc>
          <w:tcPr>
            <w:tcW w:w="3681" w:type="dxa"/>
            <w:shd w:val="clear" w:color="auto" w:fill="auto"/>
            <w:vAlign w:val="center"/>
          </w:tcPr>
          <w:p>
            <w:pPr>
              <w:spacing w:line="480" w:lineRule="auto"/>
              <w:jc w:val="left"/>
              <w:rPr>
                <w:szCs w:val="21"/>
              </w:rPr>
            </w:pPr>
            <w:r>
              <w:rPr>
                <w:szCs w:val="21"/>
              </w:rPr>
              <w:t>5’-AGCGTGATAGCCAACAGGA-3’</w:t>
            </w:r>
          </w:p>
        </w:tc>
        <w:tc>
          <w:tcPr>
            <w:tcW w:w="3686" w:type="dxa"/>
            <w:shd w:val="clear" w:color="auto" w:fill="auto"/>
            <w:vAlign w:val="center"/>
          </w:tcPr>
          <w:p>
            <w:pPr>
              <w:jc w:val="left"/>
              <w:rPr>
                <w:b/>
                <w:szCs w:val="21"/>
              </w:rPr>
            </w:pPr>
            <w:r>
              <w:rPr>
                <w:szCs w:val="21"/>
              </w:rPr>
              <w:t>5’-GCAAGGAGCGGTTTATTTCA-3’</w:t>
            </w:r>
          </w:p>
        </w:tc>
        <w:tc>
          <w:tcPr>
            <w:tcW w:w="992" w:type="dxa"/>
            <w:shd w:val="clear" w:color="auto" w:fill="auto"/>
            <w:vAlign w:val="center"/>
          </w:tcPr>
          <w:p>
            <w:pPr>
              <w:jc w:val="center"/>
              <w:rPr>
                <w:szCs w:val="21"/>
              </w:rPr>
            </w:pPr>
            <w:r>
              <w:rPr>
                <w:szCs w:val="21"/>
              </w:rPr>
              <w:t>105</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34" w:type="dxa"/>
            <w:shd w:val="clear" w:color="auto" w:fill="auto"/>
            <w:vAlign w:val="center"/>
          </w:tcPr>
          <w:p>
            <w:pPr>
              <w:jc w:val="center"/>
              <w:rPr>
                <w:b/>
                <w:bCs/>
                <w:szCs w:val="21"/>
              </w:rPr>
            </w:pPr>
            <w:r>
              <w:rPr>
                <w:bCs/>
                <w:szCs w:val="21"/>
              </w:rPr>
              <w:t>NDUFB3</w:t>
            </w:r>
          </w:p>
        </w:tc>
        <w:tc>
          <w:tcPr>
            <w:tcW w:w="3681" w:type="dxa"/>
            <w:shd w:val="clear" w:color="auto" w:fill="auto"/>
            <w:vAlign w:val="center"/>
          </w:tcPr>
          <w:p>
            <w:pPr>
              <w:spacing w:line="480" w:lineRule="auto"/>
              <w:jc w:val="left"/>
              <w:rPr>
                <w:szCs w:val="21"/>
              </w:rPr>
            </w:pPr>
            <w:r>
              <w:rPr>
                <w:szCs w:val="21"/>
              </w:rPr>
              <w:t>5’-</w:t>
            </w:r>
            <w:r>
              <w:rPr>
                <w:szCs w:val="21"/>
                <w:shd w:val="clear" w:color="auto" w:fill="FFFFFF"/>
              </w:rPr>
              <w:t>TTAGGGAGTTGGTGGGAGGC</w:t>
            </w:r>
            <w:r>
              <w:rPr>
                <w:szCs w:val="21"/>
              </w:rPr>
              <w:t>-3’</w:t>
            </w:r>
          </w:p>
        </w:tc>
        <w:tc>
          <w:tcPr>
            <w:tcW w:w="3686" w:type="dxa"/>
            <w:shd w:val="clear" w:color="auto" w:fill="auto"/>
            <w:vAlign w:val="center"/>
          </w:tcPr>
          <w:p>
            <w:pPr>
              <w:jc w:val="left"/>
              <w:rPr>
                <w:szCs w:val="21"/>
              </w:rPr>
            </w:pPr>
            <w:r>
              <w:rPr>
                <w:szCs w:val="21"/>
              </w:rPr>
              <w:t>5’-</w:t>
            </w:r>
            <w:r>
              <w:rPr>
                <w:szCs w:val="21"/>
                <w:shd w:val="clear" w:color="auto" w:fill="FFFFFF"/>
              </w:rPr>
              <w:t>GTTCTTCTGCCTTTGCGATCC</w:t>
            </w:r>
            <w:r>
              <w:rPr>
                <w:szCs w:val="21"/>
              </w:rPr>
              <w:t>-3’</w:t>
            </w:r>
          </w:p>
        </w:tc>
        <w:tc>
          <w:tcPr>
            <w:tcW w:w="992" w:type="dxa"/>
            <w:shd w:val="clear" w:color="auto" w:fill="auto"/>
            <w:vAlign w:val="center"/>
          </w:tcPr>
          <w:p>
            <w:pPr>
              <w:jc w:val="center"/>
              <w:rPr>
                <w:szCs w:val="21"/>
              </w:rPr>
            </w:pPr>
            <w:r>
              <w:rPr>
                <w:szCs w:val="21"/>
              </w:rPr>
              <w:t>284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34" w:type="dxa"/>
            <w:shd w:val="clear" w:color="auto" w:fill="auto"/>
            <w:vAlign w:val="center"/>
          </w:tcPr>
          <w:p>
            <w:pPr>
              <w:jc w:val="center"/>
              <w:rPr>
                <w:b/>
                <w:bCs/>
                <w:szCs w:val="21"/>
              </w:rPr>
            </w:pPr>
            <w:r>
              <w:rPr>
                <w:bCs/>
                <w:szCs w:val="21"/>
              </w:rPr>
              <w:t>SDHB</w:t>
            </w:r>
          </w:p>
        </w:tc>
        <w:tc>
          <w:tcPr>
            <w:tcW w:w="3681" w:type="dxa"/>
            <w:shd w:val="clear" w:color="auto" w:fill="auto"/>
            <w:vAlign w:val="center"/>
          </w:tcPr>
          <w:p>
            <w:pPr>
              <w:spacing w:line="480" w:lineRule="auto"/>
              <w:jc w:val="left"/>
              <w:rPr>
                <w:szCs w:val="21"/>
                <w:shd w:val="clear" w:color="auto" w:fill="FFFFFF"/>
              </w:rPr>
            </w:pPr>
            <w:r>
              <w:rPr>
                <w:szCs w:val="21"/>
              </w:rPr>
              <w:t>5’-</w:t>
            </w:r>
            <w:r>
              <w:rPr>
                <w:szCs w:val="21"/>
                <w:shd w:val="clear" w:color="auto" w:fill="FFFFFF"/>
              </w:rPr>
              <w:t>GAGAGCGACCTCGGGGTTA</w:t>
            </w:r>
            <w:r>
              <w:rPr>
                <w:szCs w:val="21"/>
              </w:rPr>
              <w:t>-3’</w:t>
            </w:r>
          </w:p>
        </w:tc>
        <w:tc>
          <w:tcPr>
            <w:tcW w:w="3686" w:type="dxa"/>
            <w:shd w:val="clear" w:color="auto" w:fill="auto"/>
            <w:vAlign w:val="center"/>
          </w:tcPr>
          <w:p>
            <w:pPr>
              <w:jc w:val="left"/>
              <w:rPr>
                <w:szCs w:val="21"/>
                <w:shd w:val="clear" w:color="auto" w:fill="FFFFFF"/>
              </w:rPr>
            </w:pPr>
            <w:r>
              <w:rPr>
                <w:szCs w:val="21"/>
              </w:rPr>
              <w:t>5’-</w:t>
            </w:r>
            <w:r>
              <w:rPr>
                <w:szCs w:val="21"/>
                <w:shd w:val="clear" w:color="auto" w:fill="FFFFFF"/>
              </w:rPr>
              <w:t>CTTTTCCCTCTCTGAGGCTCC</w:t>
            </w:r>
            <w:r>
              <w:rPr>
                <w:szCs w:val="21"/>
              </w:rPr>
              <w:t>-3’</w:t>
            </w:r>
          </w:p>
        </w:tc>
        <w:tc>
          <w:tcPr>
            <w:tcW w:w="992" w:type="dxa"/>
            <w:shd w:val="clear" w:color="auto" w:fill="auto"/>
            <w:vAlign w:val="center"/>
          </w:tcPr>
          <w:p>
            <w:pPr>
              <w:jc w:val="center"/>
              <w:rPr>
                <w:szCs w:val="21"/>
              </w:rPr>
            </w:pPr>
            <w:r>
              <w:rPr>
                <w:szCs w:val="21"/>
              </w:rPr>
              <w:t>149</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34" w:type="dxa"/>
            <w:shd w:val="clear" w:color="auto" w:fill="auto"/>
            <w:vAlign w:val="center"/>
          </w:tcPr>
          <w:p>
            <w:pPr>
              <w:jc w:val="center"/>
              <w:rPr>
                <w:b/>
                <w:bCs/>
                <w:szCs w:val="21"/>
                <w:shd w:val="clear" w:color="auto" w:fill="FFFFFF"/>
              </w:rPr>
            </w:pPr>
            <w:r>
              <w:rPr>
                <w:szCs w:val="21"/>
                <w:shd w:val="clear" w:color="auto" w:fill="FFFFFF"/>
              </w:rPr>
              <w:t>CYC1</w:t>
            </w:r>
          </w:p>
        </w:tc>
        <w:tc>
          <w:tcPr>
            <w:tcW w:w="3681" w:type="dxa"/>
            <w:shd w:val="clear" w:color="auto" w:fill="auto"/>
            <w:vAlign w:val="center"/>
          </w:tcPr>
          <w:p>
            <w:pPr>
              <w:spacing w:line="480" w:lineRule="auto"/>
              <w:jc w:val="left"/>
              <w:rPr>
                <w:szCs w:val="21"/>
                <w:shd w:val="clear" w:color="auto" w:fill="FFFFFF"/>
              </w:rPr>
            </w:pPr>
            <w:r>
              <w:rPr>
                <w:szCs w:val="21"/>
                <w:shd w:val="clear" w:color="auto" w:fill="FFFFFF"/>
              </w:rPr>
              <w:t>5’-ATGGTAAGAGGCCTCCAGTCT-3’</w:t>
            </w:r>
          </w:p>
        </w:tc>
        <w:tc>
          <w:tcPr>
            <w:tcW w:w="3686" w:type="dxa"/>
            <w:shd w:val="clear" w:color="auto" w:fill="auto"/>
            <w:vAlign w:val="center"/>
          </w:tcPr>
          <w:p>
            <w:pPr>
              <w:jc w:val="left"/>
              <w:rPr>
                <w:szCs w:val="21"/>
                <w:shd w:val="clear" w:color="auto" w:fill="FFFFFF"/>
              </w:rPr>
            </w:pPr>
            <w:r>
              <w:rPr>
                <w:szCs w:val="21"/>
                <w:shd w:val="clear" w:color="auto" w:fill="FFFFFF"/>
              </w:rPr>
              <w:t>5’-AAGCCTCCTGAGACATGCAC-3’</w:t>
            </w:r>
          </w:p>
        </w:tc>
        <w:tc>
          <w:tcPr>
            <w:tcW w:w="992" w:type="dxa"/>
            <w:shd w:val="clear" w:color="auto" w:fill="auto"/>
            <w:vAlign w:val="center"/>
          </w:tcPr>
          <w:p>
            <w:pPr>
              <w:jc w:val="center"/>
              <w:rPr>
                <w:szCs w:val="21"/>
                <w:shd w:val="clear" w:color="auto" w:fill="FFFFFF"/>
              </w:rPr>
            </w:pPr>
            <w:r>
              <w:rPr>
                <w:szCs w:val="21"/>
                <w:shd w:val="clear" w:color="auto" w:fill="FFFFFF"/>
              </w:rPr>
              <w:t>143</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34" w:type="dxa"/>
            <w:tcBorders>
              <w:bottom w:val="single" w:color="auto" w:sz="12" w:space="0"/>
            </w:tcBorders>
            <w:shd w:val="clear" w:color="auto" w:fill="auto"/>
            <w:vAlign w:val="center"/>
          </w:tcPr>
          <w:p>
            <w:pPr>
              <w:jc w:val="center"/>
              <w:rPr>
                <w:b/>
                <w:bCs/>
                <w:szCs w:val="21"/>
                <w:shd w:val="clear" w:color="auto" w:fill="FFFFFF"/>
              </w:rPr>
            </w:pPr>
            <w:r>
              <w:rPr>
                <w:szCs w:val="21"/>
                <w:shd w:val="clear" w:color="auto" w:fill="FFFFFF"/>
              </w:rPr>
              <w:t>SURF1</w:t>
            </w:r>
          </w:p>
        </w:tc>
        <w:tc>
          <w:tcPr>
            <w:tcW w:w="3681" w:type="dxa"/>
            <w:tcBorders>
              <w:bottom w:val="single" w:color="auto" w:sz="12" w:space="0"/>
            </w:tcBorders>
            <w:shd w:val="clear" w:color="auto" w:fill="auto"/>
            <w:vAlign w:val="center"/>
          </w:tcPr>
          <w:p>
            <w:pPr>
              <w:spacing w:line="480" w:lineRule="auto"/>
              <w:jc w:val="left"/>
              <w:rPr>
                <w:szCs w:val="21"/>
                <w:shd w:val="clear" w:color="auto" w:fill="FFFFFF"/>
              </w:rPr>
            </w:pPr>
            <w:r>
              <w:rPr>
                <w:szCs w:val="21"/>
                <w:shd w:val="clear" w:color="auto" w:fill="FFFFFF"/>
              </w:rPr>
              <w:t>5’-ACTTCCGTACGTTGTGGACC-3’</w:t>
            </w:r>
          </w:p>
        </w:tc>
        <w:tc>
          <w:tcPr>
            <w:tcW w:w="3686" w:type="dxa"/>
            <w:tcBorders>
              <w:bottom w:val="single" w:color="auto" w:sz="12" w:space="0"/>
            </w:tcBorders>
            <w:shd w:val="clear" w:color="auto" w:fill="auto"/>
            <w:vAlign w:val="center"/>
          </w:tcPr>
          <w:p>
            <w:pPr>
              <w:jc w:val="left"/>
              <w:rPr>
                <w:szCs w:val="21"/>
                <w:shd w:val="clear" w:color="auto" w:fill="FFFFFF"/>
              </w:rPr>
            </w:pPr>
            <w:r>
              <w:rPr>
                <w:szCs w:val="21"/>
                <w:shd w:val="clear" w:color="auto" w:fill="FFFFFF"/>
              </w:rPr>
              <w:t>5’-GTCATTTTTGCGTGGCCAGT-3’</w:t>
            </w:r>
          </w:p>
        </w:tc>
        <w:tc>
          <w:tcPr>
            <w:tcW w:w="992" w:type="dxa"/>
            <w:tcBorders>
              <w:bottom w:val="single" w:color="auto" w:sz="12" w:space="0"/>
            </w:tcBorders>
            <w:shd w:val="clear" w:color="auto" w:fill="auto"/>
            <w:vAlign w:val="center"/>
          </w:tcPr>
          <w:p>
            <w:pPr>
              <w:jc w:val="center"/>
              <w:rPr>
                <w:szCs w:val="21"/>
                <w:shd w:val="clear" w:color="auto" w:fill="FFFFFF"/>
              </w:rPr>
            </w:pPr>
            <w:r>
              <w:rPr>
                <w:szCs w:val="21"/>
                <w:shd w:val="clear" w:color="auto" w:fill="FFFFFF"/>
              </w:rPr>
              <w:t>240</w:t>
            </w:r>
          </w:p>
        </w:tc>
      </w:tr>
    </w:tbl>
    <w:p>
      <w:pPr>
        <w:spacing w:line="480" w:lineRule="auto"/>
        <w:rPr>
          <w:color w:val="000000"/>
          <w:szCs w:val="21"/>
        </w:rPr>
      </w:pPr>
    </w:p>
    <w:p>
      <w:pPr>
        <w:rPr>
          <w:b/>
          <w:bCs/>
          <w:szCs w:val="21"/>
        </w:rPr>
      </w:pPr>
      <w:r>
        <w:rPr>
          <w:b/>
          <w:bCs/>
          <w:color w:val="000000"/>
          <w:szCs w:val="21"/>
        </w:rPr>
        <w:br w:type="page"/>
      </w:r>
    </w:p>
    <w:p>
      <w:pPr>
        <w:spacing w:line="480" w:lineRule="auto"/>
        <w:rPr>
          <w:b/>
          <w:bCs/>
          <w:sz w:val="24"/>
          <w:szCs w:val="24"/>
        </w:rPr>
      </w:pPr>
      <w:r>
        <w:rPr>
          <w:b/>
          <w:bCs/>
          <w:sz w:val="24"/>
          <w:szCs w:val="24"/>
        </w:rPr>
        <w:t xml:space="preserve">Supplementary Table </w:t>
      </w:r>
      <w:r>
        <w:rPr>
          <w:rFonts w:hint="eastAsia"/>
          <w:b/>
          <w:bCs/>
          <w:sz w:val="24"/>
          <w:szCs w:val="24"/>
          <w:lang w:val="en-US" w:eastAsia="zh-CN"/>
        </w:rPr>
        <w:t>S</w:t>
      </w:r>
      <w:r>
        <w:rPr>
          <w:b/>
          <w:bCs/>
          <w:sz w:val="24"/>
          <w:szCs w:val="24"/>
        </w:rPr>
        <w:t>2. Functions of candidate genes in human</w:t>
      </w:r>
    </w:p>
    <w:tbl>
      <w:tblPr>
        <w:tblStyle w:val="8"/>
        <w:tblW w:w="10365" w:type="dxa"/>
        <w:jc w:val="center"/>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16"/>
        <w:gridCol w:w="1133"/>
        <w:gridCol w:w="3117"/>
        <w:gridCol w:w="2833"/>
        <w:gridCol w:w="2266"/>
      </w:tblGrid>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1016" w:type="dxa"/>
            <w:tcBorders>
              <w:top w:val="single" w:color="auto" w:sz="12" w:space="0"/>
              <w:left w:val="nil"/>
              <w:bottom w:val="single" w:color="FFFFFF" w:sz="12" w:space="0"/>
              <w:right w:val="nil"/>
            </w:tcBorders>
            <w:vAlign w:val="center"/>
          </w:tcPr>
          <w:p>
            <w:pPr>
              <w:spacing w:line="480" w:lineRule="auto"/>
              <w:rPr>
                <w:b/>
                <w:bCs/>
                <w:color w:val="000000"/>
                <w:szCs w:val="21"/>
              </w:rPr>
            </w:pPr>
          </w:p>
        </w:tc>
        <w:tc>
          <w:tcPr>
            <w:tcW w:w="1134" w:type="dxa"/>
            <w:tcBorders>
              <w:top w:val="single" w:color="auto" w:sz="12" w:space="0"/>
              <w:left w:val="nil"/>
              <w:bottom w:val="single" w:color="FFFFFF" w:sz="12" w:space="0"/>
              <w:right w:val="nil"/>
            </w:tcBorders>
            <w:vAlign w:val="center"/>
          </w:tcPr>
          <w:p>
            <w:pPr>
              <w:tabs>
                <w:tab w:val="left" w:pos="1425"/>
              </w:tabs>
              <w:spacing w:line="480" w:lineRule="auto"/>
              <w:rPr>
                <w:b/>
                <w:bCs/>
                <w:color w:val="000000"/>
                <w:szCs w:val="21"/>
              </w:rPr>
            </w:pPr>
            <w:r>
              <w:rPr>
                <w:b/>
                <w:bCs/>
                <w:color w:val="000000"/>
                <w:szCs w:val="21"/>
              </w:rPr>
              <w:tab/>
            </w:r>
          </w:p>
        </w:tc>
        <w:tc>
          <w:tcPr>
            <w:tcW w:w="8222" w:type="dxa"/>
            <w:gridSpan w:val="3"/>
            <w:tcBorders>
              <w:top w:val="single" w:color="auto" w:sz="12" w:space="0"/>
              <w:left w:val="nil"/>
              <w:bottom w:val="single" w:color="000000" w:sz="4" w:space="0"/>
              <w:right w:val="nil"/>
            </w:tcBorders>
            <w:vAlign w:val="center"/>
          </w:tcPr>
          <w:p>
            <w:pPr>
              <w:spacing w:line="480" w:lineRule="auto"/>
              <w:jc w:val="center"/>
              <w:rPr>
                <w:b/>
                <w:bCs/>
                <w:color w:val="000000"/>
                <w:szCs w:val="21"/>
              </w:rPr>
            </w:pPr>
            <w:r>
              <w:rPr>
                <w:b/>
                <w:bCs/>
                <w:color w:val="000000"/>
                <w:szCs w:val="21"/>
              </w:rPr>
              <w:t xml:space="preserve">Description </w:t>
            </w:r>
            <w:r>
              <w:rPr>
                <w:b/>
                <w:bCs/>
                <w:color w:val="000000"/>
                <w:szCs w:val="21"/>
                <w:vertAlign w:val="superscript"/>
              </w:rPr>
              <w:t>a</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jc w:val="center"/>
        </w:trPr>
        <w:tc>
          <w:tcPr>
            <w:tcW w:w="1016" w:type="dxa"/>
            <w:tcBorders>
              <w:top w:val="single" w:color="FFFFFF" w:sz="12" w:space="0"/>
              <w:left w:val="nil"/>
              <w:bottom w:val="single" w:color="auto" w:sz="12" w:space="0"/>
              <w:right w:val="nil"/>
            </w:tcBorders>
            <w:vAlign w:val="center"/>
          </w:tcPr>
          <w:p>
            <w:pPr>
              <w:spacing w:line="480" w:lineRule="auto"/>
              <w:jc w:val="center"/>
              <w:rPr>
                <w:b/>
                <w:bCs/>
                <w:color w:val="000000"/>
                <w:szCs w:val="21"/>
              </w:rPr>
            </w:pPr>
            <w:r>
              <w:rPr>
                <w:b/>
                <w:bCs/>
                <w:color w:val="000000"/>
                <w:szCs w:val="21"/>
              </w:rPr>
              <w:t>Gene ID</w:t>
            </w:r>
          </w:p>
        </w:tc>
        <w:tc>
          <w:tcPr>
            <w:tcW w:w="1134" w:type="dxa"/>
            <w:tcBorders>
              <w:top w:val="single" w:color="FFFFFF" w:sz="12" w:space="0"/>
              <w:left w:val="nil"/>
              <w:bottom w:val="single" w:color="auto" w:sz="12" w:space="0"/>
              <w:right w:val="nil"/>
            </w:tcBorders>
            <w:vAlign w:val="center"/>
          </w:tcPr>
          <w:p>
            <w:pPr>
              <w:spacing w:line="480" w:lineRule="auto"/>
              <w:jc w:val="center"/>
              <w:rPr>
                <w:b/>
                <w:color w:val="000000"/>
                <w:szCs w:val="21"/>
              </w:rPr>
            </w:pPr>
            <w:r>
              <w:rPr>
                <w:b/>
                <w:color w:val="000000"/>
                <w:szCs w:val="21"/>
              </w:rPr>
              <w:t>Symbol</w:t>
            </w:r>
          </w:p>
        </w:tc>
        <w:tc>
          <w:tcPr>
            <w:tcW w:w="3119" w:type="dxa"/>
            <w:tcBorders>
              <w:top w:val="nil"/>
              <w:left w:val="nil"/>
              <w:bottom w:val="single" w:color="auto" w:sz="12" w:space="0"/>
              <w:right w:val="nil"/>
            </w:tcBorders>
            <w:vAlign w:val="center"/>
          </w:tcPr>
          <w:p>
            <w:pPr>
              <w:spacing w:line="480" w:lineRule="auto"/>
              <w:jc w:val="center"/>
              <w:rPr>
                <w:b/>
                <w:color w:val="000000"/>
                <w:szCs w:val="21"/>
              </w:rPr>
            </w:pPr>
            <w:r>
              <w:rPr>
                <w:b/>
                <w:color w:val="000000"/>
                <w:szCs w:val="21"/>
              </w:rPr>
              <w:t>Biological process</w:t>
            </w:r>
          </w:p>
        </w:tc>
        <w:tc>
          <w:tcPr>
            <w:tcW w:w="2835" w:type="dxa"/>
            <w:tcBorders>
              <w:top w:val="nil"/>
              <w:left w:val="nil"/>
              <w:bottom w:val="single" w:color="auto" w:sz="12" w:space="0"/>
              <w:right w:val="nil"/>
            </w:tcBorders>
            <w:vAlign w:val="center"/>
          </w:tcPr>
          <w:p>
            <w:pPr>
              <w:spacing w:line="480" w:lineRule="auto"/>
              <w:jc w:val="center"/>
              <w:rPr>
                <w:b/>
                <w:color w:val="000000"/>
                <w:szCs w:val="21"/>
              </w:rPr>
            </w:pPr>
            <w:r>
              <w:rPr>
                <w:b/>
                <w:color w:val="000000"/>
                <w:szCs w:val="21"/>
              </w:rPr>
              <w:t>Cellular component</w:t>
            </w:r>
          </w:p>
        </w:tc>
        <w:tc>
          <w:tcPr>
            <w:tcW w:w="2268" w:type="dxa"/>
            <w:tcBorders>
              <w:top w:val="nil"/>
              <w:left w:val="nil"/>
              <w:bottom w:val="single" w:color="auto" w:sz="12" w:space="0"/>
              <w:right w:val="nil"/>
            </w:tcBorders>
            <w:vAlign w:val="center"/>
          </w:tcPr>
          <w:p>
            <w:pPr>
              <w:spacing w:line="480" w:lineRule="auto"/>
              <w:jc w:val="center"/>
              <w:rPr>
                <w:b/>
                <w:color w:val="000000"/>
                <w:szCs w:val="21"/>
              </w:rPr>
            </w:pPr>
            <w:r>
              <w:rPr>
                <w:b/>
                <w:color w:val="000000"/>
                <w:szCs w:val="21"/>
              </w:rPr>
              <w:t>Molecular function</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jc w:val="center"/>
        </w:trPr>
        <w:tc>
          <w:tcPr>
            <w:tcW w:w="1016" w:type="dxa"/>
            <w:tcBorders>
              <w:top w:val="single" w:color="auto" w:sz="12" w:space="0"/>
              <w:left w:val="nil"/>
              <w:bottom w:val="nil"/>
              <w:right w:val="nil"/>
            </w:tcBorders>
            <w:vAlign w:val="center"/>
          </w:tcPr>
          <w:p>
            <w:pPr>
              <w:spacing w:line="360" w:lineRule="auto"/>
              <w:jc w:val="center"/>
              <w:rPr>
                <w:szCs w:val="21"/>
              </w:rPr>
            </w:pPr>
            <w:r>
              <w:rPr>
                <w:szCs w:val="21"/>
              </w:rPr>
              <w:t>47</w:t>
            </w:r>
          </w:p>
        </w:tc>
        <w:tc>
          <w:tcPr>
            <w:tcW w:w="1134" w:type="dxa"/>
            <w:tcBorders>
              <w:top w:val="single" w:color="auto" w:sz="12" w:space="0"/>
              <w:left w:val="nil"/>
              <w:bottom w:val="nil"/>
              <w:right w:val="nil"/>
            </w:tcBorders>
            <w:vAlign w:val="center"/>
          </w:tcPr>
          <w:p>
            <w:pPr>
              <w:spacing w:line="360" w:lineRule="auto"/>
              <w:jc w:val="center"/>
              <w:rPr>
                <w:color w:val="000000"/>
                <w:szCs w:val="21"/>
              </w:rPr>
            </w:pPr>
            <w:r>
              <w:rPr>
                <w:szCs w:val="21"/>
              </w:rPr>
              <w:t>ACLY</w:t>
            </w:r>
          </w:p>
        </w:tc>
        <w:tc>
          <w:tcPr>
            <w:tcW w:w="3119" w:type="dxa"/>
            <w:tcBorders>
              <w:top w:val="single" w:color="auto" w:sz="12" w:space="0"/>
              <w:left w:val="nil"/>
              <w:bottom w:val="nil"/>
              <w:right w:val="nil"/>
            </w:tcBorders>
            <w:vAlign w:val="center"/>
          </w:tcPr>
          <w:p>
            <w:pPr>
              <w:spacing w:line="360" w:lineRule="auto"/>
              <w:jc w:val="center"/>
              <w:rPr>
                <w:szCs w:val="21"/>
              </w:rPr>
            </w:pPr>
            <w:r>
              <w:rPr>
                <w:szCs w:val="21"/>
              </w:rPr>
              <w:t>citrate metabolic process</w:t>
            </w:r>
          </w:p>
        </w:tc>
        <w:tc>
          <w:tcPr>
            <w:tcW w:w="2835" w:type="dxa"/>
            <w:tcBorders>
              <w:top w:val="single" w:color="auto" w:sz="12" w:space="0"/>
              <w:left w:val="nil"/>
              <w:bottom w:val="nil"/>
              <w:right w:val="nil"/>
            </w:tcBorders>
            <w:vAlign w:val="center"/>
          </w:tcPr>
          <w:p>
            <w:pPr>
              <w:spacing w:line="360" w:lineRule="auto"/>
              <w:jc w:val="center"/>
              <w:rPr>
                <w:szCs w:val="21"/>
              </w:rPr>
            </w:pPr>
            <w:r>
              <w:rPr>
                <w:szCs w:val="21"/>
              </w:rPr>
              <w:t>mitochondrion</w:t>
            </w:r>
          </w:p>
        </w:tc>
        <w:tc>
          <w:tcPr>
            <w:tcW w:w="2268" w:type="dxa"/>
            <w:tcBorders>
              <w:top w:val="single" w:color="auto" w:sz="12" w:space="0"/>
              <w:left w:val="nil"/>
              <w:bottom w:val="nil"/>
              <w:right w:val="nil"/>
            </w:tcBorders>
            <w:vAlign w:val="center"/>
          </w:tcPr>
          <w:p>
            <w:pPr>
              <w:spacing w:line="360" w:lineRule="auto"/>
              <w:jc w:val="center"/>
              <w:rPr>
                <w:szCs w:val="21"/>
              </w:rPr>
            </w:pPr>
            <w:r>
              <w:rPr>
                <w:szCs w:val="21"/>
              </w:rPr>
              <w:t>ATP binding</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 w:hRule="atLeast"/>
          <w:jc w:val="center"/>
        </w:trPr>
        <w:tc>
          <w:tcPr>
            <w:tcW w:w="1016" w:type="dxa"/>
            <w:tcBorders>
              <w:top w:val="nil"/>
              <w:left w:val="nil"/>
              <w:bottom w:val="nil"/>
              <w:right w:val="nil"/>
            </w:tcBorders>
            <w:vAlign w:val="center"/>
          </w:tcPr>
          <w:p>
            <w:pPr>
              <w:jc w:val="center"/>
              <w:rPr>
                <w:bCs/>
                <w:color w:val="000000"/>
                <w:szCs w:val="21"/>
              </w:rPr>
            </w:pPr>
            <w:r>
              <w:rPr>
                <w:bCs/>
                <w:color w:val="000000"/>
                <w:szCs w:val="21"/>
              </w:rPr>
              <w:t>291</w:t>
            </w:r>
          </w:p>
        </w:tc>
        <w:tc>
          <w:tcPr>
            <w:tcW w:w="1134" w:type="dxa"/>
            <w:tcBorders>
              <w:top w:val="nil"/>
              <w:left w:val="nil"/>
              <w:bottom w:val="nil"/>
              <w:right w:val="nil"/>
            </w:tcBorders>
            <w:vAlign w:val="center"/>
          </w:tcPr>
          <w:p>
            <w:pPr>
              <w:jc w:val="center"/>
              <w:rPr>
                <w:color w:val="000000"/>
                <w:szCs w:val="21"/>
              </w:rPr>
            </w:pPr>
            <w:r>
              <w:rPr>
                <w:color w:val="000000"/>
                <w:szCs w:val="21"/>
              </w:rPr>
              <w:t>SLC25A4</w:t>
            </w:r>
          </w:p>
        </w:tc>
        <w:tc>
          <w:tcPr>
            <w:tcW w:w="3119" w:type="dxa"/>
            <w:tcBorders>
              <w:top w:val="nil"/>
              <w:left w:val="nil"/>
              <w:bottom w:val="nil"/>
              <w:right w:val="nil"/>
            </w:tcBorders>
            <w:vAlign w:val="center"/>
          </w:tcPr>
          <w:p>
            <w:pPr>
              <w:jc w:val="center"/>
              <w:rPr>
                <w:color w:val="000000"/>
                <w:szCs w:val="21"/>
              </w:rPr>
            </w:pPr>
            <w:r>
              <w:rPr>
                <w:color w:val="000000"/>
                <w:szCs w:val="21"/>
              </w:rPr>
              <w:t>Energy reserve metabolic process</w:t>
            </w:r>
          </w:p>
        </w:tc>
        <w:tc>
          <w:tcPr>
            <w:tcW w:w="2835" w:type="dxa"/>
            <w:tcBorders>
              <w:top w:val="nil"/>
              <w:left w:val="nil"/>
              <w:bottom w:val="nil"/>
              <w:right w:val="nil"/>
            </w:tcBorders>
            <w:vAlign w:val="center"/>
          </w:tcPr>
          <w:p>
            <w:pPr>
              <w:jc w:val="center"/>
              <w:rPr>
                <w:color w:val="000000"/>
                <w:szCs w:val="21"/>
              </w:rPr>
            </w:pPr>
            <w:r>
              <w:rPr>
                <w:color w:val="000000"/>
                <w:szCs w:val="21"/>
              </w:rPr>
              <w:t>positive regulation of cell proliferation</w:t>
            </w:r>
          </w:p>
        </w:tc>
        <w:tc>
          <w:tcPr>
            <w:tcW w:w="2268" w:type="dxa"/>
            <w:tcBorders>
              <w:top w:val="nil"/>
              <w:left w:val="nil"/>
              <w:bottom w:val="nil"/>
              <w:right w:val="nil"/>
            </w:tcBorders>
            <w:vAlign w:val="center"/>
          </w:tcPr>
          <w:p>
            <w:pPr>
              <w:jc w:val="center"/>
              <w:rPr>
                <w:color w:val="000000"/>
                <w:szCs w:val="21"/>
              </w:rPr>
            </w:pPr>
            <w:r>
              <w:rPr>
                <w:color w:val="000000"/>
                <w:szCs w:val="21"/>
              </w:rPr>
              <w:t>protein binding</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016" w:type="dxa"/>
            <w:tcBorders>
              <w:top w:val="nil"/>
              <w:left w:val="nil"/>
              <w:bottom w:val="nil"/>
              <w:right w:val="nil"/>
            </w:tcBorders>
            <w:vAlign w:val="center"/>
          </w:tcPr>
          <w:p>
            <w:pPr>
              <w:spacing w:line="360" w:lineRule="auto"/>
              <w:jc w:val="center"/>
              <w:rPr>
                <w:color w:val="000000"/>
                <w:szCs w:val="21"/>
                <w:shd w:val="clear" w:color="auto" w:fill="FFFFFF"/>
              </w:rPr>
            </w:pPr>
            <w:r>
              <w:rPr>
                <w:color w:val="000000"/>
                <w:szCs w:val="21"/>
                <w:shd w:val="clear" w:color="auto" w:fill="FFFFFF"/>
              </w:rPr>
              <w:t>3419</w:t>
            </w:r>
          </w:p>
        </w:tc>
        <w:tc>
          <w:tcPr>
            <w:tcW w:w="1134" w:type="dxa"/>
            <w:tcBorders>
              <w:top w:val="nil"/>
              <w:left w:val="nil"/>
              <w:bottom w:val="nil"/>
              <w:right w:val="nil"/>
            </w:tcBorders>
            <w:vAlign w:val="center"/>
          </w:tcPr>
          <w:p>
            <w:pPr>
              <w:spacing w:line="360" w:lineRule="auto"/>
              <w:jc w:val="center"/>
              <w:rPr>
                <w:color w:val="000000"/>
                <w:szCs w:val="21"/>
              </w:rPr>
            </w:pPr>
            <w:r>
              <w:rPr>
                <w:color w:val="000000"/>
                <w:szCs w:val="21"/>
                <w:shd w:val="clear" w:color="auto" w:fill="FFFFFF"/>
              </w:rPr>
              <w:t>IDH3A</w:t>
            </w:r>
          </w:p>
        </w:tc>
        <w:tc>
          <w:tcPr>
            <w:tcW w:w="3119" w:type="dxa"/>
            <w:tcBorders>
              <w:top w:val="nil"/>
              <w:left w:val="nil"/>
              <w:bottom w:val="nil"/>
              <w:right w:val="nil"/>
            </w:tcBorders>
            <w:vAlign w:val="center"/>
          </w:tcPr>
          <w:p>
            <w:pPr>
              <w:spacing w:line="360" w:lineRule="auto"/>
              <w:jc w:val="center"/>
              <w:rPr>
                <w:szCs w:val="21"/>
              </w:rPr>
            </w:pPr>
            <w:r>
              <w:rPr>
                <w:szCs w:val="21"/>
              </w:rPr>
              <w:t>carbohydrate metabolic process</w:t>
            </w:r>
          </w:p>
        </w:tc>
        <w:tc>
          <w:tcPr>
            <w:tcW w:w="2835" w:type="dxa"/>
            <w:tcBorders>
              <w:top w:val="nil"/>
              <w:left w:val="nil"/>
              <w:bottom w:val="nil"/>
              <w:right w:val="nil"/>
            </w:tcBorders>
            <w:vAlign w:val="center"/>
          </w:tcPr>
          <w:p>
            <w:pPr>
              <w:spacing w:line="360" w:lineRule="auto"/>
              <w:jc w:val="center"/>
              <w:rPr>
                <w:szCs w:val="21"/>
              </w:rPr>
            </w:pPr>
            <w:r>
              <w:rPr>
                <w:szCs w:val="21"/>
              </w:rPr>
              <w:t>mitochondrial matrix</w:t>
            </w:r>
          </w:p>
        </w:tc>
        <w:tc>
          <w:tcPr>
            <w:tcW w:w="2268" w:type="dxa"/>
            <w:tcBorders>
              <w:top w:val="nil"/>
              <w:left w:val="nil"/>
              <w:bottom w:val="nil"/>
              <w:right w:val="nil"/>
            </w:tcBorders>
            <w:vAlign w:val="center"/>
          </w:tcPr>
          <w:p>
            <w:pPr>
              <w:spacing w:line="360" w:lineRule="auto"/>
              <w:jc w:val="center"/>
              <w:rPr>
                <w:color w:val="000000"/>
                <w:szCs w:val="21"/>
              </w:rPr>
            </w:pPr>
            <w:r>
              <w:rPr>
                <w:szCs w:val="21"/>
              </w:rPr>
              <w:t>NAD binding</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1016" w:type="dxa"/>
            <w:tcBorders>
              <w:top w:val="nil"/>
              <w:left w:val="nil"/>
              <w:bottom w:val="nil"/>
              <w:right w:val="nil"/>
            </w:tcBorders>
            <w:vAlign w:val="center"/>
          </w:tcPr>
          <w:p>
            <w:pPr>
              <w:spacing w:line="360" w:lineRule="auto"/>
              <w:jc w:val="center"/>
              <w:rPr>
                <w:color w:val="000000"/>
                <w:szCs w:val="21"/>
                <w:shd w:val="clear" w:color="auto" w:fill="FFFFFF"/>
              </w:rPr>
            </w:pPr>
            <w:r>
              <w:rPr>
                <w:color w:val="000000"/>
                <w:szCs w:val="21"/>
                <w:shd w:val="clear" w:color="auto" w:fill="FFFFFF"/>
              </w:rPr>
              <w:t>5261</w:t>
            </w:r>
          </w:p>
        </w:tc>
        <w:tc>
          <w:tcPr>
            <w:tcW w:w="1134" w:type="dxa"/>
            <w:tcBorders>
              <w:top w:val="nil"/>
              <w:left w:val="nil"/>
              <w:bottom w:val="nil"/>
              <w:right w:val="nil"/>
            </w:tcBorders>
            <w:vAlign w:val="center"/>
          </w:tcPr>
          <w:p>
            <w:pPr>
              <w:spacing w:line="360" w:lineRule="auto"/>
              <w:jc w:val="center"/>
              <w:rPr>
                <w:color w:val="000000"/>
                <w:szCs w:val="21"/>
              </w:rPr>
            </w:pPr>
            <w:r>
              <w:rPr>
                <w:color w:val="000000"/>
                <w:szCs w:val="21"/>
                <w:shd w:val="clear" w:color="auto" w:fill="FFFFFF"/>
              </w:rPr>
              <w:t>PHKG2</w:t>
            </w:r>
          </w:p>
        </w:tc>
        <w:tc>
          <w:tcPr>
            <w:tcW w:w="3119" w:type="dxa"/>
            <w:tcBorders>
              <w:top w:val="nil"/>
              <w:left w:val="nil"/>
              <w:bottom w:val="nil"/>
              <w:right w:val="nil"/>
            </w:tcBorders>
            <w:vAlign w:val="center"/>
          </w:tcPr>
          <w:p>
            <w:pPr>
              <w:spacing w:line="360" w:lineRule="auto"/>
              <w:jc w:val="center"/>
              <w:rPr>
                <w:szCs w:val="21"/>
              </w:rPr>
            </w:pPr>
            <w:r>
              <w:rPr>
                <w:szCs w:val="21"/>
              </w:rPr>
              <w:t>carbohydrate metabolic process</w:t>
            </w:r>
          </w:p>
        </w:tc>
        <w:tc>
          <w:tcPr>
            <w:tcW w:w="2835" w:type="dxa"/>
            <w:tcBorders>
              <w:top w:val="nil"/>
              <w:left w:val="nil"/>
              <w:bottom w:val="nil"/>
              <w:right w:val="nil"/>
            </w:tcBorders>
            <w:vAlign w:val="center"/>
          </w:tcPr>
          <w:p>
            <w:pPr>
              <w:spacing w:line="360" w:lineRule="auto"/>
              <w:jc w:val="center"/>
              <w:rPr>
                <w:szCs w:val="21"/>
              </w:rPr>
            </w:pPr>
            <w:r>
              <w:rPr>
                <w:szCs w:val="21"/>
              </w:rPr>
              <w:t>phosphorylase kinase complex</w:t>
            </w:r>
          </w:p>
        </w:tc>
        <w:tc>
          <w:tcPr>
            <w:tcW w:w="2268" w:type="dxa"/>
            <w:tcBorders>
              <w:top w:val="nil"/>
              <w:left w:val="nil"/>
              <w:bottom w:val="nil"/>
              <w:right w:val="nil"/>
            </w:tcBorders>
            <w:vAlign w:val="center"/>
          </w:tcPr>
          <w:p>
            <w:pPr>
              <w:spacing w:line="360" w:lineRule="auto"/>
              <w:jc w:val="center"/>
              <w:rPr>
                <w:szCs w:val="21"/>
              </w:rPr>
            </w:pPr>
            <w:r>
              <w:rPr>
                <w:szCs w:val="21"/>
              </w:rPr>
              <w:t>ATP binding</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 w:hRule="atLeast"/>
          <w:jc w:val="center"/>
        </w:trPr>
        <w:tc>
          <w:tcPr>
            <w:tcW w:w="1016" w:type="dxa"/>
            <w:tcBorders>
              <w:top w:val="nil"/>
              <w:left w:val="nil"/>
              <w:bottom w:val="nil"/>
              <w:right w:val="nil"/>
            </w:tcBorders>
            <w:vAlign w:val="center"/>
          </w:tcPr>
          <w:p>
            <w:pPr>
              <w:jc w:val="center"/>
              <w:rPr>
                <w:color w:val="000000"/>
                <w:szCs w:val="21"/>
                <w:shd w:val="clear" w:color="auto" w:fill="FFFFFF"/>
              </w:rPr>
            </w:pPr>
            <w:r>
              <w:rPr>
                <w:color w:val="000000"/>
                <w:szCs w:val="21"/>
                <w:shd w:val="clear" w:color="auto" w:fill="FFFFFF"/>
              </w:rPr>
              <w:t>27089</w:t>
            </w:r>
          </w:p>
        </w:tc>
        <w:tc>
          <w:tcPr>
            <w:tcW w:w="1134" w:type="dxa"/>
            <w:tcBorders>
              <w:top w:val="nil"/>
              <w:left w:val="nil"/>
              <w:bottom w:val="nil"/>
              <w:right w:val="nil"/>
            </w:tcBorders>
            <w:vAlign w:val="center"/>
          </w:tcPr>
          <w:p>
            <w:pPr>
              <w:jc w:val="center"/>
              <w:rPr>
                <w:color w:val="000000"/>
                <w:szCs w:val="21"/>
              </w:rPr>
            </w:pPr>
            <w:r>
              <w:rPr>
                <w:color w:val="000000"/>
                <w:szCs w:val="21"/>
                <w:shd w:val="clear" w:color="auto" w:fill="FFFFFF"/>
              </w:rPr>
              <w:t>UQCRQ</w:t>
            </w:r>
          </w:p>
        </w:tc>
        <w:tc>
          <w:tcPr>
            <w:tcW w:w="3119" w:type="dxa"/>
            <w:tcBorders>
              <w:top w:val="nil"/>
              <w:left w:val="nil"/>
              <w:bottom w:val="nil"/>
              <w:right w:val="nil"/>
            </w:tcBorders>
            <w:vAlign w:val="center"/>
          </w:tcPr>
          <w:p>
            <w:pPr>
              <w:jc w:val="center"/>
              <w:rPr>
                <w:szCs w:val="21"/>
              </w:rPr>
            </w:pPr>
            <w:r>
              <w:rPr>
                <w:szCs w:val="21"/>
              </w:rPr>
              <w:t>cellular metabolic process</w:t>
            </w:r>
          </w:p>
        </w:tc>
        <w:tc>
          <w:tcPr>
            <w:tcW w:w="2835" w:type="dxa"/>
            <w:tcBorders>
              <w:top w:val="nil"/>
              <w:left w:val="nil"/>
              <w:bottom w:val="nil"/>
              <w:right w:val="nil"/>
            </w:tcBorders>
            <w:vAlign w:val="center"/>
          </w:tcPr>
          <w:p>
            <w:pPr>
              <w:jc w:val="center"/>
              <w:rPr>
                <w:szCs w:val="21"/>
              </w:rPr>
            </w:pPr>
            <w:r>
              <w:rPr>
                <w:szCs w:val="21"/>
              </w:rPr>
              <w:t>mitochondrial inner membrane</w:t>
            </w:r>
          </w:p>
        </w:tc>
        <w:tc>
          <w:tcPr>
            <w:tcW w:w="2268" w:type="dxa"/>
            <w:tcBorders>
              <w:top w:val="nil"/>
              <w:left w:val="nil"/>
              <w:bottom w:val="nil"/>
              <w:right w:val="nil"/>
            </w:tcBorders>
            <w:vAlign w:val="center"/>
          </w:tcPr>
          <w:p>
            <w:pPr>
              <w:jc w:val="center"/>
              <w:rPr>
                <w:szCs w:val="21"/>
              </w:rPr>
            </w:pPr>
            <w:r>
              <w:rPr>
                <w:szCs w:val="21"/>
              </w:rPr>
              <w:t>ubiquinol-cytochrome-c reductase activity</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 w:hRule="atLeast"/>
          <w:jc w:val="center"/>
        </w:trPr>
        <w:tc>
          <w:tcPr>
            <w:tcW w:w="1016" w:type="dxa"/>
            <w:tcBorders>
              <w:top w:val="nil"/>
              <w:left w:val="nil"/>
              <w:bottom w:val="nil"/>
              <w:right w:val="nil"/>
            </w:tcBorders>
            <w:vAlign w:val="center"/>
          </w:tcPr>
          <w:p>
            <w:pPr>
              <w:spacing w:line="360" w:lineRule="auto"/>
              <w:jc w:val="center"/>
              <w:rPr>
                <w:color w:val="000000"/>
                <w:szCs w:val="21"/>
                <w:shd w:val="clear" w:color="auto" w:fill="FFFFFF"/>
              </w:rPr>
            </w:pPr>
            <w:r>
              <w:rPr>
                <w:color w:val="000000"/>
                <w:szCs w:val="21"/>
                <w:shd w:val="clear" w:color="auto" w:fill="FFFFFF"/>
              </w:rPr>
              <w:t>407183</w:t>
            </w:r>
          </w:p>
        </w:tc>
        <w:tc>
          <w:tcPr>
            <w:tcW w:w="1134" w:type="dxa"/>
            <w:tcBorders>
              <w:top w:val="nil"/>
              <w:left w:val="nil"/>
              <w:bottom w:val="nil"/>
              <w:right w:val="nil"/>
            </w:tcBorders>
            <w:vAlign w:val="center"/>
          </w:tcPr>
          <w:p>
            <w:pPr>
              <w:spacing w:line="360" w:lineRule="auto"/>
              <w:jc w:val="center"/>
              <w:rPr>
                <w:color w:val="000000"/>
                <w:szCs w:val="21"/>
              </w:rPr>
            </w:pPr>
            <w:r>
              <w:rPr>
                <w:color w:val="000000"/>
                <w:szCs w:val="21"/>
                <w:shd w:val="clear" w:color="auto" w:fill="FFFFFF"/>
              </w:rPr>
              <w:t>PFKFB3</w:t>
            </w:r>
          </w:p>
        </w:tc>
        <w:tc>
          <w:tcPr>
            <w:tcW w:w="3119" w:type="dxa"/>
            <w:tcBorders>
              <w:top w:val="nil"/>
              <w:left w:val="nil"/>
              <w:bottom w:val="nil"/>
              <w:right w:val="nil"/>
            </w:tcBorders>
            <w:vAlign w:val="center"/>
          </w:tcPr>
          <w:p>
            <w:pPr>
              <w:spacing w:line="360" w:lineRule="auto"/>
              <w:jc w:val="center"/>
              <w:rPr>
                <w:color w:val="000000"/>
                <w:szCs w:val="21"/>
                <w:shd w:val="clear" w:color="auto" w:fill="FFFFFF"/>
              </w:rPr>
            </w:pPr>
            <w:r>
              <w:rPr>
                <w:color w:val="000000"/>
                <w:szCs w:val="21"/>
                <w:shd w:val="clear" w:color="auto" w:fill="FFFFFF"/>
              </w:rPr>
              <w:t>fructose metabolic process</w:t>
            </w:r>
          </w:p>
        </w:tc>
        <w:tc>
          <w:tcPr>
            <w:tcW w:w="2835" w:type="dxa"/>
            <w:tcBorders>
              <w:top w:val="nil"/>
              <w:left w:val="nil"/>
              <w:bottom w:val="nil"/>
              <w:right w:val="nil"/>
            </w:tcBorders>
            <w:vAlign w:val="center"/>
          </w:tcPr>
          <w:p>
            <w:pPr>
              <w:spacing w:line="360" w:lineRule="auto"/>
              <w:jc w:val="center"/>
              <w:rPr>
                <w:color w:val="000000"/>
                <w:szCs w:val="21"/>
                <w:shd w:val="clear" w:color="auto" w:fill="FFFFFF"/>
              </w:rPr>
            </w:pPr>
            <w:r>
              <w:rPr>
                <w:color w:val="000000"/>
                <w:szCs w:val="21"/>
                <w:shd w:val="clear" w:color="auto" w:fill="FFFFFF"/>
              </w:rPr>
              <w:t>cytoplasm</w:t>
            </w:r>
          </w:p>
        </w:tc>
        <w:tc>
          <w:tcPr>
            <w:tcW w:w="2268" w:type="dxa"/>
            <w:tcBorders>
              <w:top w:val="nil"/>
              <w:left w:val="nil"/>
              <w:bottom w:val="nil"/>
              <w:right w:val="nil"/>
            </w:tcBorders>
            <w:vAlign w:val="center"/>
          </w:tcPr>
          <w:p>
            <w:pPr>
              <w:spacing w:line="360" w:lineRule="auto"/>
              <w:jc w:val="center"/>
              <w:rPr>
                <w:color w:val="000000"/>
                <w:szCs w:val="21"/>
                <w:shd w:val="clear" w:color="auto" w:fill="FFFFFF"/>
              </w:rPr>
            </w:pPr>
            <w:r>
              <w:fldChar w:fldCharType="begin"/>
            </w:r>
            <w:r>
              <w:instrText xml:space="preserve"> HYPERLINK "http://amigo.geneontology.org/amigo/term/GO:0005524" </w:instrText>
            </w:r>
            <w:r>
              <w:fldChar w:fldCharType="separate"/>
            </w:r>
            <w:r>
              <w:rPr>
                <w:rStyle w:val="11"/>
                <w:color w:val="000000"/>
                <w:szCs w:val="21"/>
                <w:shd w:val="clear" w:color="auto" w:fill="FFFFFF"/>
              </w:rPr>
              <w:t>ATP binding</w:t>
            </w:r>
            <w:r>
              <w:rPr>
                <w:rStyle w:val="11"/>
                <w:color w:val="000000"/>
                <w:szCs w:val="21"/>
                <w:shd w:val="clear" w:color="auto" w:fill="FFFFFF"/>
              </w:rPr>
              <w:fldChar w:fldCharType="end"/>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 w:hRule="atLeast"/>
          <w:jc w:val="center"/>
        </w:trPr>
        <w:tc>
          <w:tcPr>
            <w:tcW w:w="1016" w:type="dxa"/>
            <w:tcBorders>
              <w:top w:val="nil"/>
              <w:left w:val="nil"/>
              <w:bottom w:val="single" w:color="auto" w:sz="12" w:space="0"/>
              <w:right w:val="nil"/>
            </w:tcBorders>
            <w:vAlign w:val="center"/>
          </w:tcPr>
          <w:p>
            <w:pPr>
              <w:jc w:val="center"/>
              <w:rPr>
                <w:color w:val="000000"/>
                <w:szCs w:val="21"/>
                <w:shd w:val="clear" w:color="auto" w:fill="FFFFFF"/>
              </w:rPr>
            </w:pPr>
            <w:r>
              <w:rPr>
                <w:color w:val="000000"/>
                <w:szCs w:val="21"/>
                <w:shd w:val="clear" w:color="auto" w:fill="FFFFFF"/>
              </w:rPr>
              <w:t>402</w:t>
            </w:r>
          </w:p>
        </w:tc>
        <w:tc>
          <w:tcPr>
            <w:tcW w:w="1134" w:type="dxa"/>
            <w:tcBorders>
              <w:top w:val="nil"/>
              <w:left w:val="nil"/>
              <w:bottom w:val="single" w:color="auto" w:sz="12" w:space="0"/>
              <w:right w:val="nil"/>
            </w:tcBorders>
            <w:vAlign w:val="center"/>
          </w:tcPr>
          <w:p>
            <w:pPr>
              <w:jc w:val="center"/>
              <w:rPr>
                <w:color w:val="000000"/>
                <w:szCs w:val="21"/>
                <w:shd w:val="clear" w:color="auto" w:fill="FFFFFF"/>
              </w:rPr>
            </w:pPr>
            <w:r>
              <w:rPr>
                <w:color w:val="000000"/>
                <w:szCs w:val="21"/>
                <w:shd w:val="clear" w:color="auto" w:fill="FFFFFF"/>
              </w:rPr>
              <w:t>ARL2</w:t>
            </w:r>
          </w:p>
        </w:tc>
        <w:tc>
          <w:tcPr>
            <w:tcW w:w="3119" w:type="dxa"/>
            <w:tcBorders>
              <w:top w:val="nil"/>
              <w:left w:val="nil"/>
              <w:bottom w:val="single" w:color="auto" w:sz="12" w:space="0"/>
              <w:right w:val="nil"/>
            </w:tcBorders>
            <w:vAlign w:val="center"/>
          </w:tcPr>
          <w:p>
            <w:pPr>
              <w:jc w:val="center"/>
              <w:rPr>
                <w:color w:val="000000"/>
                <w:szCs w:val="21"/>
                <w:shd w:val="clear" w:color="auto" w:fill="FFFFFF"/>
              </w:rPr>
            </w:pPr>
            <w:r>
              <w:rPr>
                <w:color w:val="000000"/>
                <w:szCs w:val="21"/>
                <w:shd w:val="clear" w:color="auto" w:fill="FFFFFF"/>
              </w:rPr>
              <w:t>small GTPase mediated signal transduction</w:t>
            </w:r>
          </w:p>
        </w:tc>
        <w:tc>
          <w:tcPr>
            <w:tcW w:w="2835" w:type="dxa"/>
            <w:tcBorders>
              <w:top w:val="nil"/>
              <w:left w:val="nil"/>
              <w:bottom w:val="single" w:color="auto" w:sz="12" w:space="0"/>
              <w:right w:val="nil"/>
            </w:tcBorders>
            <w:vAlign w:val="center"/>
          </w:tcPr>
          <w:p>
            <w:pPr>
              <w:jc w:val="center"/>
              <w:rPr>
                <w:color w:val="000000"/>
                <w:szCs w:val="21"/>
                <w:shd w:val="clear" w:color="auto" w:fill="FFFFFF"/>
              </w:rPr>
            </w:pPr>
            <w:r>
              <w:rPr>
                <w:color w:val="000000"/>
                <w:szCs w:val="21"/>
                <w:shd w:val="clear" w:color="auto" w:fill="FFFFFF"/>
              </w:rPr>
              <w:t>mitochondrial intermembrane space</w:t>
            </w:r>
          </w:p>
        </w:tc>
        <w:tc>
          <w:tcPr>
            <w:tcW w:w="2268" w:type="dxa"/>
            <w:tcBorders>
              <w:top w:val="nil"/>
              <w:left w:val="nil"/>
              <w:bottom w:val="single" w:color="auto" w:sz="12" w:space="0"/>
              <w:right w:val="nil"/>
            </w:tcBorders>
            <w:vAlign w:val="center"/>
          </w:tcPr>
          <w:p>
            <w:pPr>
              <w:jc w:val="center"/>
              <w:rPr>
                <w:color w:val="000000"/>
                <w:szCs w:val="21"/>
                <w:shd w:val="clear" w:color="auto" w:fill="FFFFFF"/>
              </w:rPr>
            </w:pPr>
            <w:r>
              <w:rPr>
                <w:color w:val="000000"/>
                <w:szCs w:val="21"/>
                <w:shd w:val="clear" w:color="auto" w:fill="FFFFFF"/>
              </w:rPr>
              <w:t>GTP binding</w:t>
            </w:r>
          </w:p>
        </w:tc>
      </w:tr>
    </w:tbl>
    <w:p>
      <w:pPr>
        <w:spacing w:line="480" w:lineRule="auto"/>
        <w:rPr>
          <w:sz w:val="24"/>
          <w:szCs w:val="24"/>
        </w:rPr>
      </w:pPr>
      <w:r>
        <w:rPr>
          <w:sz w:val="24"/>
          <w:szCs w:val="24"/>
        </w:rPr>
        <w:t>Gene products have several functions, which have many GO terms, but only one is included in the table.Biological process, cellular component, and molecular functions predicted by the GO annotation system and Uniprot database.</w:t>
      </w:r>
    </w:p>
    <w:p>
      <w:pPr>
        <w:rPr>
          <w:sz w:val="24"/>
          <w:szCs w:val="24"/>
        </w:rPr>
      </w:pPr>
      <w:r>
        <w:rPr>
          <w:sz w:val="24"/>
          <w:szCs w:val="24"/>
        </w:rPr>
        <w:br w:type="page"/>
      </w:r>
    </w:p>
    <w:p>
      <w:pPr>
        <w:spacing w:line="480" w:lineRule="auto"/>
        <w:rPr>
          <w:rFonts w:hint="eastAsia"/>
          <w:b/>
          <w:bCs/>
          <w:sz w:val="24"/>
          <w:szCs w:val="24"/>
        </w:rPr>
      </w:pPr>
      <w:r>
        <w:rPr>
          <w:b/>
          <w:bCs/>
          <w:sz w:val="24"/>
          <w:szCs w:val="24"/>
        </w:rPr>
        <w:t xml:space="preserve">Supplementary </w:t>
      </w:r>
      <w:r>
        <w:rPr>
          <w:rFonts w:hint="eastAsia"/>
          <w:b/>
          <w:bCs/>
          <w:sz w:val="24"/>
          <w:szCs w:val="24"/>
          <w:lang w:val="en-US" w:eastAsia="zh-CN"/>
        </w:rPr>
        <w:t>Figure S1</w:t>
      </w:r>
      <w:r>
        <w:rPr>
          <w:b/>
          <w:bCs/>
          <w:sz w:val="24"/>
          <w:szCs w:val="24"/>
        </w:rPr>
        <w:t xml:space="preserve">. </w:t>
      </w:r>
      <w:r>
        <w:rPr>
          <w:rFonts w:hint="eastAsia"/>
          <w:b/>
          <w:bCs/>
          <w:sz w:val="24"/>
          <w:szCs w:val="24"/>
        </w:rPr>
        <w:t xml:space="preserve">DEG expression level of HSV-1 and HSV-1 </w:t>
      </w:r>
      <w:r>
        <w:rPr>
          <w:rFonts w:hint="eastAsia"/>
          <w:b/>
          <w:bCs/>
          <w:sz w:val="24"/>
          <w:szCs w:val="24"/>
          <w:lang w:val="en-US" w:eastAsia="zh-CN"/>
        </w:rPr>
        <w:t>△</w:t>
      </w:r>
      <w:r>
        <w:rPr>
          <w:rFonts w:hint="eastAsia"/>
          <w:b/>
          <w:bCs/>
          <w:sz w:val="24"/>
          <w:szCs w:val="24"/>
        </w:rPr>
        <w:t xml:space="preserve">UL43 </w:t>
      </w:r>
      <w:r>
        <w:rPr>
          <w:rFonts w:hint="eastAsia"/>
          <w:b/>
          <w:bCs/>
          <w:sz w:val="24"/>
          <w:szCs w:val="24"/>
          <w:lang w:val="en-US" w:eastAsia="zh-CN"/>
        </w:rPr>
        <w:t xml:space="preserve">tested </w:t>
      </w:r>
      <w:r>
        <w:rPr>
          <w:rFonts w:hint="eastAsia"/>
          <w:b/>
          <w:bCs/>
          <w:sz w:val="24"/>
          <w:szCs w:val="24"/>
        </w:rPr>
        <w:t>by qRT</w:t>
      </w:r>
      <w:r>
        <w:rPr>
          <w:rFonts w:hint="eastAsia"/>
          <w:b/>
          <w:bCs/>
          <w:sz w:val="24"/>
          <w:szCs w:val="24"/>
          <w:lang w:val="en-US" w:eastAsia="zh-CN"/>
        </w:rPr>
        <w:t>-</w:t>
      </w:r>
      <w:r>
        <w:rPr>
          <w:rFonts w:hint="eastAsia"/>
          <w:b/>
          <w:bCs/>
          <w:sz w:val="24"/>
          <w:szCs w:val="24"/>
        </w:rPr>
        <w:t>PCR</w:t>
      </w:r>
    </w:p>
    <w:p>
      <w:pPr>
        <w:spacing w:line="480" w:lineRule="auto"/>
        <w:jc w:val="center"/>
        <w:rPr>
          <w:rFonts w:hint="eastAsia" w:eastAsia="宋体"/>
          <w:b/>
          <w:bCs/>
          <w:sz w:val="24"/>
          <w:szCs w:val="24"/>
          <w:lang w:eastAsia="zh-CN"/>
        </w:rPr>
      </w:pPr>
      <w:r>
        <w:rPr>
          <w:rFonts w:hint="eastAsia" w:eastAsia="宋体"/>
          <w:b/>
          <w:bCs/>
          <w:sz w:val="24"/>
          <w:szCs w:val="24"/>
          <w:lang w:eastAsia="zh-CN"/>
        </w:rPr>
        <w:drawing>
          <wp:inline distT="0" distB="0" distL="114300" distR="114300">
            <wp:extent cx="3815715" cy="4259580"/>
            <wp:effectExtent l="0" t="0" r="6985" b="762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4"/>
                    <a:srcRect r="8968"/>
                    <a:stretch>
                      <a:fillRect/>
                    </a:stretch>
                  </pic:blipFill>
                  <pic:spPr>
                    <a:xfrm>
                      <a:off x="0" y="0"/>
                      <a:ext cx="3815715" cy="4259580"/>
                    </a:xfrm>
                    <a:prstGeom prst="rect">
                      <a:avLst/>
                    </a:prstGeom>
                  </pic:spPr>
                </pic:pic>
              </a:graphicData>
            </a:graphic>
          </wp:inline>
        </w:drawing>
      </w:r>
    </w:p>
    <w:p>
      <w:pPr>
        <w:spacing w:line="480" w:lineRule="auto"/>
        <w:rPr>
          <w:sz w:val="24"/>
          <w:szCs w:val="24"/>
        </w:rPr>
      </w:pPr>
    </w:p>
    <w:p>
      <w:pPr>
        <w:spacing w:line="480" w:lineRule="auto"/>
        <w:ind w:left="-1418" w:leftChars="-675" w:firstLine="1417" w:firstLineChars="675"/>
        <w:rPr>
          <w:color w:val="FF0000"/>
          <w:szCs w:val="21"/>
        </w:rPr>
      </w:pPr>
    </w:p>
    <w:p>
      <w:pPr>
        <w:spacing w:line="480" w:lineRule="auto"/>
        <w:ind w:left="-1418" w:leftChars="-675" w:firstLine="1417" w:firstLineChars="675"/>
        <w:rPr>
          <w:color w:val="FF0000"/>
          <w:szCs w:val="21"/>
        </w:rPr>
      </w:pPr>
    </w:p>
    <w:p>
      <w:pPr>
        <w:spacing w:line="480" w:lineRule="auto"/>
        <w:ind w:left="-1418" w:leftChars="-675" w:firstLine="1417" w:firstLineChars="675"/>
        <w:rPr>
          <w:color w:val="FF0000"/>
          <w:szCs w:val="21"/>
        </w:rPr>
      </w:pPr>
    </w:p>
    <w:p>
      <w:pPr>
        <w:spacing w:line="480" w:lineRule="auto"/>
        <w:ind w:left="-1418" w:leftChars="-675" w:firstLine="1417" w:firstLineChars="675"/>
        <w:rPr>
          <w:color w:val="FF0000"/>
          <w:szCs w:val="21"/>
        </w:rPr>
      </w:pPr>
    </w:p>
    <w:p>
      <w:pPr>
        <w:spacing w:line="480" w:lineRule="auto"/>
        <w:ind w:left="-1418" w:leftChars="-675" w:firstLine="1417" w:firstLineChars="675"/>
        <w:rPr>
          <w:color w:val="FF0000"/>
          <w:szCs w:val="21"/>
        </w:rPr>
      </w:pPr>
      <w:r>
        <w:rPr>
          <w:color w:val="FF0000"/>
          <w:szCs w:val="21"/>
        </w:rPr>
        <w:t xml:space="preserve"> </w:t>
      </w:r>
    </w:p>
    <w:p>
      <w:pPr>
        <w:pStyle w:val="2"/>
        <w:shd w:val="clear" w:color="auto" w:fill="FFFFFF"/>
        <w:rPr>
          <w:rFonts w:ascii="Times New Roman" w:hAnsi="Times New Roman"/>
          <w:sz w:val="24"/>
          <w:szCs w:val="24"/>
        </w:rPr>
      </w:pPr>
      <w:r>
        <w:rPr>
          <w:rFonts w:ascii="Times New Roman" w:hAnsi="Times New Roman"/>
          <w:color w:val="FF0000"/>
          <w:szCs w:val="21"/>
        </w:rPr>
        <w:br w:type="page"/>
      </w:r>
      <w:r>
        <w:rPr>
          <w:rFonts w:ascii="Times New Roman" w:hAnsi="Times New Roman"/>
          <w:sz w:val="24"/>
          <w:szCs w:val="24"/>
        </w:rPr>
        <w:t xml:space="preserve">Supplementary Table </w:t>
      </w:r>
      <w:r>
        <w:rPr>
          <w:rFonts w:hint="eastAsia" w:ascii="Times New Roman" w:hAnsi="Times New Roman"/>
          <w:sz w:val="24"/>
          <w:szCs w:val="24"/>
          <w:lang w:val="en-US" w:eastAsia="zh-CN"/>
        </w:rPr>
        <w:t>S</w:t>
      </w:r>
      <w:r>
        <w:rPr>
          <w:rFonts w:ascii="Times New Roman" w:hAnsi="Times New Roman"/>
          <w:sz w:val="24"/>
          <w:szCs w:val="24"/>
        </w:rPr>
        <w:t>3. Peptide</w:t>
      </w:r>
      <w:r>
        <w:rPr>
          <w:rFonts w:hint="eastAsia" w:ascii="Times New Roman" w:hAnsi="Times New Roman"/>
          <w:sz w:val="24"/>
          <w:szCs w:val="24"/>
          <w:lang w:val="en-US" w:eastAsia="zh-CN"/>
        </w:rPr>
        <w:t xml:space="preserve"> </w:t>
      </w:r>
      <w:r>
        <w:rPr>
          <w:rFonts w:ascii="Times New Roman" w:hAnsi="Times New Roman"/>
          <w:sz w:val="24"/>
          <w:szCs w:val="24"/>
        </w:rPr>
        <w:t xml:space="preserve">Mass </w:t>
      </w:r>
      <w:r>
        <w:rPr>
          <w:rFonts w:hint="eastAsia" w:ascii="Times New Roman" w:hAnsi="Times New Roman"/>
          <w:sz w:val="24"/>
          <w:szCs w:val="24"/>
        </w:rPr>
        <w:t>of</w:t>
      </w:r>
      <w:r>
        <w:rPr>
          <w:rFonts w:ascii="Times New Roman" w:hAnsi="Times New Roman"/>
          <w:sz w:val="24"/>
          <w:szCs w:val="24"/>
        </w:rPr>
        <w:t xml:space="preserve"> ARL2</w:t>
      </w:r>
    </w:p>
    <w:p>
      <w:pPr>
        <w:widowControl/>
        <w:spacing w:line="360" w:lineRule="auto"/>
        <w:rPr>
          <w:sz w:val="24"/>
          <w:szCs w:val="24"/>
        </w:rPr>
      </w:pPr>
      <w:r>
        <w:rPr>
          <w:sz w:val="24"/>
          <w:szCs w:val="24"/>
        </w:rPr>
        <w:t>The entered protein is: Q19705</w:t>
      </w:r>
    </w:p>
    <w:p>
      <w:pPr>
        <w:widowControl/>
        <w:shd w:val="clear" w:color="auto" w:fill="FFFFFF"/>
        <w:spacing w:line="360" w:lineRule="auto"/>
        <w:rPr>
          <w:sz w:val="24"/>
          <w:szCs w:val="24"/>
        </w:rPr>
      </w:pPr>
      <w:r>
        <w:rPr>
          <w:sz w:val="24"/>
          <w:szCs w:val="24"/>
        </w:rPr>
        <w:t>The selected enzyme is: Trypsin</w:t>
      </w:r>
    </w:p>
    <w:p>
      <w:pPr>
        <w:widowControl/>
        <w:shd w:val="clear" w:color="auto" w:fill="FFFFFF"/>
        <w:spacing w:line="360" w:lineRule="auto"/>
        <w:rPr>
          <w:sz w:val="24"/>
          <w:szCs w:val="24"/>
        </w:rPr>
      </w:pPr>
      <w:r>
        <w:rPr>
          <w:sz w:val="24"/>
          <w:szCs w:val="24"/>
        </w:rPr>
        <w:t>Maximum number of missed cleavages (MC): 0</w:t>
      </w:r>
    </w:p>
    <w:p>
      <w:pPr>
        <w:widowControl/>
        <w:shd w:val="clear" w:color="auto" w:fill="FFFFFF"/>
        <w:spacing w:line="360" w:lineRule="auto"/>
        <w:rPr>
          <w:sz w:val="24"/>
          <w:szCs w:val="24"/>
        </w:rPr>
      </w:pPr>
      <w:r>
        <w:rPr>
          <w:sz w:val="24"/>
          <w:szCs w:val="24"/>
        </w:rPr>
        <w:t>All cysteines in reduced form.</w:t>
      </w:r>
    </w:p>
    <w:p>
      <w:pPr>
        <w:widowControl/>
        <w:shd w:val="clear" w:color="auto" w:fill="FFFFFF"/>
        <w:spacing w:line="360" w:lineRule="auto"/>
        <w:rPr>
          <w:sz w:val="24"/>
          <w:szCs w:val="24"/>
        </w:rPr>
      </w:pPr>
      <w:r>
        <w:rPr>
          <w:sz w:val="24"/>
          <w:szCs w:val="24"/>
        </w:rPr>
        <w:t>Methionines have not been oxidized.</w:t>
      </w:r>
    </w:p>
    <w:p>
      <w:pPr>
        <w:widowControl/>
        <w:shd w:val="clear" w:color="auto" w:fill="FFFFFF"/>
        <w:spacing w:line="360" w:lineRule="auto"/>
        <w:rPr>
          <w:sz w:val="24"/>
          <w:szCs w:val="24"/>
        </w:rPr>
      </w:pPr>
      <w:r>
        <w:rPr>
          <w:sz w:val="24"/>
          <w:szCs w:val="24"/>
        </w:rPr>
        <w:t>Displaying peptides with a mass bigger than 500 Dalton.</w:t>
      </w:r>
    </w:p>
    <w:p>
      <w:pPr>
        <w:widowControl/>
        <w:shd w:val="clear" w:color="auto" w:fill="FFFFFF"/>
        <w:spacing w:line="360" w:lineRule="auto"/>
        <w:rPr>
          <w:sz w:val="24"/>
          <w:szCs w:val="24"/>
        </w:rPr>
      </w:pPr>
      <w:r>
        <w:rPr>
          <w:sz w:val="24"/>
          <w:szCs w:val="24"/>
        </w:rPr>
        <w:t>Using monoisotopic masses of the occurring amino acid residues and giving peptide masses as [M+H]+ .</w:t>
      </w:r>
    </w:p>
    <w:p>
      <w:pPr>
        <w:widowControl/>
        <w:shd w:val="clear" w:color="auto" w:fill="FFFFFF"/>
        <w:spacing w:line="360" w:lineRule="auto"/>
        <w:rPr>
          <w:sz w:val="24"/>
          <w:szCs w:val="24"/>
        </w:rPr>
      </w:pPr>
      <w:r>
        <w:rPr>
          <w:sz w:val="24"/>
          <w:szCs w:val="24"/>
        </w:rPr>
        <w:t>Chain ADP-ribosylation factor-like protein 2 at positions (Q19705) [Theoretical pI: 6.48 / Mw (average mass): 20868.13 / Mw (monoisotopic mass): 20854.91]</w:t>
      </w:r>
    </w:p>
    <w:tbl>
      <w:tblPr>
        <w:tblStyle w:val="9"/>
        <w:tblW w:w="7659"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22"/>
        <w:gridCol w:w="1322"/>
        <w:gridCol w:w="441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2"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313233"/>
                <w:szCs w:val="21"/>
                <w:shd w:val="clear" w:color="auto" w:fill="FFFFFF"/>
              </w:rPr>
            </w:pPr>
            <w:r>
              <w:rPr>
                <w:b/>
                <w:bCs/>
                <w:color w:val="000000"/>
                <w:szCs w:val="21"/>
              </w:rPr>
              <w:t>mass</w:t>
            </w:r>
          </w:p>
        </w:tc>
        <w:tc>
          <w:tcPr>
            <w:tcW w:w="1322" w:type="dxa"/>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313233"/>
                <w:szCs w:val="21"/>
                <w:shd w:val="clear" w:color="auto" w:fill="FFFFFF"/>
              </w:rPr>
            </w:pPr>
            <w:r>
              <w:rPr>
                <w:b/>
                <w:bCs/>
                <w:color w:val="000000"/>
                <w:szCs w:val="21"/>
              </w:rPr>
              <w:t>position</w:t>
            </w:r>
          </w:p>
        </w:tc>
        <w:tc>
          <w:tcPr>
            <w:tcW w:w="4415"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313233"/>
                <w:szCs w:val="21"/>
                <w:shd w:val="clear" w:color="auto" w:fill="FFFFFF"/>
              </w:rPr>
            </w:pPr>
            <w:r>
              <w:rPr>
                <w:b/>
                <w:bCs/>
                <w:color w:val="000000"/>
                <w:szCs w:val="21"/>
              </w:rPr>
              <w:t>peptide sequence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922" w:type="dxa"/>
            <w:tcBorders>
              <w:top w:val="single" w:color="auto" w:sz="4" w:space="0"/>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313233"/>
                <w:szCs w:val="21"/>
                <w:shd w:val="clear" w:color="auto" w:fill="FFFFFF"/>
              </w:rPr>
            </w:pPr>
            <w:r>
              <w:rPr>
                <w:color w:val="000000"/>
                <w:szCs w:val="21"/>
              </w:rPr>
              <w:t>2305.2397</w:t>
            </w:r>
          </w:p>
        </w:tc>
        <w:tc>
          <w:tcPr>
            <w:tcW w:w="1322"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313233"/>
                <w:szCs w:val="21"/>
                <w:shd w:val="clear" w:color="auto" w:fill="FFFFFF"/>
              </w:rPr>
            </w:pPr>
            <w:r>
              <w:rPr>
                <w:color w:val="000000"/>
                <w:szCs w:val="21"/>
              </w:rPr>
              <w:t>127-148</w:t>
            </w:r>
          </w:p>
        </w:tc>
        <w:tc>
          <w:tcPr>
            <w:tcW w:w="4415" w:type="dxa"/>
            <w:tcBorders>
              <w:top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313233"/>
                <w:szCs w:val="21"/>
                <w:shd w:val="clear" w:color="auto" w:fill="FFFFFF"/>
              </w:rPr>
            </w:pPr>
            <w:r>
              <w:rPr>
                <w:color w:val="000000"/>
                <w:szCs w:val="21"/>
              </w:rPr>
              <w:t>SDLPGAIDVNSIAQVLDLHS IK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2"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313233"/>
                <w:szCs w:val="21"/>
                <w:shd w:val="clear" w:color="auto" w:fill="FFFFFF"/>
              </w:rPr>
            </w:pPr>
            <w:r>
              <w:rPr>
                <w:color w:val="000000"/>
                <w:szCs w:val="21"/>
              </w:rPr>
              <w:t>2116.9821</w:t>
            </w:r>
          </w:p>
        </w:tc>
        <w:tc>
          <w:tcPr>
            <w:tcW w:w="1322" w:type="dxa"/>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313233"/>
                <w:szCs w:val="21"/>
                <w:shd w:val="clear" w:color="auto" w:fill="FFFFFF"/>
              </w:rPr>
            </w:pPr>
            <w:r>
              <w:rPr>
                <w:color w:val="000000"/>
                <w:szCs w:val="21"/>
              </w:rPr>
              <w:t>79-96</w:t>
            </w:r>
          </w:p>
        </w:tc>
        <w:tc>
          <w:tcPr>
            <w:tcW w:w="4415"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313233"/>
                <w:szCs w:val="21"/>
                <w:shd w:val="clear" w:color="auto" w:fill="FFFFFF"/>
              </w:rPr>
            </w:pPr>
            <w:r>
              <w:rPr>
                <w:color w:val="000000"/>
                <w:szCs w:val="21"/>
              </w:rPr>
              <w:t>NYFESTDALIWVVDSSDR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2"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313233"/>
                <w:szCs w:val="21"/>
                <w:shd w:val="clear" w:color="auto" w:fill="FFFFFF"/>
              </w:rPr>
            </w:pPr>
            <w:r>
              <w:rPr>
                <w:color w:val="000000"/>
                <w:szCs w:val="21"/>
              </w:rPr>
              <w:t>2051.0219</w:t>
            </w:r>
          </w:p>
        </w:tc>
        <w:tc>
          <w:tcPr>
            <w:tcW w:w="1322" w:type="dxa"/>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313233"/>
                <w:szCs w:val="21"/>
                <w:shd w:val="clear" w:color="auto" w:fill="FFFFFF"/>
              </w:rPr>
            </w:pPr>
            <w:r>
              <w:rPr>
                <w:color w:val="000000"/>
                <w:szCs w:val="21"/>
              </w:rPr>
              <w:t>36-53</w:t>
            </w:r>
          </w:p>
        </w:tc>
        <w:tc>
          <w:tcPr>
            <w:tcW w:w="4415"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313233"/>
                <w:szCs w:val="21"/>
                <w:shd w:val="clear" w:color="auto" w:fill="FFFFFF"/>
              </w:rPr>
            </w:pPr>
            <w:r>
              <w:rPr>
                <w:color w:val="000000"/>
                <w:szCs w:val="21"/>
              </w:rPr>
              <w:t>FLDEPTDTIEPTLGFDIK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2"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313233"/>
                <w:szCs w:val="21"/>
                <w:shd w:val="clear" w:color="auto" w:fill="FFFFFF"/>
              </w:rPr>
            </w:pPr>
            <w:r>
              <w:rPr>
                <w:color w:val="000000"/>
                <w:szCs w:val="21"/>
              </w:rPr>
              <w:t>1693.8036</w:t>
            </w:r>
          </w:p>
        </w:tc>
        <w:tc>
          <w:tcPr>
            <w:tcW w:w="1322" w:type="dxa"/>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313233"/>
                <w:szCs w:val="21"/>
                <w:shd w:val="clear" w:color="auto" w:fill="FFFFFF"/>
              </w:rPr>
            </w:pPr>
            <w:r>
              <w:rPr>
                <w:color w:val="000000"/>
                <w:szCs w:val="21"/>
              </w:rPr>
              <w:t>165-179</w:t>
            </w:r>
          </w:p>
        </w:tc>
        <w:tc>
          <w:tcPr>
            <w:tcW w:w="4415"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313233"/>
                <w:szCs w:val="21"/>
                <w:shd w:val="clear" w:color="auto" w:fill="FFFFFF"/>
              </w:rPr>
            </w:pPr>
            <w:r>
              <w:rPr>
                <w:color w:val="000000"/>
                <w:szCs w:val="21"/>
              </w:rPr>
              <w:t>LVQAMTWLCDDVGSR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2"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313233"/>
                <w:szCs w:val="21"/>
                <w:shd w:val="clear" w:color="auto" w:fill="FFFFFF"/>
              </w:rPr>
            </w:pPr>
            <w:r>
              <w:rPr>
                <w:color w:val="000000"/>
                <w:szCs w:val="21"/>
              </w:rPr>
              <w:t>1519.7539</w:t>
            </w:r>
          </w:p>
        </w:tc>
        <w:tc>
          <w:tcPr>
            <w:tcW w:w="1322" w:type="dxa"/>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313233"/>
                <w:szCs w:val="21"/>
                <w:shd w:val="clear" w:color="auto" w:fill="FFFFFF"/>
              </w:rPr>
            </w:pPr>
            <w:r>
              <w:rPr>
                <w:color w:val="000000"/>
                <w:szCs w:val="21"/>
              </w:rPr>
              <w:t>59-71</w:t>
            </w:r>
          </w:p>
        </w:tc>
        <w:tc>
          <w:tcPr>
            <w:tcW w:w="4415"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313233"/>
                <w:szCs w:val="21"/>
                <w:shd w:val="clear" w:color="auto" w:fill="FFFFFF"/>
              </w:rPr>
            </w:pPr>
            <w:r>
              <w:rPr>
                <w:color w:val="000000"/>
                <w:szCs w:val="21"/>
              </w:rPr>
              <w:t>DFQLNLWDVGGQK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2"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313233"/>
                <w:szCs w:val="21"/>
                <w:shd w:val="clear" w:color="auto" w:fill="FFFFFF"/>
              </w:rPr>
            </w:pPr>
            <w:r>
              <w:rPr>
                <w:color w:val="000000"/>
                <w:szCs w:val="21"/>
              </w:rPr>
              <w:t>1171.5234</w:t>
            </w:r>
          </w:p>
        </w:tc>
        <w:tc>
          <w:tcPr>
            <w:tcW w:w="1322" w:type="dxa"/>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313233"/>
                <w:szCs w:val="21"/>
                <w:shd w:val="clear" w:color="auto" w:fill="FFFFFF"/>
              </w:rPr>
            </w:pPr>
            <w:r>
              <w:rPr>
                <w:color w:val="000000"/>
                <w:szCs w:val="21"/>
              </w:rPr>
              <w:t>154-164</w:t>
            </w:r>
          </w:p>
        </w:tc>
        <w:tc>
          <w:tcPr>
            <w:tcW w:w="4415"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313233"/>
                <w:szCs w:val="21"/>
                <w:shd w:val="clear" w:color="auto" w:fill="FFFFFF"/>
              </w:rPr>
            </w:pPr>
            <w:r>
              <w:rPr>
                <w:color w:val="000000"/>
                <w:szCs w:val="21"/>
              </w:rPr>
              <w:t>IFSCCALSGDR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2"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313233"/>
                <w:szCs w:val="21"/>
                <w:shd w:val="clear" w:color="auto" w:fill="FFFFFF"/>
              </w:rPr>
            </w:pPr>
            <w:r>
              <w:rPr>
                <w:color w:val="000000"/>
                <w:szCs w:val="21"/>
              </w:rPr>
              <w:t>1171.5234</w:t>
            </w:r>
          </w:p>
        </w:tc>
        <w:tc>
          <w:tcPr>
            <w:tcW w:w="1322" w:type="dxa"/>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313233"/>
                <w:szCs w:val="21"/>
                <w:shd w:val="clear" w:color="auto" w:fill="FFFFFF"/>
              </w:rPr>
            </w:pPr>
            <w:r>
              <w:rPr>
                <w:color w:val="000000"/>
                <w:szCs w:val="21"/>
              </w:rPr>
              <w:t>154-164</w:t>
            </w:r>
          </w:p>
        </w:tc>
        <w:tc>
          <w:tcPr>
            <w:tcW w:w="4415"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313233"/>
                <w:szCs w:val="21"/>
                <w:shd w:val="clear" w:color="auto" w:fill="FFFFFF"/>
              </w:rPr>
            </w:pPr>
            <w:r>
              <w:rPr>
                <w:color w:val="000000"/>
                <w:szCs w:val="21"/>
              </w:rPr>
              <w:t>IFSCCALSGDR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2"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1169.7252</w:t>
            </w:r>
          </w:p>
        </w:tc>
        <w:tc>
          <w:tcPr>
            <w:tcW w:w="1322" w:type="dxa"/>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115-126</w:t>
            </w:r>
          </w:p>
        </w:tc>
        <w:tc>
          <w:tcPr>
            <w:tcW w:w="4415"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LAGASLLVLANK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2"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1126.6830</w:t>
            </w:r>
          </w:p>
        </w:tc>
        <w:tc>
          <w:tcPr>
            <w:tcW w:w="1322" w:type="dxa"/>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19-29</w:t>
            </w:r>
          </w:p>
        </w:tc>
        <w:tc>
          <w:tcPr>
            <w:tcW w:w="4415"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ILILGLDNAGK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2"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1062.5499</w:t>
            </w:r>
          </w:p>
        </w:tc>
        <w:tc>
          <w:tcPr>
            <w:tcW w:w="1322" w:type="dxa"/>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99-107</w:t>
            </w:r>
          </w:p>
        </w:tc>
        <w:tc>
          <w:tcPr>
            <w:tcW w:w="4415"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LLQCSEELK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2"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716.3937</w:t>
            </w:r>
          </w:p>
        </w:tc>
        <w:tc>
          <w:tcPr>
            <w:tcW w:w="1322" w:type="dxa"/>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109-114</w:t>
            </w:r>
          </w:p>
        </w:tc>
        <w:tc>
          <w:tcPr>
            <w:tcW w:w="4415"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LLGEER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2"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694.3419</w:t>
            </w:r>
          </w:p>
        </w:tc>
        <w:tc>
          <w:tcPr>
            <w:tcW w:w="1322" w:type="dxa"/>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149-153</w:t>
            </w:r>
          </w:p>
        </w:tc>
        <w:tc>
          <w:tcPr>
            <w:tcW w:w="4415"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SHHWK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2"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631.3562</w:t>
            </w:r>
          </w:p>
        </w:tc>
        <w:tc>
          <w:tcPr>
            <w:tcW w:w="1322" w:type="dxa"/>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54-58</w:t>
            </w:r>
          </w:p>
        </w:tc>
        <w:tc>
          <w:tcPr>
            <w:tcW w:w="4415"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TVHFK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2"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620.3654</w:t>
            </w:r>
          </w:p>
        </w:tc>
        <w:tc>
          <w:tcPr>
            <w:tcW w:w="1322" w:type="dxa"/>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180-184</w:t>
            </w:r>
          </w:p>
        </w:tc>
        <w:tc>
          <w:tcPr>
            <w:tcW w:w="4415"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LFILD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2"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593.3327</w:t>
            </w:r>
          </w:p>
        </w:tc>
        <w:tc>
          <w:tcPr>
            <w:tcW w:w="1322" w:type="dxa"/>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30-34</w:t>
            </w:r>
          </w:p>
        </w:tc>
        <w:tc>
          <w:tcPr>
            <w:tcW w:w="4415"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TTLMK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22"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583.2875</w:t>
            </w:r>
          </w:p>
        </w:tc>
        <w:tc>
          <w:tcPr>
            <w:tcW w:w="1322" w:type="dxa"/>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75-78</w:t>
            </w:r>
          </w:p>
        </w:tc>
        <w:tc>
          <w:tcPr>
            <w:tcW w:w="4415"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color w:val="000000"/>
                <w:szCs w:val="21"/>
              </w:rPr>
            </w:pPr>
            <w:r>
              <w:rPr>
                <w:color w:val="000000"/>
                <w:szCs w:val="21"/>
              </w:rPr>
              <w:t>SYWK</w:t>
            </w:r>
          </w:p>
        </w:tc>
      </w:tr>
    </w:tbl>
    <w:p>
      <w:pPr>
        <w:widowControl/>
        <w:spacing w:line="360" w:lineRule="auto"/>
        <w:rPr>
          <w:sz w:val="24"/>
          <w:szCs w:val="24"/>
        </w:rPr>
      </w:pPr>
      <w:r>
        <w:rPr>
          <w:sz w:val="24"/>
          <w:szCs w:val="24"/>
        </w:rPr>
        <w:t>The data in this table on protein profiles come from the UniProtKB/Swiss-Prot database（</w:t>
      </w:r>
      <w:r>
        <w:fldChar w:fldCharType="begin"/>
      </w:r>
      <w:r>
        <w:instrText xml:space="preserve"> HYPERLINK "https://web.expasy.org/cgi-bin/peptide_mass/peptide-mass.pl" </w:instrText>
      </w:r>
      <w:r>
        <w:fldChar w:fldCharType="separate"/>
      </w:r>
      <w:r>
        <w:rPr>
          <w:rStyle w:val="11"/>
          <w:sz w:val="24"/>
          <w:szCs w:val="24"/>
        </w:rPr>
        <w:t>https://web.expasy.org/cgi-bin/peptide_mass/peptide-mass.pl</w:t>
      </w:r>
      <w:r>
        <w:rPr>
          <w:rStyle w:val="11"/>
          <w:sz w:val="24"/>
          <w:szCs w:val="24"/>
        </w:rPr>
        <w:fldChar w:fldCharType="end"/>
      </w:r>
      <w:r>
        <w:rPr>
          <w:sz w:val="24"/>
          <w:szCs w:val="24"/>
        </w:rPr>
        <w:t>）</w:t>
      </w:r>
    </w:p>
    <w:p>
      <w:pPr>
        <w:spacing w:line="480" w:lineRule="auto"/>
        <w:rPr>
          <w:b/>
          <w:bCs/>
          <w:sz w:val="28"/>
          <w:szCs w:val="28"/>
        </w:rPr>
      </w:pPr>
      <w:r>
        <w:rPr>
          <w:b/>
          <w:bCs/>
          <w:sz w:val="28"/>
          <w:szCs w:val="28"/>
        </w:rPr>
        <w:t xml:space="preserve">Western blot figures </w:t>
      </w:r>
      <w:r>
        <w:rPr>
          <w:rFonts w:hint="eastAsia"/>
          <w:b/>
          <w:bCs/>
          <w:sz w:val="28"/>
          <w:szCs w:val="28"/>
        </w:rPr>
        <w:t>of</w:t>
      </w:r>
      <w:r>
        <w:rPr>
          <w:b/>
          <w:bCs/>
          <w:sz w:val="28"/>
          <w:szCs w:val="28"/>
        </w:rPr>
        <w:t xml:space="preserve"> </w:t>
      </w:r>
      <w:r>
        <w:rPr>
          <w:rFonts w:hint="eastAsia"/>
          <w:b/>
          <w:bCs/>
          <w:sz w:val="28"/>
          <w:szCs w:val="28"/>
        </w:rPr>
        <w:t>the</w:t>
      </w:r>
      <w:r>
        <w:rPr>
          <w:b/>
          <w:bCs/>
          <w:sz w:val="28"/>
          <w:szCs w:val="28"/>
        </w:rPr>
        <w:t xml:space="preserve"> manus</w:t>
      </w:r>
      <w:r>
        <w:rPr>
          <w:rFonts w:hint="eastAsia"/>
          <w:b/>
          <w:bCs/>
          <w:sz w:val="28"/>
          <w:szCs w:val="28"/>
        </w:rPr>
        <w:t>c</w:t>
      </w:r>
      <w:r>
        <w:rPr>
          <w:b/>
          <w:bCs/>
          <w:sz w:val="28"/>
          <w:szCs w:val="28"/>
        </w:rPr>
        <w:t>ript</w:t>
      </w:r>
    </w:p>
    <w:p>
      <w:pPr>
        <w:widowControl/>
        <w:spacing w:line="360" w:lineRule="auto"/>
        <w:rPr>
          <w:b/>
          <w:bCs/>
          <w:color w:val="353535"/>
          <w:sz w:val="24"/>
          <w:szCs w:val="24"/>
        </w:rPr>
      </w:pPr>
      <w:r>
        <w:rPr>
          <w:b/>
          <w:bCs/>
          <w:color w:val="353535"/>
          <w:sz w:val="24"/>
          <w:szCs w:val="24"/>
        </w:rPr>
        <w:drawing>
          <wp:inline distT="0" distB="0" distL="0" distR="0">
            <wp:extent cx="5759450" cy="2509520"/>
            <wp:effectExtent l="0" t="0" r="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000" cy="2510113"/>
                    </a:xfrm>
                    <a:prstGeom prst="rect">
                      <a:avLst/>
                    </a:prstGeom>
                  </pic:spPr>
                </pic:pic>
              </a:graphicData>
            </a:graphic>
          </wp:inline>
        </w:drawing>
      </w:r>
    </w:p>
    <w:p>
      <w:pPr>
        <w:widowControl/>
        <w:spacing w:line="360" w:lineRule="auto"/>
        <w:jc w:val="center"/>
        <w:rPr>
          <w:b/>
          <w:bCs/>
          <w:color w:val="353535"/>
          <w:sz w:val="24"/>
          <w:szCs w:val="24"/>
        </w:rPr>
      </w:pPr>
      <w:r>
        <w:rPr>
          <w:b/>
          <w:bCs/>
          <w:color w:val="353535"/>
          <w:sz w:val="24"/>
          <w:szCs w:val="24"/>
        </w:rPr>
        <w:drawing>
          <wp:inline distT="0" distB="0" distL="0" distR="0">
            <wp:extent cx="4157980" cy="4148455"/>
            <wp:effectExtent l="0" t="0" r="762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cstate="print">
                      <a:extLst>
                        <a:ext uri="{28A0092B-C50C-407E-A947-70E740481C1C}">
                          <a14:useLocalDpi xmlns:a14="http://schemas.microsoft.com/office/drawing/2010/main" val="0"/>
                        </a:ext>
                      </a:extLst>
                    </a:blip>
                    <a:srcRect b="16338"/>
                    <a:stretch>
                      <a:fillRect/>
                    </a:stretch>
                  </pic:blipFill>
                  <pic:spPr>
                    <a:xfrm>
                      <a:off x="0" y="0"/>
                      <a:ext cx="4157980" cy="4148455"/>
                    </a:xfrm>
                    <a:prstGeom prst="rect">
                      <a:avLst/>
                    </a:prstGeom>
                    <a:ln>
                      <a:noFill/>
                    </a:ln>
                  </pic:spPr>
                </pic:pic>
              </a:graphicData>
            </a:graphic>
          </wp:inline>
        </w:drawing>
      </w:r>
    </w:p>
    <w:p>
      <w:pPr>
        <w:widowControl/>
        <w:spacing w:line="360" w:lineRule="auto"/>
        <w:jc w:val="center"/>
        <w:rPr>
          <w:b/>
          <w:bCs/>
          <w:color w:val="353535"/>
          <w:sz w:val="24"/>
          <w:szCs w:val="24"/>
        </w:rPr>
      </w:pPr>
      <w:r>
        <w:rPr>
          <w:b/>
          <w:bCs/>
          <w:color w:val="353535"/>
          <w:sz w:val="24"/>
          <w:szCs w:val="24"/>
        </w:rPr>
        <w:drawing>
          <wp:inline distT="0" distB="0" distL="0" distR="0">
            <wp:extent cx="4157980" cy="2780665"/>
            <wp:effectExtent l="0" t="0" r="762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7980" cy="2780665"/>
                    </a:xfrm>
                    <a:prstGeom prst="rect">
                      <a:avLst/>
                    </a:prstGeom>
                  </pic:spPr>
                </pic:pic>
              </a:graphicData>
            </a:graphic>
          </wp:inline>
        </w:drawing>
      </w:r>
    </w:p>
    <w:p>
      <w:pPr>
        <w:widowControl/>
        <w:spacing w:line="360" w:lineRule="auto"/>
        <w:rPr>
          <w:rFonts w:hint="eastAsia"/>
          <w:b/>
          <w:bCs/>
          <w:color w:val="353535"/>
          <w:sz w:val="24"/>
          <w:szCs w:val="24"/>
        </w:rPr>
      </w:pPr>
    </w:p>
    <w:p>
      <w:pPr>
        <w:widowControl/>
        <w:spacing w:line="360" w:lineRule="auto"/>
        <w:rPr>
          <w:b/>
          <w:bCs/>
          <w:color w:val="353535"/>
          <w:sz w:val="24"/>
          <w:szCs w:val="24"/>
        </w:rPr>
      </w:pPr>
      <w:r>
        <w:rPr>
          <w:b/>
          <w:bCs/>
          <w:color w:val="353535"/>
          <w:sz w:val="24"/>
          <w:szCs w:val="24"/>
        </w:rPr>
        <w:drawing>
          <wp:inline distT="0" distB="0" distL="0" distR="0">
            <wp:extent cx="5759450" cy="473265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000" cy="4732919"/>
                    </a:xfrm>
                    <a:prstGeom prst="rect">
                      <a:avLst/>
                    </a:prstGeom>
                  </pic:spPr>
                </pic:pic>
              </a:graphicData>
            </a:graphic>
          </wp:inline>
        </w:drawing>
      </w:r>
    </w:p>
    <w:p>
      <w:pPr>
        <w:widowControl/>
        <w:spacing w:line="360" w:lineRule="auto"/>
        <w:rPr>
          <w:b/>
          <w:bCs/>
          <w:color w:val="353535"/>
          <w:sz w:val="24"/>
          <w:szCs w:val="24"/>
        </w:rPr>
      </w:pPr>
    </w:p>
    <w:p>
      <w:pPr>
        <w:widowControl/>
        <w:spacing w:line="360" w:lineRule="auto"/>
        <w:rPr>
          <w:b/>
          <w:bCs/>
          <w:color w:val="353535"/>
          <w:sz w:val="24"/>
          <w:szCs w:val="24"/>
        </w:rPr>
      </w:pPr>
    </w:p>
    <w:p>
      <w:pPr>
        <w:widowControl/>
        <w:spacing w:line="360" w:lineRule="auto"/>
        <w:rPr>
          <w:b/>
          <w:bCs/>
          <w:color w:val="353535"/>
          <w:sz w:val="24"/>
          <w:szCs w:val="24"/>
        </w:rPr>
      </w:pP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cxZWRkMDY0M2VmOWQzNWJlMWVmNjNmZmM4MjZmMjQifQ=="/>
  </w:docVars>
  <w:rsids>
    <w:rsidRoot w:val="008E6948"/>
    <w:rsid w:val="00023CDD"/>
    <w:rsid w:val="000A7EA8"/>
    <w:rsid w:val="000B4C3C"/>
    <w:rsid w:val="000E3DD9"/>
    <w:rsid w:val="000F2893"/>
    <w:rsid w:val="00144599"/>
    <w:rsid w:val="00172662"/>
    <w:rsid w:val="001B33F2"/>
    <w:rsid w:val="001E0394"/>
    <w:rsid w:val="00200AA7"/>
    <w:rsid w:val="00220A1C"/>
    <w:rsid w:val="0025218A"/>
    <w:rsid w:val="00261DCF"/>
    <w:rsid w:val="0029313B"/>
    <w:rsid w:val="003461C5"/>
    <w:rsid w:val="00346EFD"/>
    <w:rsid w:val="00352EE8"/>
    <w:rsid w:val="00361E71"/>
    <w:rsid w:val="00370903"/>
    <w:rsid w:val="003B2927"/>
    <w:rsid w:val="003C61A5"/>
    <w:rsid w:val="003D558D"/>
    <w:rsid w:val="003F4C03"/>
    <w:rsid w:val="00461406"/>
    <w:rsid w:val="004853F7"/>
    <w:rsid w:val="004A6354"/>
    <w:rsid w:val="004C6A51"/>
    <w:rsid w:val="004D75EC"/>
    <w:rsid w:val="00524382"/>
    <w:rsid w:val="00583BA7"/>
    <w:rsid w:val="00584D9C"/>
    <w:rsid w:val="00604C50"/>
    <w:rsid w:val="006B5471"/>
    <w:rsid w:val="006E0A55"/>
    <w:rsid w:val="006F03A4"/>
    <w:rsid w:val="00744024"/>
    <w:rsid w:val="00754A40"/>
    <w:rsid w:val="0078418D"/>
    <w:rsid w:val="007923A5"/>
    <w:rsid w:val="00792920"/>
    <w:rsid w:val="00796DB9"/>
    <w:rsid w:val="007C52C6"/>
    <w:rsid w:val="00815C16"/>
    <w:rsid w:val="008754EE"/>
    <w:rsid w:val="00876E35"/>
    <w:rsid w:val="008E6948"/>
    <w:rsid w:val="00904AAB"/>
    <w:rsid w:val="00914FD1"/>
    <w:rsid w:val="00920CA7"/>
    <w:rsid w:val="009339C9"/>
    <w:rsid w:val="00976761"/>
    <w:rsid w:val="009778F3"/>
    <w:rsid w:val="009B0751"/>
    <w:rsid w:val="009B2748"/>
    <w:rsid w:val="009C03F0"/>
    <w:rsid w:val="009E0512"/>
    <w:rsid w:val="009E60A1"/>
    <w:rsid w:val="009F1447"/>
    <w:rsid w:val="00A14562"/>
    <w:rsid w:val="00A4425B"/>
    <w:rsid w:val="00A7790D"/>
    <w:rsid w:val="00A93597"/>
    <w:rsid w:val="00AA60CE"/>
    <w:rsid w:val="00AE0435"/>
    <w:rsid w:val="00B035AA"/>
    <w:rsid w:val="00BE2715"/>
    <w:rsid w:val="00BE3F1E"/>
    <w:rsid w:val="00C64130"/>
    <w:rsid w:val="00C661B6"/>
    <w:rsid w:val="00CB0E57"/>
    <w:rsid w:val="00CB477D"/>
    <w:rsid w:val="00CF6DC9"/>
    <w:rsid w:val="00D5621B"/>
    <w:rsid w:val="00DB2E26"/>
    <w:rsid w:val="00DE0CFC"/>
    <w:rsid w:val="00DF6B25"/>
    <w:rsid w:val="00E36D3F"/>
    <w:rsid w:val="00E533E1"/>
    <w:rsid w:val="00ED06C1"/>
    <w:rsid w:val="00EE684A"/>
    <w:rsid w:val="00EF5425"/>
    <w:rsid w:val="00F4497E"/>
    <w:rsid w:val="00F45866"/>
    <w:rsid w:val="00F533C0"/>
    <w:rsid w:val="00F65413"/>
    <w:rsid w:val="00FB72DE"/>
    <w:rsid w:val="00FE1797"/>
    <w:rsid w:val="34863274"/>
    <w:rsid w:val="48DE1CA9"/>
    <w:rsid w:val="4BC33079"/>
    <w:rsid w:val="55594F56"/>
    <w:rsid w:val="5A3C7F87"/>
    <w:rsid w:val="73D65623"/>
    <w:rsid w:val="7722255A"/>
    <w:rsid w:val="7A1B0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1"/>
    <w:next w:val="1"/>
    <w:link w:val="22"/>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5"/>
    <w:unhideWhenUsed/>
    <w:uiPriority w:val="99"/>
    <w:pPr>
      <w:tabs>
        <w:tab w:val="center" w:pos="4153"/>
        <w:tab w:val="right" w:pos="8306"/>
      </w:tabs>
      <w:snapToGrid w:val="0"/>
      <w:jc w:val="left"/>
    </w:pPr>
    <w:rPr>
      <w:sz w:val="18"/>
      <w:szCs w:val="18"/>
    </w:rPr>
  </w:style>
  <w:style w:type="paragraph" w:styleId="5">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link w:val="16"/>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table" w:styleId="9">
    <w:name w:val="Table Grid"/>
    <w:basedOn w:val="8"/>
    <w:unhideWhenUsed/>
    <w:qFormat/>
    <w:uiPriority w:val="5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unhideWhenUsed/>
    <w:qFormat/>
    <w:uiPriority w:val="99"/>
    <w:rPr>
      <w:color w:val="0563C1"/>
      <w:u w:val="single"/>
    </w:rPr>
  </w:style>
  <w:style w:type="character" w:customStyle="1" w:styleId="12">
    <w:name w:val="high-light-bg4"/>
    <w:basedOn w:val="10"/>
    <w:uiPriority w:val="0"/>
  </w:style>
  <w:style w:type="paragraph" w:customStyle="1" w:styleId="13">
    <w:name w:val="列表段落1"/>
    <w:basedOn w:val="1"/>
    <w:unhideWhenUsed/>
    <w:qFormat/>
    <w:uiPriority w:val="99"/>
    <w:pPr>
      <w:ind w:firstLine="420" w:firstLineChars="200"/>
    </w:pPr>
  </w:style>
  <w:style w:type="character" w:customStyle="1" w:styleId="14">
    <w:name w:val="页眉 字符"/>
    <w:basedOn w:val="10"/>
    <w:link w:val="5"/>
    <w:uiPriority w:val="99"/>
    <w:rPr>
      <w:rFonts w:ascii="Times New Roman" w:hAnsi="Times New Roman" w:eastAsia="宋体" w:cs="Times New Roman"/>
      <w:sz w:val="18"/>
      <w:szCs w:val="18"/>
    </w:rPr>
  </w:style>
  <w:style w:type="character" w:customStyle="1" w:styleId="15">
    <w:name w:val="页脚 字符"/>
    <w:basedOn w:val="10"/>
    <w:link w:val="4"/>
    <w:uiPriority w:val="99"/>
    <w:rPr>
      <w:rFonts w:ascii="Times New Roman" w:hAnsi="Times New Roman" w:eastAsia="宋体" w:cs="Times New Roman"/>
      <w:sz w:val="18"/>
      <w:szCs w:val="18"/>
    </w:rPr>
  </w:style>
  <w:style w:type="character" w:customStyle="1" w:styleId="16">
    <w:name w:val="HTML 预设格式 字符"/>
    <w:basedOn w:val="10"/>
    <w:link w:val="6"/>
    <w:qFormat/>
    <w:uiPriority w:val="99"/>
    <w:rPr>
      <w:rFonts w:ascii="宋体" w:hAnsi="宋体" w:eastAsia="宋体" w:cs="宋体"/>
      <w:kern w:val="0"/>
      <w:sz w:val="24"/>
    </w:rPr>
  </w:style>
  <w:style w:type="character" w:customStyle="1" w:styleId="17">
    <w:name w:val="feature"/>
    <w:basedOn w:val="10"/>
    <w:qFormat/>
    <w:uiPriority w:val="0"/>
  </w:style>
  <w:style w:type="character" w:customStyle="1" w:styleId="18">
    <w:name w:val="ff_line"/>
    <w:basedOn w:val="10"/>
    <w:qFormat/>
    <w:uiPriority w:val="0"/>
  </w:style>
  <w:style w:type="character" w:customStyle="1" w:styleId="19">
    <w:name w:val="feat_h"/>
    <w:basedOn w:val="10"/>
    <w:qFormat/>
    <w:uiPriority w:val="0"/>
  </w:style>
  <w:style w:type="paragraph" w:styleId="20">
    <w:name w:val="List Paragraph"/>
    <w:basedOn w:val="1"/>
    <w:qFormat/>
    <w:uiPriority w:val="34"/>
    <w:pPr>
      <w:ind w:firstLine="420" w:firstLineChars="200"/>
    </w:pPr>
  </w:style>
  <w:style w:type="character" w:customStyle="1" w:styleId="21">
    <w:name w:val="标题 1 字符"/>
    <w:basedOn w:val="10"/>
    <w:link w:val="2"/>
    <w:uiPriority w:val="9"/>
    <w:rPr>
      <w:rFonts w:ascii="宋体" w:hAnsi="宋体" w:eastAsia="宋体" w:cs="宋体"/>
      <w:b/>
      <w:bCs/>
      <w:kern w:val="36"/>
      <w:sz w:val="48"/>
      <w:szCs w:val="48"/>
    </w:rPr>
  </w:style>
  <w:style w:type="character" w:customStyle="1" w:styleId="22">
    <w:name w:val="标题 3 字符"/>
    <w:basedOn w:val="10"/>
    <w:link w:val="3"/>
    <w:qFormat/>
    <w:uiPriority w:val="9"/>
    <w:rPr>
      <w:rFonts w:ascii="Times New Roman" w:hAnsi="Times New Roman" w:eastAsia="宋体" w:cs="Times New Roman"/>
      <w:b/>
      <w:bCs/>
      <w:sz w:val="32"/>
      <w:szCs w:val="32"/>
    </w:rPr>
  </w:style>
  <w:style w:type="character" w:customStyle="1" w:styleId="23">
    <w:name w:val="Unresolved Mention"/>
    <w:basedOn w:val="1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534</Words>
  <Characters>3888</Characters>
  <Lines>32</Lines>
  <Paragraphs>9</Paragraphs>
  <TotalTime>2</TotalTime>
  <ScaleCrop>false</ScaleCrop>
  <LinksUpToDate>false</LinksUpToDate>
  <CharactersWithSpaces>4251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2022-10-17T06:08:00Z</dcterms:created>
  <dc:creator>mickey chen</dc:creator>
  <cp:lastModifiedBy>lzyxz</cp:lastModifiedBy>
  <cp:lastPrinted>2022-06-20T04:59:00Z</cp:lastPrinted>
  <dcterms:modified xsi:type="dcterms:W3CDTF">2022-10-20T05:55:06Z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571020C0169D44148FFE0D0E68C00695</vt:lpwstr>
  </property>
</Properties>
</file>