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528" w:rsidRPr="008B1791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  <w:bookmarkStart w:id="0" w:name="_Toc90015108"/>
      <w:r w:rsidRPr="008B1791">
        <w:rPr>
          <w:rFonts w:ascii="Times New Roman" w:eastAsiaTheme="minorEastAsia" w:hAnsi="Times New Roman" w:cs="Times New Roman"/>
          <w:b/>
          <w:szCs w:val="20"/>
          <w:lang w:val="en-GB"/>
        </w:rPr>
        <w:t xml:space="preserve">Table 1: The structure of the </w:t>
      </w:r>
      <w:r w:rsidRPr="008B1791">
        <w:rPr>
          <w:rFonts w:ascii="Times New Roman" w:eastAsiaTheme="minorEastAsia" w:hAnsi="Times New Roman" w:cs="Times New Roman"/>
          <w:b/>
          <w:szCs w:val="20"/>
          <w:lang w:val="en-GB" w:eastAsia="en-GB"/>
        </w:rPr>
        <w:t>input-output</w:t>
      </w:r>
      <w:r w:rsidRPr="008B1791">
        <w:rPr>
          <w:rFonts w:ascii="Times New Roman" w:eastAsiaTheme="minorEastAsia" w:hAnsi="Times New Roman" w:cs="Times New Roman"/>
          <w:b/>
          <w:szCs w:val="20"/>
          <w:lang w:val="en-GB"/>
        </w:rPr>
        <w:t xml:space="preserve"> table</w:t>
      </w:r>
      <w:bookmarkEnd w:id="0"/>
    </w:p>
    <w:p w:rsidR="009C3528" w:rsidRPr="008B1791" w:rsidRDefault="009C3528" w:rsidP="009C3528">
      <w:pPr>
        <w:spacing w:before="240"/>
        <w:rPr>
          <w:rFonts w:ascii="Times New Roman" w:hAnsi="Times New Roman"/>
          <w:sz w:val="18"/>
        </w:rPr>
      </w:pPr>
      <w:r w:rsidRPr="008B1791">
        <w:rPr>
          <w:rFonts w:ascii="Times New Roman" w:hAnsi="Times New Roman"/>
          <w:noProof/>
          <w:sz w:val="18"/>
          <w:lang w:val="en-US"/>
        </w:rPr>
        <w:drawing>
          <wp:inline distT="0" distB="0" distL="0" distR="0" wp14:anchorId="254FFB37" wp14:editId="086541E1">
            <wp:extent cx="5730240" cy="4130040"/>
            <wp:effectExtent l="0" t="0" r="3810" b="3810"/>
            <wp:docPr id="1" name="Picture 1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13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528" w:rsidRPr="007E5794" w:rsidRDefault="009C3528" w:rsidP="009C3528">
      <w:pPr>
        <w:spacing w:before="120" w:after="240" w:line="360" w:lineRule="auto"/>
        <w:jc w:val="both"/>
        <w:rPr>
          <w:rFonts w:ascii="Times New Roman" w:eastAsia="Times New Roman" w:hAnsi="Times New Roman" w:cs="Times New Roman"/>
          <w:szCs w:val="20"/>
          <w:lang w:val="en-GB" w:eastAsia="en-GB"/>
        </w:rPr>
      </w:pPr>
      <w:r w:rsidRPr="008B1791">
        <w:rPr>
          <w:rFonts w:ascii="Times New Roman" w:eastAsia="Times New Roman" w:hAnsi="Times New Roman" w:cs="Times New Roman"/>
          <w:i/>
          <w:szCs w:val="20"/>
          <w:lang w:val="en-GB"/>
        </w:rPr>
        <w:t>Source</w:t>
      </w:r>
      <w:r w:rsidRPr="008B1791">
        <w:rPr>
          <w:rFonts w:ascii="Times New Roman" w:eastAsia="Times New Roman" w:hAnsi="Times New Roman" w:cs="Times New Roman"/>
          <w:i/>
          <w:iCs/>
          <w:szCs w:val="20"/>
          <w:lang w:val="en-GB" w:eastAsia="en-GB"/>
        </w:rPr>
        <w:t>:</w:t>
      </w:r>
      <w:r w:rsidRPr="008B1791">
        <w:rPr>
          <w:rFonts w:ascii="Times New Roman" w:eastAsia="Times New Roman" w:hAnsi="Times New Roman" w:cs="Times New Roman"/>
          <w:szCs w:val="20"/>
          <w:lang w:val="en-GB" w:eastAsia="en-GB"/>
        </w:rPr>
        <w:t xml:space="preserve"> Author’s compilation, Japanese Ministry of economy, trade, and industry (2016)</w:t>
      </w:r>
    </w:p>
    <w:p w:rsidR="009C3528" w:rsidRPr="008E187C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 w:eastAsia="en-GB"/>
        </w:rPr>
      </w:pPr>
      <w:bookmarkStart w:id="1" w:name="_Toc90015110"/>
      <w:r w:rsidRPr="008E187C">
        <w:rPr>
          <w:rFonts w:ascii="Times New Roman" w:eastAsiaTheme="minorEastAsia" w:hAnsi="Times New Roman" w:cs="Times New Roman"/>
          <w:b/>
          <w:noProof/>
          <w:szCs w:val="20"/>
          <w:lang w:val="en-US"/>
        </w:rPr>
        <w:drawing>
          <wp:anchor distT="0" distB="0" distL="114300" distR="114300" simplePos="0" relativeHeight="251659264" behindDoc="1" locked="0" layoutInCell="1" allowOverlap="1" wp14:anchorId="1F305B9E" wp14:editId="1D377AD1">
            <wp:simplePos x="0" y="0"/>
            <wp:positionH relativeFrom="column">
              <wp:posOffset>146050</wp:posOffset>
            </wp:positionH>
            <wp:positionV relativeFrom="paragraph">
              <wp:posOffset>261620</wp:posOffset>
            </wp:positionV>
            <wp:extent cx="1967707" cy="1800000"/>
            <wp:effectExtent l="0" t="0" r="0" b="0"/>
            <wp:wrapNone/>
            <wp:docPr id="21" name="Picture 21" descr="Tex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ext,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70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187C">
        <w:rPr>
          <w:rFonts w:ascii="Times New Roman" w:eastAsiaTheme="minorEastAsia" w:hAnsi="Times New Roman" w:cs="Times New Roman"/>
          <w:b/>
          <w:szCs w:val="20"/>
          <w:lang w:val="en-GB" w:eastAsia="en-GB"/>
        </w:rPr>
        <w:t>Table2 : Identity matrix and Type I multiplier Leontief inverse</w:t>
      </w:r>
      <w:bookmarkEnd w:id="1"/>
      <w:r w:rsidRPr="008E187C">
        <w:rPr>
          <w:rFonts w:ascii="Times New Roman" w:eastAsiaTheme="minorEastAsia" w:hAnsi="Times New Roman" w:cs="Times New Roman"/>
          <w:b/>
          <w:szCs w:val="20"/>
          <w:lang w:val="en-GB" w:eastAsia="en-GB"/>
        </w:rPr>
        <w:t xml:space="preserve">  </w:t>
      </w:r>
      <w:r w:rsidRPr="008E187C">
        <w:rPr>
          <w:rFonts w:ascii="Times New Roman" w:eastAsiaTheme="minorEastAsia" w:hAnsi="Times New Roman" w:cs="Times New Roman"/>
          <w:b/>
          <w:szCs w:val="20"/>
          <w:lang w:val="en-GB" w:eastAsia="en-GB"/>
        </w:rPr>
        <w:tab/>
      </w:r>
    </w:p>
    <w:p w:rsidR="009C3528" w:rsidRPr="008E187C" w:rsidRDefault="009C3528" w:rsidP="009C3528">
      <w:pPr>
        <w:rPr>
          <w:rFonts w:ascii="Times New Roman" w:eastAsiaTheme="minorEastAsia" w:hAnsi="Times New Roman"/>
          <w:lang w:val="en-GB" w:eastAsia="en-GB"/>
        </w:rPr>
      </w:pPr>
      <w:r w:rsidRPr="008E187C">
        <w:rPr>
          <w:rFonts w:ascii="Times New Roman" w:hAnsi="Times New Roman"/>
          <w:b/>
          <w:noProof/>
          <w:spacing w:val="15"/>
          <w:lang w:val="en-US"/>
        </w:rPr>
        <w:drawing>
          <wp:anchor distT="0" distB="0" distL="114300" distR="114300" simplePos="0" relativeHeight="251660288" behindDoc="0" locked="0" layoutInCell="1" allowOverlap="1" wp14:anchorId="746F632A" wp14:editId="703C27C8">
            <wp:simplePos x="0" y="0"/>
            <wp:positionH relativeFrom="column">
              <wp:posOffset>2367915</wp:posOffset>
            </wp:positionH>
            <wp:positionV relativeFrom="paragraph">
              <wp:posOffset>31115</wp:posOffset>
            </wp:positionV>
            <wp:extent cx="2098920" cy="1728000"/>
            <wp:effectExtent l="0" t="0" r="0" b="0"/>
            <wp:wrapNone/>
            <wp:docPr id="19" name="Picture 19" descr="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ab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92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3528" w:rsidRPr="008E187C" w:rsidRDefault="009C3528" w:rsidP="009C3528">
      <w:pPr>
        <w:spacing w:before="240" w:line="360" w:lineRule="auto"/>
        <w:jc w:val="both"/>
        <w:rPr>
          <w:rFonts w:ascii="Times New Roman" w:eastAsiaTheme="minorEastAsia" w:hAnsi="Times New Roman"/>
          <w:lang w:val="en-GB" w:eastAsia="en-GB"/>
        </w:rPr>
      </w:pPr>
    </w:p>
    <w:p w:rsidR="009C3528" w:rsidRPr="008E187C" w:rsidRDefault="009C3528" w:rsidP="009C3528">
      <w:pPr>
        <w:spacing w:before="240" w:line="360" w:lineRule="auto"/>
        <w:jc w:val="both"/>
        <w:rPr>
          <w:rFonts w:ascii="Times New Roman" w:eastAsiaTheme="minorEastAsia" w:hAnsi="Times New Roman"/>
          <w:lang w:val="en-GB" w:eastAsia="en-GB"/>
        </w:rPr>
      </w:pPr>
    </w:p>
    <w:p w:rsidR="009C3528" w:rsidRPr="008E187C" w:rsidRDefault="009C3528" w:rsidP="009C3528">
      <w:pPr>
        <w:spacing w:before="240" w:line="360" w:lineRule="auto"/>
        <w:jc w:val="both"/>
        <w:rPr>
          <w:rFonts w:ascii="Times New Roman" w:eastAsiaTheme="minorEastAsia" w:hAnsi="Times New Roman"/>
          <w:lang w:val="en-GB" w:eastAsia="en-GB"/>
        </w:rPr>
      </w:pPr>
    </w:p>
    <w:p w:rsidR="009C3528" w:rsidRPr="008E187C" w:rsidRDefault="009C3528" w:rsidP="009C3528">
      <w:pPr>
        <w:spacing w:before="240" w:line="360" w:lineRule="auto"/>
        <w:jc w:val="both"/>
        <w:rPr>
          <w:rFonts w:ascii="Times New Roman" w:eastAsiaTheme="minorEastAsia" w:hAnsi="Times New Roman"/>
          <w:sz w:val="20"/>
          <w:szCs w:val="20"/>
          <w:lang w:val="en-GB" w:eastAsia="en-GB"/>
        </w:rPr>
      </w:pPr>
    </w:p>
    <w:p w:rsidR="009C3528" w:rsidRPr="007E5794" w:rsidRDefault="009C3528" w:rsidP="009C3528">
      <w:pPr>
        <w:spacing w:before="120" w:after="240" w:line="360" w:lineRule="auto"/>
        <w:jc w:val="both"/>
        <w:rPr>
          <w:rFonts w:ascii="Times New Roman" w:eastAsiaTheme="minorEastAsia" w:hAnsi="Times New Roman" w:cs="Times New Roman"/>
          <w:szCs w:val="20"/>
          <w:lang w:val="en-GB" w:eastAsia="en-GB"/>
        </w:rPr>
      </w:pPr>
      <w:r w:rsidRPr="008E187C">
        <w:rPr>
          <w:rFonts w:ascii="Times New Roman" w:eastAsiaTheme="minorEastAsia" w:hAnsi="Times New Roman" w:cs="Times New Roman"/>
          <w:szCs w:val="20"/>
          <w:lang w:val="en-GB" w:eastAsia="en-GB"/>
        </w:rPr>
        <w:t xml:space="preserve">Source: D’Hernoncourt </w:t>
      </w:r>
      <w:r w:rsidRPr="008E187C">
        <w:rPr>
          <w:rFonts w:ascii="Times New Roman" w:eastAsiaTheme="minorEastAsia" w:hAnsi="Times New Roman" w:cs="Times New Roman"/>
          <w:i/>
          <w:iCs/>
          <w:szCs w:val="20"/>
          <w:lang w:val="en-GB" w:eastAsia="en-GB"/>
        </w:rPr>
        <w:t>et al.,</w:t>
      </w:r>
      <w:r w:rsidRPr="008E187C">
        <w:rPr>
          <w:rFonts w:ascii="Times New Roman" w:eastAsiaTheme="minorEastAsia" w:hAnsi="Times New Roman" w:cs="Times New Roman"/>
          <w:szCs w:val="20"/>
          <w:lang w:val="en-GB" w:eastAsia="en-GB"/>
        </w:rPr>
        <w:t xml:space="preserve"> (2011:10)</w:t>
      </w:r>
    </w:p>
    <w:p w:rsidR="009C3528" w:rsidRPr="008E187C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 w:eastAsia="en-GB"/>
        </w:rPr>
      </w:pPr>
      <w:bookmarkStart w:id="2" w:name="_Toc90015111"/>
      <w:r w:rsidRPr="008E187C">
        <w:rPr>
          <w:rFonts w:ascii="Times New Roman" w:eastAsiaTheme="minorEastAsia" w:hAnsi="Times New Roman" w:cs="Times New Roman"/>
          <w:b/>
          <w:szCs w:val="20"/>
          <w:lang w:val="en-GB" w:eastAsia="en-GB"/>
        </w:rPr>
        <w:t>Table 3: Final Demand Multipliers (Type I)</w:t>
      </w:r>
      <w:bookmarkEnd w:id="2"/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809"/>
        <w:gridCol w:w="3544"/>
        <w:gridCol w:w="3889"/>
      </w:tblGrid>
      <w:tr w:rsidR="009C3528" w:rsidRPr="008E187C" w:rsidTr="002149C2">
        <w:trPr>
          <w:trHeight w:val="454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b/>
                <w:bCs/>
                <w:sz w:val="20"/>
                <w:lang w:val="en-GB" w:eastAsia="en-GB"/>
              </w:rPr>
              <w:t>Multiplier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b/>
                <w:bCs/>
                <w:sz w:val="20"/>
                <w:lang w:val="en-GB" w:eastAsia="en-GB"/>
              </w:rPr>
              <w:t>Definition</w:t>
            </w:r>
          </w:p>
        </w:tc>
        <w:tc>
          <w:tcPr>
            <w:tcW w:w="3889" w:type="dxa"/>
            <w:shd w:val="clear" w:color="auto" w:fill="D9D9D9" w:themeFill="background1" w:themeFillShade="D9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b/>
                <w:bCs/>
                <w:sz w:val="20"/>
                <w:lang w:val="en-GB" w:eastAsia="en-GB"/>
              </w:rPr>
              <w:t>Application</w:t>
            </w:r>
          </w:p>
        </w:tc>
      </w:tr>
      <w:tr w:rsidR="009C3528" w:rsidRPr="008E187C" w:rsidTr="002149C2">
        <w:trPr>
          <w:trHeight w:val="454"/>
        </w:trPr>
        <w:tc>
          <w:tcPr>
            <w:tcW w:w="1809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bCs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bCs/>
                <w:sz w:val="20"/>
                <w:lang w:val="en-GB" w:eastAsia="en-GB"/>
              </w:rPr>
              <w:t>Output</w:t>
            </w:r>
          </w:p>
        </w:tc>
        <w:tc>
          <w:tcPr>
            <w:tcW w:w="3544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 w:eastAsia="en-GB"/>
              </w:rPr>
              <w:t>Total industry output per R1 change in final demand</w:t>
            </w:r>
          </w:p>
        </w:tc>
        <w:tc>
          <w:tcPr>
            <w:tcW w:w="3889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 w:eastAsia="en-GB"/>
              </w:rPr>
              <w:t>Final demand output × final demand multiplier = total gross output impact</w:t>
            </w:r>
          </w:p>
        </w:tc>
      </w:tr>
      <w:tr w:rsidR="009C3528" w:rsidRPr="008E187C" w:rsidTr="002149C2">
        <w:trPr>
          <w:trHeight w:val="454"/>
        </w:trPr>
        <w:tc>
          <w:tcPr>
            <w:tcW w:w="1809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bCs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bCs/>
                <w:sz w:val="20"/>
                <w:lang w:val="en-GB" w:eastAsia="en-GB"/>
              </w:rPr>
              <w:t>Value-added</w:t>
            </w:r>
          </w:p>
        </w:tc>
        <w:tc>
          <w:tcPr>
            <w:tcW w:w="3544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 w:eastAsia="en-GB"/>
              </w:rPr>
              <w:t>Total value-added per R1 change in final demand</w:t>
            </w:r>
          </w:p>
        </w:tc>
        <w:tc>
          <w:tcPr>
            <w:tcW w:w="3889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 w:eastAsia="en-GB"/>
              </w:rPr>
              <w:t>Final demand output × final demand value-added multiplier = total value-added impact</w:t>
            </w:r>
          </w:p>
        </w:tc>
      </w:tr>
      <w:tr w:rsidR="009C3528" w:rsidRPr="008E187C" w:rsidTr="002149C2">
        <w:trPr>
          <w:trHeight w:val="454"/>
        </w:trPr>
        <w:tc>
          <w:tcPr>
            <w:tcW w:w="1809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bCs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bCs/>
                <w:sz w:val="20"/>
                <w:lang w:val="en-GB" w:eastAsia="en-GB"/>
              </w:rPr>
              <w:t>Earnings</w:t>
            </w:r>
          </w:p>
        </w:tc>
        <w:tc>
          <w:tcPr>
            <w:tcW w:w="3544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 w:eastAsia="en-GB"/>
              </w:rPr>
              <w:t>Total household earnings per R1 change in final demand</w:t>
            </w:r>
          </w:p>
        </w:tc>
        <w:tc>
          <w:tcPr>
            <w:tcW w:w="3889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 w:eastAsia="en-GB"/>
              </w:rPr>
              <w:t>Final demand output × final demand earnings multiplier = total earnings impact</w:t>
            </w:r>
          </w:p>
        </w:tc>
      </w:tr>
      <w:tr w:rsidR="009C3528" w:rsidRPr="008E187C" w:rsidTr="002149C2">
        <w:trPr>
          <w:trHeight w:val="454"/>
        </w:trPr>
        <w:tc>
          <w:tcPr>
            <w:tcW w:w="1809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bCs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bCs/>
                <w:sz w:val="20"/>
                <w:lang w:val="en-GB" w:eastAsia="en-GB"/>
              </w:rPr>
              <w:t>Employment</w:t>
            </w:r>
          </w:p>
        </w:tc>
        <w:tc>
          <w:tcPr>
            <w:tcW w:w="3544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 w:eastAsia="en-GB"/>
              </w:rPr>
              <w:t>Total number of jobs per R1 million change in final demand</w:t>
            </w:r>
          </w:p>
        </w:tc>
        <w:tc>
          <w:tcPr>
            <w:tcW w:w="3889" w:type="dxa"/>
            <w:vAlign w:val="center"/>
          </w:tcPr>
          <w:p w:rsidR="009C3528" w:rsidRPr="008E187C" w:rsidRDefault="009C3528" w:rsidP="002149C2">
            <w:pPr>
              <w:spacing w:before="120" w:after="120"/>
              <w:rPr>
                <w:rFonts w:ascii="Times New Roman" w:hAnsi="Times New Roman" w:cs="Times New Roman"/>
                <w:sz w:val="20"/>
                <w:lang w:val="en-GB" w:eastAsia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 w:eastAsia="en-GB"/>
              </w:rPr>
              <w:t xml:space="preserve">Final demand output × final demand employment multiplier = total jobs impact </w:t>
            </w:r>
          </w:p>
        </w:tc>
      </w:tr>
    </w:tbl>
    <w:p w:rsidR="009C3528" w:rsidRPr="007E5794" w:rsidRDefault="009C3528" w:rsidP="009C3528">
      <w:pPr>
        <w:spacing w:before="120" w:after="240" w:line="360" w:lineRule="auto"/>
        <w:jc w:val="both"/>
        <w:rPr>
          <w:rFonts w:ascii="Times New Roman" w:eastAsiaTheme="minorEastAsia" w:hAnsi="Times New Roman" w:cs="Times New Roman"/>
          <w:szCs w:val="20"/>
          <w:lang w:val="en-GB" w:eastAsia="en-GB"/>
        </w:rPr>
      </w:pPr>
      <w:r w:rsidRPr="008E187C">
        <w:rPr>
          <w:rFonts w:ascii="Times New Roman" w:eastAsiaTheme="minorEastAsia" w:hAnsi="Times New Roman" w:cs="Times New Roman"/>
          <w:i/>
          <w:iCs/>
          <w:szCs w:val="20"/>
          <w:lang w:val="en-GB" w:eastAsia="en-GB"/>
        </w:rPr>
        <w:t>Source:</w:t>
      </w:r>
      <w:r w:rsidRPr="008E187C">
        <w:rPr>
          <w:rFonts w:ascii="Times New Roman" w:eastAsiaTheme="minorEastAsia" w:hAnsi="Times New Roman" w:cs="Times New Roman"/>
          <w:szCs w:val="20"/>
          <w:lang w:val="en-GB" w:eastAsia="en-GB"/>
        </w:rPr>
        <w:t xml:space="preserve"> D’Hernoncourt </w:t>
      </w:r>
      <w:r w:rsidRPr="008E187C">
        <w:rPr>
          <w:rFonts w:ascii="Times New Roman" w:eastAsiaTheme="minorEastAsia" w:hAnsi="Times New Roman" w:cs="Times New Roman"/>
          <w:i/>
          <w:iCs/>
          <w:szCs w:val="20"/>
          <w:lang w:val="en-GB" w:eastAsia="en-GB"/>
        </w:rPr>
        <w:t>et al.,</w:t>
      </w:r>
      <w:r w:rsidRPr="008E187C">
        <w:rPr>
          <w:rFonts w:ascii="Times New Roman" w:eastAsiaTheme="minorEastAsia" w:hAnsi="Times New Roman" w:cs="Times New Roman"/>
          <w:szCs w:val="20"/>
          <w:lang w:val="en-GB" w:eastAsia="en-GB"/>
        </w:rPr>
        <w:t xml:space="preserve"> (2011:11)</w:t>
      </w:r>
    </w:p>
    <w:p w:rsidR="009C3528" w:rsidRPr="00425904" w:rsidRDefault="009C3528" w:rsidP="009C3528">
      <w:pPr>
        <w:pStyle w:val="Subtitle"/>
      </w:pPr>
      <w:bookmarkStart w:id="3" w:name="_Toc90015113"/>
      <w:bookmarkStart w:id="4" w:name="_Hlk103691497"/>
      <w:r w:rsidRPr="00425904">
        <w:t xml:space="preserve">Table </w:t>
      </w:r>
      <w:r>
        <w:t>4:</w:t>
      </w:r>
      <w:r w:rsidRPr="00425904">
        <w:t xml:space="preserve"> Classifications of the backward and forward linkages’ results</w:t>
      </w:r>
      <w:bookmarkEnd w:id="3"/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980"/>
        <w:gridCol w:w="1134"/>
        <w:gridCol w:w="2693"/>
        <w:gridCol w:w="3209"/>
      </w:tblGrid>
      <w:tr w:rsidR="009C3528" w:rsidRPr="008E187C" w:rsidTr="002149C2">
        <w:trPr>
          <w:trHeight w:val="397"/>
        </w:trPr>
        <w:tc>
          <w:tcPr>
            <w:tcW w:w="3114" w:type="dxa"/>
            <w:gridSpan w:val="2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5902" w:type="dxa"/>
            <w:gridSpan w:val="2"/>
            <w:shd w:val="clear" w:color="auto" w:fill="D9D9D9" w:themeFill="background1" w:themeFillShade="D9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Forward linkages</w:t>
            </w:r>
          </w:p>
        </w:tc>
      </w:tr>
      <w:tr w:rsidR="009C3528" w:rsidRPr="008E187C" w:rsidTr="002149C2">
        <w:trPr>
          <w:trHeight w:val="397"/>
        </w:trPr>
        <w:tc>
          <w:tcPr>
            <w:tcW w:w="3114" w:type="dxa"/>
            <w:gridSpan w:val="2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2693" w:type="dxa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Low (&lt;1)</w:t>
            </w:r>
          </w:p>
        </w:tc>
        <w:tc>
          <w:tcPr>
            <w:tcW w:w="3209" w:type="dxa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High (&gt;1)</w:t>
            </w:r>
          </w:p>
        </w:tc>
      </w:tr>
      <w:tr w:rsidR="009C3528" w:rsidRPr="008E187C" w:rsidTr="002149C2">
        <w:trPr>
          <w:trHeight w:val="397"/>
        </w:trPr>
        <w:tc>
          <w:tcPr>
            <w:tcW w:w="1980" w:type="dxa"/>
            <w:vMerge w:val="restart"/>
            <w:shd w:val="clear" w:color="auto" w:fill="D9D9D9" w:themeFill="background1" w:themeFillShade="D9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Backward linkages</w:t>
            </w:r>
          </w:p>
        </w:tc>
        <w:tc>
          <w:tcPr>
            <w:tcW w:w="1134" w:type="dxa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Low (&lt;1)</w:t>
            </w:r>
          </w:p>
        </w:tc>
        <w:tc>
          <w:tcPr>
            <w:tcW w:w="2693" w:type="dxa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/>
              </w:rPr>
              <w:t>Weak linkages sector (W)</w:t>
            </w:r>
          </w:p>
        </w:tc>
        <w:tc>
          <w:tcPr>
            <w:tcW w:w="3209" w:type="dxa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/>
              </w:rPr>
              <w:t>Strong forward linkage sector (F)</w:t>
            </w:r>
          </w:p>
        </w:tc>
      </w:tr>
      <w:tr w:rsidR="009C3528" w:rsidRPr="008E187C" w:rsidTr="002149C2">
        <w:trPr>
          <w:trHeight w:val="397"/>
        </w:trPr>
        <w:tc>
          <w:tcPr>
            <w:tcW w:w="1980" w:type="dxa"/>
            <w:vMerge/>
            <w:shd w:val="clear" w:color="auto" w:fill="D9D9D9" w:themeFill="background1" w:themeFillShade="D9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High (&gt;1)</w:t>
            </w:r>
          </w:p>
        </w:tc>
        <w:tc>
          <w:tcPr>
            <w:tcW w:w="2693" w:type="dxa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/>
              </w:rPr>
              <w:t>Strong backward linkage sector (B)</w:t>
            </w:r>
          </w:p>
        </w:tc>
        <w:tc>
          <w:tcPr>
            <w:tcW w:w="3209" w:type="dxa"/>
            <w:vAlign w:val="center"/>
          </w:tcPr>
          <w:p w:rsidR="009C3528" w:rsidRPr="008E187C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8E187C">
              <w:rPr>
                <w:rFonts w:ascii="Times New Roman" w:hAnsi="Times New Roman" w:cs="Times New Roman"/>
                <w:sz w:val="20"/>
                <w:lang w:val="en-GB"/>
              </w:rPr>
              <w:t>Key sector (K)</w:t>
            </w:r>
          </w:p>
        </w:tc>
      </w:tr>
    </w:tbl>
    <w:p w:rsidR="009C3528" w:rsidRDefault="009C3528" w:rsidP="009C3528">
      <w:pPr>
        <w:spacing w:before="120" w:after="240" w:line="360" w:lineRule="auto"/>
        <w:jc w:val="both"/>
        <w:rPr>
          <w:rFonts w:eastAsia="Times New Roman" w:cs="Times New Roman"/>
          <w:szCs w:val="20"/>
          <w:lang w:val="en-GB"/>
        </w:rPr>
      </w:pPr>
      <w:r w:rsidRPr="00425904">
        <w:rPr>
          <w:rFonts w:eastAsia="Times New Roman" w:cs="Times New Roman"/>
          <w:i/>
          <w:iCs/>
          <w:szCs w:val="20"/>
          <w:lang w:val="en-GB"/>
        </w:rPr>
        <w:t>Source:</w:t>
      </w:r>
      <w:r w:rsidRPr="00425904">
        <w:rPr>
          <w:rFonts w:eastAsia="Times New Roman" w:cs="Times New Roman"/>
          <w:szCs w:val="20"/>
          <w:lang w:val="en-GB"/>
        </w:rPr>
        <w:t xml:space="preserve"> Temursho (2016:12)</w:t>
      </w:r>
    </w:p>
    <w:bookmarkEnd w:id="4"/>
    <w:p w:rsidR="009C3528" w:rsidRPr="00924FD1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  <w:r w:rsidRPr="00924FD1">
        <w:rPr>
          <w:rFonts w:ascii="Times New Roman" w:eastAsiaTheme="minorEastAsia" w:hAnsi="Times New Roman" w:cs="Times New Roman"/>
          <w:b/>
          <w:szCs w:val="20"/>
          <w:lang w:val="en-GB"/>
        </w:rPr>
        <w:t>Table 5: 2020 Input-output table of the Nelson Mandela Bay Metropolitan Municipality</w:t>
      </w:r>
    </w:p>
    <w:tbl>
      <w:tblPr>
        <w:tblStyle w:val="TableGrid1"/>
        <w:tblpPr w:leftFromText="180" w:rightFromText="180" w:vertAnchor="page" w:horzAnchor="margin" w:tblpY="2053"/>
        <w:tblW w:w="14142" w:type="dxa"/>
        <w:tblLayout w:type="fixed"/>
        <w:tblLook w:val="04A0" w:firstRow="1" w:lastRow="0" w:firstColumn="1" w:lastColumn="0" w:noHBand="0" w:noVBand="1"/>
      </w:tblPr>
      <w:tblGrid>
        <w:gridCol w:w="1289"/>
        <w:gridCol w:w="662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850"/>
        <w:gridCol w:w="851"/>
        <w:gridCol w:w="850"/>
        <w:gridCol w:w="851"/>
        <w:gridCol w:w="850"/>
        <w:gridCol w:w="851"/>
      </w:tblGrid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Nelson Mandela Bay 2019 financial year</w:t>
            </w:r>
          </w:p>
        </w:tc>
        <w:tc>
          <w:tcPr>
            <w:tcW w:w="662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SIC1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SIC2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SIC3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SIC4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SIC5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SIC6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SIC7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SIC8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SIC9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SIC10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House-hold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General Govern-ment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Capital formation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Changes in invento-ries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Exports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Imports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Total demand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Agriculture [SIC 1]</w:t>
            </w:r>
          </w:p>
        </w:tc>
        <w:tc>
          <w:tcPr>
            <w:tcW w:w="662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0,47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689,47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0,01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1,31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0,01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0,45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0,24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1,27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62,66</w:t>
            </w: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17,91</w:t>
            </w: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-0,38</w:t>
            </w:r>
          </w:p>
        </w:tc>
        <w:tc>
          <w:tcPr>
            <w:tcW w:w="851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36,13</w:t>
            </w:r>
          </w:p>
        </w:tc>
        <w:tc>
          <w:tcPr>
            <w:tcW w:w="850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-21,37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788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Mining [SIC 2]</w:t>
            </w:r>
          </w:p>
        </w:tc>
        <w:tc>
          <w:tcPr>
            <w:tcW w:w="662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0,08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0,00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90,57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3,20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2,47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0,14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0,66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0,03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0,01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-0,00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0,02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-0,01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97,17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Manufacturing [SIC 3]</w:t>
            </w:r>
          </w:p>
        </w:tc>
        <w:tc>
          <w:tcPr>
            <w:tcW w:w="662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137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10,13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27 903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126,57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3 651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2 757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2 958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3 224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689,52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1 082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23 946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4 320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-145,12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13 810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-8 168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76 306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Electricity, gas [SIC 4]</w:t>
            </w:r>
          </w:p>
        </w:tc>
        <w:tc>
          <w:tcPr>
            <w:tcW w:w="662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4,82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1,49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980,07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115,76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13,14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151,63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81,91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372,62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11,25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52,95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558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698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-3,38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321,98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-190,44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3 170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Construction [SIC 5]</w:t>
            </w:r>
          </w:p>
        </w:tc>
        <w:tc>
          <w:tcPr>
            <w:tcW w:w="662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0,37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0,31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816,51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17,68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335,69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498,03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893,46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636,13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87,16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260,66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5 075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549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-30,76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2 926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-1 731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10 336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Wholesale and retail trade [SIC 6]</w:t>
            </w:r>
          </w:p>
        </w:tc>
        <w:tc>
          <w:tcPr>
            <w:tcW w:w="662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49,28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3,92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13 181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103,20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1 449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1 147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1 701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1 619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275,10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558,15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9 428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1 606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-57,14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5 437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-3 216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33 287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Transport, storage [SIC 7]</w:t>
            </w:r>
          </w:p>
        </w:tc>
        <w:tc>
          <w:tcPr>
            <w:tcW w:w="662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42,24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9,92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4 116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33,81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429,15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1 227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1 188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1 782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478,10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308,28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6 988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3 746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-42,35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4 030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-2 383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21 955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Finance, insurance [SIC 8]</w:t>
            </w:r>
          </w:p>
        </w:tc>
        <w:tc>
          <w:tcPr>
            <w:tcW w:w="662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23,68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4,69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3 618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48,58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840,93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3 333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1 869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7 441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657,34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1 424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14 626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4 764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-88,64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8 435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-4 989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42 012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General government [SIC 91]</w:t>
            </w:r>
          </w:p>
        </w:tc>
        <w:tc>
          <w:tcPr>
            <w:tcW w:w="662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65,10</w:t>
            </w:r>
          </w:p>
        </w:tc>
        <w:tc>
          <w:tcPr>
            <w:tcW w:w="708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709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898,29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420,83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6 630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9 973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2 784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-40,18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3 823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-2 261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22 295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Community, social services [SIC 92-96, 99]</w:t>
            </w:r>
          </w:p>
        </w:tc>
        <w:tc>
          <w:tcPr>
            <w:tcW w:w="662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24,29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0,14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430,00</w:t>
            </w:r>
          </w:p>
        </w:tc>
        <w:tc>
          <w:tcPr>
            <w:tcW w:w="708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7,16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5,25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89,79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638,64</w:t>
            </w:r>
          </w:p>
        </w:tc>
        <w:tc>
          <w:tcPr>
            <w:tcW w:w="708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2 238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283,79</w:t>
            </w:r>
          </w:p>
        </w:tc>
        <w:tc>
          <w:tcPr>
            <w:tcW w:w="709" w:type="dxa"/>
            <w:tcBorders>
              <w:bottom w:val="double" w:sz="4" w:space="0" w:color="auto"/>
              <w:right w:val="double" w:sz="4" w:space="0" w:color="auto"/>
            </w:tcBorders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258,93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4 771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555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-28,92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2 751</w:t>
            </w:r>
          </w:p>
        </w:tc>
        <w:tc>
          <w:tcPr>
            <w:tcW w:w="85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-1 627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10 398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Tax-subs on Products</w:t>
            </w:r>
          </w:p>
        </w:tc>
        <w:tc>
          <w:tcPr>
            <w:tcW w:w="662" w:type="dxa"/>
            <w:tcBorders>
              <w:top w:val="double" w:sz="4" w:space="0" w:color="auto"/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47,54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6,41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4 127</w:t>
            </w:r>
          </w:p>
        </w:tc>
        <w:tc>
          <w:tcPr>
            <w:tcW w:w="708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236,74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527,03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2 109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1 301</w:t>
            </w:r>
          </w:p>
        </w:tc>
        <w:tc>
          <w:tcPr>
            <w:tcW w:w="708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2 400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1 431</w:t>
            </w:r>
          </w:p>
        </w:tc>
        <w:tc>
          <w:tcPr>
            <w:tcW w:w="70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625,64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4 030</w:t>
            </w: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1 228,08</w:t>
            </w: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top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18 072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Employees</w:t>
            </w:r>
          </w:p>
        </w:tc>
        <w:tc>
          <w:tcPr>
            <w:tcW w:w="662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143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28,12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13 168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764,22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1 567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9 840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4 086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9 781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15 281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3 294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57 956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Tax-subs on production</w:t>
            </w:r>
          </w:p>
        </w:tc>
        <w:tc>
          <w:tcPr>
            <w:tcW w:w="662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2,38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0,67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270,92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7,87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32,48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413,06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187,76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1 164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218,23</w:t>
            </w:r>
          </w:p>
        </w:tc>
        <w:tc>
          <w:tcPr>
            <w:tcW w:w="709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145,91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2 444</w:t>
            </w:r>
          </w:p>
        </w:tc>
      </w:tr>
      <w:tr w:rsidR="009C3528" w:rsidRPr="00D71F35" w:rsidTr="002149C2">
        <w:trPr>
          <w:trHeight w:val="340"/>
        </w:trPr>
        <w:tc>
          <w:tcPr>
            <w:tcW w:w="1289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GOS</w:t>
            </w:r>
          </w:p>
        </w:tc>
        <w:tc>
          <w:tcPr>
            <w:tcW w:w="662" w:type="dxa"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312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31,37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6 912</w:t>
            </w:r>
          </w:p>
        </w:tc>
        <w:tc>
          <w:tcPr>
            <w:tcW w:w="708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1 705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1 481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11 718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6 982</w:t>
            </w:r>
          </w:p>
        </w:tc>
        <w:tc>
          <w:tcPr>
            <w:tcW w:w="708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11 349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1 983</w:t>
            </w:r>
          </w:p>
        </w:tc>
        <w:tc>
          <w:tcPr>
            <w:tcW w:w="709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1 962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44 440</w:t>
            </w:r>
          </w:p>
        </w:tc>
      </w:tr>
      <w:tr w:rsidR="009C3528" w:rsidRPr="00D71F35" w:rsidTr="002149C2">
        <w:trPr>
          <w:trHeight w:val="607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9C3528" w:rsidRPr="00D71F35" w:rsidRDefault="009C3528" w:rsidP="002149C2">
            <w:pPr>
              <w:spacing w:before="240"/>
              <w:contextualSpacing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Total output</w:t>
            </w:r>
          </w:p>
        </w:tc>
        <w:tc>
          <w:tcPr>
            <w:tcW w:w="662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788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97,17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76 306</w:t>
            </w:r>
          </w:p>
        </w:tc>
        <w:tc>
          <w:tcPr>
            <w:tcW w:w="708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3 170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10 336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33 287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21 955</w:t>
            </w:r>
          </w:p>
        </w:tc>
        <w:tc>
          <w:tcPr>
            <w:tcW w:w="708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42 012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22 295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10 398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76 119</w:t>
            </w: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9 973,86</w:t>
            </w:r>
          </w:p>
        </w:tc>
        <w:tc>
          <w:tcPr>
            <w:tcW w:w="851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20 271</w:t>
            </w: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-436</w:t>
            </w:r>
          </w:p>
        </w:tc>
        <w:tc>
          <w:tcPr>
            <w:tcW w:w="851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41 574</w:t>
            </w: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D71F35">
              <w:rPr>
                <w:rFonts w:ascii="Times New Roman" w:hAnsi="Times New Roman" w:cs="Times New Roman"/>
                <w:bCs/>
                <w:sz w:val="16"/>
                <w:szCs w:val="16"/>
                <w:lang w:eastAsia="en-GB"/>
              </w:rPr>
              <w:t>-24 589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D71F35" w:rsidRDefault="009C3528" w:rsidP="002149C2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</w:tbl>
    <w:p w:rsidR="009C3528" w:rsidRDefault="009C3528" w:rsidP="009C3528">
      <w:pPr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br w:type="page"/>
      </w:r>
      <w:r>
        <w:rPr>
          <w:rFonts w:ascii="Times New Roman" w:hAnsi="Times New Roman"/>
          <w:lang w:val="en-GB"/>
        </w:rPr>
        <w:t xml:space="preserve"> </w:t>
      </w:r>
    </w:p>
    <w:p w:rsidR="009C3528" w:rsidRDefault="009C3528" w:rsidP="009C3528">
      <w:pPr>
        <w:rPr>
          <w:rFonts w:ascii="Times New Roman" w:hAnsi="Times New Roman"/>
          <w:lang w:val="en-GB"/>
        </w:rPr>
      </w:pPr>
      <w:r w:rsidRPr="00924FD1">
        <w:rPr>
          <w:rFonts w:ascii="Times New Roman" w:eastAsia="Times New Roman" w:hAnsi="Times New Roman" w:cs="Times New Roman"/>
          <w:i/>
          <w:iCs/>
          <w:szCs w:val="20"/>
          <w:lang w:val="en-GB"/>
        </w:rPr>
        <w:t>Source:</w:t>
      </w:r>
      <w:r w:rsidRPr="00924FD1">
        <w:rPr>
          <w:rFonts w:ascii="Times New Roman" w:eastAsia="Times New Roman" w:hAnsi="Times New Roman" w:cs="Times New Roman"/>
          <w:szCs w:val="20"/>
          <w:lang w:val="en-GB"/>
        </w:rPr>
        <w:t xml:space="preserve"> Author’s compilation</w:t>
      </w:r>
    </w:p>
    <w:p w:rsidR="009C3528" w:rsidRPr="00924FD1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  <w:r w:rsidRPr="00924FD1">
        <w:rPr>
          <w:rFonts w:ascii="Times New Roman" w:eastAsiaTheme="minorEastAsia" w:hAnsi="Times New Roman" w:cs="Times New Roman"/>
          <w:b/>
          <w:szCs w:val="20"/>
          <w:lang w:val="en-GB"/>
        </w:rPr>
        <w:t>Table 6: 2020 Technical coefficients of the Nelson Mandela Metropolitan Municipality</w:t>
      </w:r>
    </w:p>
    <w:tbl>
      <w:tblPr>
        <w:tblStyle w:val="TableGrid2"/>
        <w:tblpPr w:leftFromText="180" w:rightFromText="180" w:vertAnchor="page" w:horzAnchor="margin" w:tblpX="-147" w:tblpY="2077"/>
        <w:tblW w:w="14884" w:type="dxa"/>
        <w:tblLayout w:type="fixed"/>
        <w:tblLook w:val="04A0" w:firstRow="1" w:lastRow="0" w:firstColumn="1" w:lastColumn="0" w:noHBand="0" w:noVBand="1"/>
      </w:tblPr>
      <w:tblGrid>
        <w:gridCol w:w="2552"/>
        <w:gridCol w:w="567"/>
        <w:gridCol w:w="1069"/>
        <w:gridCol w:w="1070"/>
        <w:gridCol w:w="1069"/>
        <w:gridCol w:w="1070"/>
        <w:gridCol w:w="1069"/>
        <w:gridCol w:w="1070"/>
        <w:gridCol w:w="1069"/>
        <w:gridCol w:w="1070"/>
        <w:gridCol w:w="1069"/>
        <w:gridCol w:w="1070"/>
        <w:gridCol w:w="1070"/>
      </w:tblGrid>
      <w:tr w:rsidR="009C3528" w:rsidRPr="00924FD1" w:rsidTr="002149C2">
        <w:trPr>
          <w:trHeight w:val="1121"/>
        </w:trPr>
        <w:tc>
          <w:tcPr>
            <w:tcW w:w="2552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1069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Agriculture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1]</w:t>
            </w:r>
          </w:p>
        </w:tc>
        <w:tc>
          <w:tcPr>
            <w:tcW w:w="1070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Mining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2]</w:t>
            </w:r>
          </w:p>
        </w:tc>
        <w:tc>
          <w:tcPr>
            <w:tcW w:w="1069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Manufacturing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3]</w:t>
            </w:r>
          </w:p>
        </w:tc>
        <w:tc>
          <w:tcPr>
            <w:tcW w:w="1070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Electricity, gas and water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4]</w:t>
            </w:r>
          </w:p>
        </w:tc>
        <w:tc>
          <w:tcPr>
            <w:tcW w:w="1069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Construc-tion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5]</w:t>
            </w:r>
          </w:p>
        </w:tc>
        <w:tc>
          <w:tcPr>
            <w:tcW w:w="1070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Wholesale and retail trade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6]</w:t>
            </w:r>
          </w:p>
        </w:tc>
        <w:tc>
          <w:tcPr>
            <w:tcW w:w="1069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Transport, storage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7]</w:t>
            </w:r>
          </w:p>
        </w:tc>
        <w:tc>
          <w:tcPr>
            <w:tcW w:w="1070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Finance, insurance, real estate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8]</w:t>
            </w:r>
          </w:p>
        </w:tc>
        <w:tc>
          <w:tcPr>
            <w:tcW w:w="1069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General govern-ment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91]</w:t>
            </w:r>
          </w:p>
        </w:tc>
        <w:tc>
          <w:tcPr>
            <w:tcW w:w="1070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Communi-ty, social services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br/>
              <w:t>[SIC 92-96, 99]</w:t>
            </w:r>
          </w:p>
        </w:tc>
        <w:tc>
          <w:tcPr>
            <w:tcW w:w="1070" w:type="dxa"/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Total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A-matrix (Technical coefficients)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Nr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4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5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6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7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8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9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10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Agriculture [SIC 1]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0,009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0,010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Mining and quarrying [SIC 2]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0,003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Manufacturing [SIC 3]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0,175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0,104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0,366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0,040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0,353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0,083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0,135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0,077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0,104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1,468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Electricity, gas and water [SIC 4]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0,006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0,015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0,013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0,037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0,009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0,005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0,095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Construction [SIC 5]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0,011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0,015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0,041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0,015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0,025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0,152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Wholesale and retail trade [SIC 6]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0,063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0,040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0,173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0,140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0,077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0,039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0,012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0,054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0,665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Transport and storage [SIC 7]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7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0,054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0,102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0,054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0,011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0,042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0,037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0,054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0,042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0,021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0,030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0,446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Finance, insurance [SIC 8]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8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0,048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0,047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0,015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0,081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0,085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0,177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0,029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0,137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0,751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General government [SIC 91]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9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0,040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0,040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0,084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Community, social services [SIC 92-96, 99]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 w:eastAsia="en-GB"/>
              </w:rPr>
              <w:t>10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0,031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0,006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0,003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0,029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0,053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0,013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val="en-GB"/>
              </w:rPr>
              <w:t>0,025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0,163</w:t>
            </w:r>
          </w:p>
        </w:tc>
      </w:tr>
      <w:tr w:rsidR="009C3528" w:rsidRPr="00924FD1" w:rsidTr="002149C2">
        <w:trPr>
          <w:trHeight w:val="474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val="en-GB" w:eastAsia="en-GB"/>
              </w:rPr>
              <w:t>Total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0,359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0,315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0,679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0,144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0,651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0,277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0,428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0,412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0,152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0,420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3,837</w:t>
            </w:r>
          </w:p>
        </w:tc>
      </w:tr>
    </w:tbl>
    <w:p w:rsidR="009C3528" w:rsidRDefault="009C3528" w:rsidP="009C3528">
      <w:pPr>
        <w:rPr>
          <w:rFonts w:ascii="Times New Roman" w:eastAsia="Times New Roman" w:hAnsi="Times New Roman" w:cs="Times New Roman"/>
          <w:szCs w:val="20"/>
          <w:lang w:val="en-GB" w:eastAsia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  <w:bookmarkStart w:id="5" w:name="_Toc90015114"/>
      <w:bookmarkStart w:id="6" w:name="_Hlk82609436"/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Pr="00924FD1" w:rsidRDefault="009C3528" w:rsidP="009C3528">
      <w:pPr>
        <w:spacing w:before="240" w:after="0" w:line="360" w:lineRule="auto"/>
        <w:rPr>
          <w:rFonts w:ascii="Times New Roman" w:hAnsi="Times New Roman"/>
        </w:rPr>
      </w:pPr>
      <w:bookmarkStart w:id="7" w:name="_GoBack"/>
      <w:bookmarkEnd w:id="7"/>
      <w:r w:rsidRPr="00924FD1">
        <w:rPr>
          <w:rFonts w:ascii="Times New Roman" w:hAnsi="Times New Roman"/>
          <w:i/>
          <w:iCs/>
        </w:rPr>
        <w:t>Source:</w:t>
      </w:r>
      <w:r w:rsidRPr="00924FD1">
        <w:rPr>
          <w:rFonts w:ascii="Times New Roman" w:hAnsi="Times New Roman"/>
        </w:rPr>
        <w:t xml:space="preserve"> Author’s compilation</w:t>
      </w:r>
    </w:p>
    <w:p w:rsidR="009C3528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Pr="00924FD1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  <w:r w:rsidRPr="00924FD1">
        <w:rPr>
          <w:rFonts w:ascii="Times New Roman" w:eastAsiaTheme="minorEastAsia" w:hAnsi="Times New Roman" w:cs="Times New Roman"/>
          <w:b/>
          <w:szCs w:val="20"/>
          <w:lang w:val="en-GB"/>
        </w:rPr>
        <w:t>Table 7: 2020 Leontief inverse matrix for the Nelson Mandela Bay Metropolitan Municipality</w:t>
      </w:r>
      <w:bookmarkEnd w:id="5"/>
    </w:p>
    <w:tbl>
      <w:tblPr>
        <w:tblStyle w:val="TableGrid31"/>
        <w:tblW w:w="14553" w:type="dxa"/>
        <w:tblLayout w:type="fixed"/>
        <w:tblLook w:val="04A0" w:firstRow="1" w:lastRow="0" w:firstColumn="1" w:lastColumn="0" w:noHBand="0" w:noVBand="1"/>
      </w:tblPr>
      <w:tblGrid>
        <w:gridCol w:w="3085"/>
        <w:gridCol w:w="851"/>
        <w:gridCol w:w="847"/>
        <w:gridCol w:w="977"/>
        <w:gridCol w:w="977"/>
        <w:gridCol w:w="977"/>
        <w:gridCol w:w="977"/>
        <w:gridCol w:w="977"/>
        <w:gridCol w:w="977"/>
        <w:gridCol w:w="977"/>
        <w:gridCol w:w="847"/>
        <w:gridCol w:w="1107"/>
        <w:gridCol w:w="977"/>
      </w:tblGrid>
      <w:tr w:rsidR="009C3528" w:rsidRPr="00924FD1" w:rsidTr="002149C2">
        <w:trPr>
          <w:trHeight w:val="383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bookmarkStart w:id="8" w:name="_Hlk83848127"/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[I-A]</w:t>
            </w:r>
            <w:r w:rsidRPr="00924FD1">
              <w:rPr>
                <w:rFonts w:ascii="Times New Roman" w:hAnsi="Times New Roman"/>
                <w:b/>
                <w:sz w:val="16"/>
                <w:szCs w:val="16"/>
                <w:vertAlign w:val="superscript"/>
                <w:lang w:eastAsia="en-GB"/>
              </w:rPr>
              <w:t>-1</w:t>
            </w: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 xml:space="preserve"> matrix - Type I Leontief inverse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[SIC1]</w:t>
            </w:r>
          </w:p>
        </w:tc>
        <w:tc>
          <w:tcPr>
            <w:tcW w:w="847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[SIC2]</w:t>
            </w:r>
          </w:p>
        </w:tc>
        <w:tc>
          <w:tcPr>
            <w:tcW w:w="977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[SIC3]</w:t>
            </w:r>
          </w:p>
        </w:tc>
        <w:tc>
          <w:tcPr>
            <w:tcW w:w="977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[SIC4]</w:t>
            </w:r>
          </w:p>
        </w:tc>
        <w:tc>
          <w:tcPr>
            <w:tcW w:w="977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[SIC5]</w:t>
            </w:r>
          </w:p>
        </w:tc>
        <w:tc>
          <w:tcPr>
            <w:tcW w:w="977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[SIC6]</w:t>
            </w:r>
          </w:p>
        </w:tc>
        <w:tc>
          <w:tcPr>
            <w:tcW w:w="977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[SIC7]</w:t>
            </w:r>
          </w:p>
        </w:tc>
        <w:tc>
          <w:tcPr>
            <w:tcW w:w="977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[SIC8]</w:t>
            </w:r>
          </w:p>
        </w:tc>
        <w:tc>
          <w:tcPr>
            <w:tcW w:w="977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[SIC9]</w:t>
            </w:r>
          </w:p>
        </w:tc>
        <w:tc>
          <w:tcPr>
            <w:tcW w:w="847" w:type="dxa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[SIC10]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Total input multipliers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Forward linkages</w:t>
            </w:r>
          </w:p>
        </w:tc>
      </w:tr>
      <w:tr w:rsidR="009C3528" w:rsidRPr="00924FD1" w:rsidTr="002149C2">
        <w:trPr>
          <w:trHeight w:val="335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Agriculture, forestry and fishing [SIC 1]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1,004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0,002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0,015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0,006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0,002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0,003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0,002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0,001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0,002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1,038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0,589</w:t>
            </w:r>
          </w:p>
        </w:tc>
      </w:tr>
      <w:tr w:rsidR="009C3528" w:rsidRPr="00924FD1" w:rsidTr="002149C2">
        <w:trPr>
          <w:trHeight w:val="131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Mining and quarrying [SIC 2]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0,001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1,000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0,002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0,000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0,000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0,000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0,000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0,000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1,007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0,572</w:t>
            </w:r>
          </w:p>
        </w:tc>
      </w:tr>
      <w:tr w:rsidR="009C3528" w:rsidRPr="00924FD1" w:rsidTr="002149C2">
        <w:trPr>
          <w:trHeight w:val="265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Manufacturing [SIC 3]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0,340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0,230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1,692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0,088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0,677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0,191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0,313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0,213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0,077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0,252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4,072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2,313</w:t>
            </w:r>
          </w:p>
        </w:tc>
      </w:tr>
      <w:tr w:rsidR="009C3528" w:rsidRPr="00924FD1" w:rsidTr="002149C2">
        <w:trPr>
          <w:trHeight w:val="271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Electricity, gas and water [SIC 4]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0,013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0,021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0,026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1,040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0,014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0,009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0,016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0,002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0,012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1,165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0,662</w:t>
            </w:r>
          </w:p>
        </w:tc>
      </w:tr>
      <w:tr w:rsidR="009C3528" w:rsidRPr="00924FD1" w:rsidTr="002149C2">
        <w:trPr>
          <w:trHeight w:val="393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Construction [SIC 5]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0,013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0,015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0,032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0,009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1,054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0,024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0,056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0,029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0,008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0,038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1,278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0,726</w:t>
            </w:r>
          </w:p>
        </w:tc>
      </w:tr>
      <w:tr w:rsidR="009C3528" w:rsidRPr="00924FD1" w:rsidTr="002149C2">
        <w:trPr>
          <w:trHeight w:val="503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Wholesale and retail trade [SIC 6]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0,141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0,101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0,327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0,056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0,292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1,086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0,161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0,104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0,034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0,123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2,425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1,378</w:t>
            </w:r>
          </w:p>
        </w:tc>
      </w:tr>
      <w:tr w:rsidR="009C3528" w:rsidRPr="00924FD1" w:rsidTr="002149C2">
        <w:trPr>
          <w:trHeight w:val="345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Transport, storage and communication [SIC 7]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0,088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0,131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0,120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0,021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0,106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0,062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1,093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0,077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0,033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0,064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1,795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1,020</w:t>
            </w:r>
          </w:p>
        </w:tc>
      </w:tr>
      <w:tr w:rsidR="009C3528" w:rsidRPr="00924FD1" w:rsidTr="002149C2">
        <w:trPr>
          <w:trHeight w:val="283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Finance, insurance, real estate and business services [SIC 8]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0,091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0,102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0,158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0,035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0,194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0,155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0,164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1,264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0,053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0,215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2,431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1,381</w:t>
            </w:r>
          </w:p>
        </w:tc>
      </w:tr>
      <w:tr w:rsidR="009C3528" w:rsidRPr="00924FD1" w:rsidTr="002149C2">
        <w:trPr>
          <w:trHeight w:val="308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General government [SIC 91]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0,002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0,000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0,001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0,005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0,003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1,043</w:t>
            </w:r>
          </w:p>
        </w:tc>
        <w:tc>
          <w:tcPr>
            <w:tcW w:w="847" w:type="dxa"/>
            <w:shd w:val="clear" w:color="auto" w:fill="FFFFFF" w:themeFill="background1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0,044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1,102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0,626</w:t>
            </w:r>
          </w:p>
        </w:tc>
      </w:tr>
      <w:tr w:rsidR="009C3528" w:rsidRPr="00924FD1" w:rsidTr="002149C2">
        <w:trPr>
          <w:trHeight w:val="328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Community, social and personal services [SIC 92-96, 99]</w:t>
            </w:r>
          </w:p>
        </w:tc>
        <w:tc>
          <w:tcPr>
            <w:tcW w:w="851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0,042</w:t>
            </w:r>
          </w:p>
        </w:tc>
        <w:tc>
          <w:tcPr>
            <w:tcW w:w="84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0,013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0,023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0,006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0,019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0,015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0,044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0,073</w:t>
            </w:r>
          </w:p>
        </w:tc>
        <w:tc>
          <w:tcPr>
            <w:tcW w:w="977" w:type="dxa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sz w:val="16"/>
                <w:szCs w:val="16"/>
                <w:lang w:eastAsia="en-GB"/>
              </w:rPr>
              <w:t>0,018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  <w:t>1,042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1,294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0,735</w:t>
            </w:r>
          </w:p>
        </w:tc>
      </w:tr>
      <w:tr w:rsidR="009C3528" w:rsidRPr="00924FD1" w:rsidTr="002149C2">
        <w:trPr>
          <w:trHeight w:val="423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Total Output Multipliers (Type 1)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1,734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1,616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2,397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1,258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2,365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1,544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1,851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1,780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1,269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</w:rPr>
              <w:t>1,793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17,607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tr w:rsidR="009C3528" w:rsidRPr="00924FD1" w:rsidTr="002149C2">
        <w:trPr>
          <w:trHeight w:val="144"/>
        </w:trPr>
        <w:tc>
          <w:tcPr>
            <w:tcW w:w="3085" w:type="dxa"/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6"/>
                <w:szCs w:val="16"/>
                <w:lang w:eastAsia="en-GB"/>
              </w:rPr>
              <w:t>Backward linkages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0,985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0,918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1,361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0,714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1,343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0,877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1,051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1,011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0,721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24FD1">
              <w:rPr>
                <w:rFonts w:ascii="Times New Roman" w:hAnsi="Times New Roman"/>
                <w:b/>
                <w:bCs/>
                <w:sz w:val="16"/>
                <w:szCs w:val="16"/>
              </w:rPr>
              <w:t>1,018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528" w:rsidRPr="00924FD1" w:rsidRDefault="009C3528" w:rsidP="002149C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bookmarkEnd w:id="8"/>
    </w:tbl>
    <w:p w:rsidR="009C3528" w:rsidRPr="00924FD1" w:rsidRDefault="009C3528" w:rsidP="009C3528">
      <w:pPr>
        <w:rPr>
          <w:rFonts w:ascii="Times New Roman" w:hAnsi="Times New Roman" w:cs="Times New Roman"/>
        </w:rPr>
      </w:pPr>
    </w:p>
    <w:p w:rsidR="009C3528" w:rsidRPr="00924FD1" w:rsidRDefault="009C3528" w:rsidP="009C3528">
      <w:pPr>
        <w:rPr>
          <w:rFonts w:ascii="Times New Roman" w:hAnsi="Times New Roman" w:cs="Times New Roman"/>
        </w:rPr>
      </w:pPr>
      <w:r w:rsidRPr="00924FD1">
        <w:rPr>
          <w:rFonts w:ascii="Times New Roman" w:hAnsi="Times New Roman" w:cs="Times New Roman"/>
        </w:rPr>
        <w:t>Source: Own compilation</w:t>
      </w:r>
    </w:p>
    <w:p w:rsidR="009C3528" w:rsidRPr="00924FD1" w:rsidRDefault="009C3528" w:rsidP="009C3528">
      <w:pPr>
        <w:rPr>
          <w:rFonts w:ascii="Times New Roman" w:hAnsi="Times New Roman"/>
        </w:rPr>
      </w:pPr>
    </w:p>
    <w:p w:rsidR="001760E5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  <w:bookmarkStart w:id="9" w:name="_Toc90015115"/>
      <w:bookmarkEnd w:id="6"/>
      <w:r w:rsidRPr="00924FD1">
        <w:rPr>
          <w:rFonts w:ascii="Times New Roman" w:eastAsiaTheme="minorEastAsia" w:hAnsi="Times New Roman" w:cs="Times New Roman"/>
          <w:b/>
          <w:szCs w:val="20"/>
          <w:lang w:val="en-GB"/>
        </w:rPr>
        <w:t>Table 8: Final demand multiplier analyses: Type I and Type II multipliers for the Nelson Mandela Bay Metro</w:t>
      </w:r>
      <w:bookmarkEnd w:id="9"/>
    </w:p>
    <w:tbl>
      <w:tblPr>
        <w:tblStyle w:val="TableGrid21"/>
        <w:tblpPr w:leftFromText="180" w:rightFromText="180" w:vertAnchor="page" w:horzAnchor="margin" w:tblpY="1951"/>
        <w:tblW w:w="14174" w:type="dxa"/>
        <w:tblLayout w:type="fixed"/>
        <w:tblLook w:val="04A0" w:firstRow="1" w:lastRow="0" w:firstColumn="1" w:lastColumn="0" w:noHBand="0" w:noVBand="1"/>
      </w:tblPr>
      <w:tblGrid>
        <w:gridCol w:w="2802"/>
        <w:gridCol w:w="425"/>
        <w:gridCol w:w="1094"/>
        <w:gridCol w:w="1095"/>
        <w:gridCol w:w="1094"/>
        <w:gridCol w:w="1095"/>
        <w:gridCol w:w="1095"/>
        <w:gridCol w:w="1095"/>
        <w:gridCol w:w="1094"/>
        <w:gridCol w:w="1095"/>
        <w:gridCol w:w="1095"/>
        <w:gridCol w:w="1095"/>
      </w:tblGrid>
      <w:tr w:rsidR="009C3528" w:rsidRPr="00924FD1" w:rsidTr="002149C2">
        <w:trPr>
          <w:trHeight w:val="553"/>
        </w:trPr>
        <w:tc>
          <w:tcPr>
            <w:tcW w:w="14174" w:type="dxa"/>
            <w:gridSpan w:val="12"/>
            <w:shd w:val="clear" w:color="auto" w:fill="D9D9D9" w:themeFill="background1" w:themeFillShade="D9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lang w:eastAsia="en-GB"/>
              </w:rPr>
            </w:pPr>
            <w:r w:rsidRPr="00924FD1">
              <w:rPr>
                <w:rFonts w:ascii="Times New Roman" w:hAnsi="Times New Roman"/>
                <w:b/>
                <w:lang w:eastAsia="en-GB"/>
              </w:rPr>
              <w:t>Final demand multipliers</w:t>
            </w:r>
          </w:p>
        </w:tc>
      </w:tr>
      <w:tr w:rsidR="009C3528" w:rsidRPr="00924FD1" w:rsidTr="002149C2">
        <w:trPr>
          <w:trHeight w:val="419"/>
        </w:trPr>
        <w:tc>
          <w:tcPr>
            <w:tcW w:w="2802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2189" w:type="dxa"/>
            <w:gridSpan w:val="2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eastAsia="en-GB"/>
              </w:rPr>
              <w:t>Output multipliers</w:t>
            </w:r>
          </w:p>
        </w:tc>
        <w:tc>
          <w:tcPr>
            <w:tcW w:w="2189" w:type="dxa"/>
            <w:gridSpan w:val="2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eastAsia="en-GB"/>
              </w:rPr>
              <w:t>Earnings/income multipliers</w:t>
            </w:r>
          </w:p>
        </w:tc>
        <w:tc>
          <w:tcPr>
            <w:tcW w:w="2190" w:type="dxa"/>
            <w:gridSpan w:val="2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924FD1">
              <w:rPr>
                <w:rFonts w:ascii="Times New Roman" w:hAnsi="Times New Roman"/>
                <w:b/>
                <w:bCs/>
                <w:sz w:val="20"/>
              </w:rPr>
              <w:t>Tax multipliers</w:t>
            </w:r>
          </w:p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</w:p>
        </w:tc>
        <w:tc>
          <w:tcPr>
            <w:tcW w:w="2189" w:type="dxa"/>
            <w:gridSpan w:val="2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eastAsia="en-GB"/>
              </w:rPr>
              <w:t>GVA multipliers</w:t>
            </w:r>
            <w:r w:rsidRPr="00924FD1">
              <w:rPr>
                <w:rFonts w:ascii="Times New Roman" w:hAnsi="Times New Roman"/>
                <w:b/>
                <w:sz w:val="18"/>
                <w:szCs w:val="18"/>
                <w:lang w:eastAsia="en-GB"/>
              </w:rPr>
              <w:tab/>
            </w:r>
          </w:p>
        </w:tc>
        <w:tc>
          <w:tcPr>
            <w:tcW w:w="2190" w:type="dxa"/>
            <w:gridSpan w:val="2"/>
            <w:shd w:val="clear" w:color="auto" w:fill="D9D9D9" w:themeFill="background1" w:themeFillShade="D9"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eastAsia="en-GB"/>
              </w:rPr>
              <w:t>Total job multipliers</w:t>
            </w:r>
          </w:p>
        </w:tc>
      </w:tr>
      <w:tr w:rsidR="009C3528" w:rsidRPr="00924FD1" w:rsidTr="002149C2">
        <w:trPr>
          <w:trHeight w:val="419"/>
        </w:trPr>
        <w:tc>
          <w:tcPr>
            <w:tcW w:w="2802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4" w:type="dxa"/>
            <w:shd w:val="clear" w:color="auto" w:fill="F2F2F2" w:themeFill="background1" w:themeFillShade="F2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Type 1</w:t>
            </w:r>
          </w:p>
        </w:tc>
        <w:tc>
          <w:tcPr>
            <w:tcW w:w="1095" w:type="dxa"/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Type 2</w:t>
            </w:r>
          </w:p>
        </w:tc>
        <w:tc>
          <w:tcPr>
            <w:tcW w:w="1094" w:type="dxa"/>
            <w:shd w:val="clear" w:color="auto" w:fill="F2F2F2" w:themeFill="background1" w:themeFillShade="F2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Type 1</w:t>
            </w:r>
          </w:p>
        </w:tc>
        <w:tc>
          <w:tcPr>
            <w:tcW w:w="1095" w:type="dxa"/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 xml:space="preserve">Type 2 </w:t>
            </w:r>
          </w:p>
        </w:tc>
        <w:tc>
          <w:tcPr>
            <w:tcW w:w="1095" w:type="dxa"/>
            <w:shd w:val="clear" w:color="auto" w:fill="F2F2F2" w:themeFill="background1" w:themeFillShade="F2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Type 1</w:t>
            </w:r>
          </w:p>
        </w:tc>
        <w:tc>
          <w:tcPr>
            <w:tcW w:w="1095" w:type="dxa"/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Type 2</w:t>
            </w:r>
          </w:p>
        </w:tc>
        <w:tc>
          <w:tcPr>
            <w:tcW w:w="1094" w:type="dxa"/>
            <w:shd w:val="clear" w:color="auto" w:fill="F2F2F2" w:themeFill="background1" w:themeFillShade="F2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Type 1</w:t>
            </w:r>
          </w:p>
        </w:tc>
        <w:tc>
          <w:tcPr>
            <w:tcW w:w="1095" w:type="dxa"/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Type 2</w:t>
            </w:r>
          </w:p>
        </w:tc>
        <w:tc>
          <w:tcPr>
            <w:tcW w:w="1095" w:type="dxa"/>
            <w:shd w:val="clear" w:color="auto" w:fill="F2F2F2" w:themeFill="background1" w:themeFillShade="F2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Type 1</w:t>
            </w:r>
          </w:p>
        </w:tc>
        <w:tc>
          <w:tcPr>
            <w:tcW w:w="1095" w:type="dxa"/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Type 2</w:t>
            </w:r>
          </w:p>
        </w:tc>
      </w:tr>
      <w:tr w:rsidR="009C3528" w:rsidRPr="00924FD1" w:rsidTr="002149C2">
        <w:trPr>
          <w:trHeight w:val="419"/>
        </w:trPr>
        <w:tc>
          <w:tcPr>
            <w:tcW w:w="2802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b/>
                <w:sz w:val="18"/>
                <w:szCs w:val="18"/>
                <w:lang w:eastAsia="en-GB"/>
              </w:rPr>
              <w:t>A-matrix (Technical coefficients)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Nr</w:t>
            </w:r>
          </w:p>
        </w:tc>
        <w:tc>
          <w:tcPr>
            <w:tcW w:w="109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>Agriculture, forestry and fishing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1,73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3,70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0,34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0,81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0,11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0,25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0,90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7,92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10,44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Mining and quarrying 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1,62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4,05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0,42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0,11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0,28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0,90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1,83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4,95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Manufacturing 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  <w:hideMark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2,40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5,12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0,47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1,12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0,15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0,34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0,87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2,11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2,19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5,69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Electricity, gas and water 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1,26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2,99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0,30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0,71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0,10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0,21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0,91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1,70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0,49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2,71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Construction 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2,36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4,91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0,44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1,05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0,14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0,32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0,87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2,03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6,20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Wholesale and retail trade, catering and accommodation 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1,54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3,94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0,41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0,99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0,11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0,28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0,91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1,99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2,85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5,92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Transport, storage and communication 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1,85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4,01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0,37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0,89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0,27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0,89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1,87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1,77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4,53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Finance, insurance, real estate and business services 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1,78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4,16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0,41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0,98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0,14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0,30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0,90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1,98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2,26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5,30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General government 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1,27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5,70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0,76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1,83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0,09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0,40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0,92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2,24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7,91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Community, social and personal services 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  <w:r w:rsidRPr="00924FD1">
              <w:rPr>
                <w:rFonts w:ascii="Times New Roman" w:hAnsi="Times New Roman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4,76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0,51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1,22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0,33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0,89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2,24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5,22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sz w:val="18"/>
                <w:szCs w:val="18"/>
              </w:rPr>
              <w:t>9,02</w:t>
            </w:r>
          </w:p>
        </w:tc>
      </w:tr>
      <w:tr w:rsidR="009C3528" w:rsidRPr="00924FD1" w:rsidTr="002149C2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color w:val="000000"/>
                <w:sz w:val="18"/>
                <w:szCs w:val="18"/>
              </w:rPr>
              <w:t>SA weighted national average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1,93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4,65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0,50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1,19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0,12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0,30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0,90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2,08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4,85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528" w:rsidRPr="00924FD1" w:rsidRDefault="009C3528" w:rsidP="002149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24FD1">
              <w:rPr>
                <w:rFonts w:ascii="Times New Roman" w:hAnsi="Times New Roman"/>
                <w:b/>
                <w:bCs/>
                <w:sz w:val="18"/>
                <w:szCs w:val="18"/>
              </w:rPr>
              <w:t>8,13</w:t>
            </w:r>
          </w:p>
        </w:tc>
      </w:tr>
    </w:tbl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 w:rsidP="009C3528">
      <w:r w:rsidRPr="00924FD1">
        <w:rPr>
          <w:rFonts w:ascii="Times New Roman" w:hAnsi="Times New Roman"/>
        </w:rPr>
        <w:t>Source: Own compilation</w:t>
      </w: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p w:rsidR="009C3528" w:rsidRPr="00DC1F33" w:rsidRDefault="009C3528" w:rsidP="009C3528">
      <w:pPr>
        <w:keepNext/>
        <w:numPr>
          <w:ilvl w:val="1"/>
          <w:numId w:val="0"/>
        </w:numPr>
        <w:spacing w:before="120" w:after="240" w:line="240" w:lineRule="auto"/>
        <w:jc w:val="both"/>
        <w:rPr>
          <w:rFonts w:ascii="Times New Roman" w:eastAsiaTheme="minorEastAsia" w:hAnsi="Times New Roman" w:cs="Times New Roman"/>
          <w:b/>
          <w:szCs w:val="20"/>
          <w:lang w:val="en-GB"/>
        </w:rPr>
      </w:pPr>
      <w:r w:rsidRPr="00DC1F33">
        <w:rPr>
          <w:rFonts w:ascii="Times New Roman" w:eastAsiaTheme="minorEastAsia" w:hAnsi="Times New Roman" w:cs="Times New Roman"/>
          <w:b/>
          <w:szCs w:val="20"/>
          <w:lang w:val="en-GB"/>
        </w:rPr>
        <w:t>Table 9: The backward and forward linkages for the Nelson Mandela Bay Metropolitan Municipality</w:t>
      </w: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980"/>
        <w:gridCol w:w="1134"/>
        <w:gridCol w:w="2693"/>
        <w:gridCol w:w="3209"/>
      </w:tblGrid>
      <w:tr w:rsidR="009C3528" w:rsidRPr="00DC1F33" w:rsidTr="002149C2">
        <w:trPr>
          <w:trHeight w:val="397"/>
        </w:trPr>
        <w:tc>
          <w:tcPr>
            <w:tcW w:w="3114" w:type="dxa"/>
            <w:gridSpan w:val="2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5902" w:type="dxa"/>
            <w:gridSpan w:val="2"/>
            <w:shd w:val="clear" w:color="auto" w:fill="D9D9D9" w:themeFill="background1" w:themeFillShade="D9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Forward linkages</w:t>
            </w:r>
          </w:p>
        </w:tc>
      </w:tr>
      <w:tr w:rsidR="009C3528" w:rsidRPr="00DC1F33" w:rsidTr="002149C2">
        <w:trPr>
          <w:trHeight w:val="397"/>
        </w:trPr>
        <w:tc>
          <w:tcPr>
            <w:tcW w:w="3114" w:type="dxa"/>
            <w:gridSpan w:val="2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2693" w:type="dxa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Low (&lt;1)</w:t>
            </w:r>
          </w:p>
        </w:tc>
        <w:tc>
          <w:tcPr>
            <w:tcW w:w="3209" w:type="dxa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High (&gt;1)</w:t>
            </w:r>
          </w:p>
        </w:tc>
      </w:tr>
      <w:tr w:rsidR="009C3528" w:rsidRPr="00DC1F33" w:rsidTr="002149C2">
        <w:trPr>
          <w:trHeight w:val="397"/>
        </w:trPr>
        <w:tc>
          <w:tcPr>
            <w:tcW w:w="1980" w:type="dxa"/>
            <w:vMerge w:val="restart"/>
            <w:shd w:val="clear" w:color="auto" w:fill="D9D9D9" w:themeFill="background1" w:themeFillShade="D9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Backward linkages</w:t>
            </w:r>
          </w:p>
        </w:tc>
        <w:tc>
          <w:tcPr>
            <w:tcW w:w="1134" w:type="dxa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Low (&lt;1)</w:t>
            </w:r>
          </w:p>
        </w:tc>
        <w:tc>
          <w:tcPr>
            <w:tcW w:w="2693" w:type="dxa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Weak linkages sector (W)</w:t>
            </w: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br/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t>(i) Agriculture, forestry and fishing</w:t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br/>
              <w:t>(ii) Mining and Quarrying</w:t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br/>
              <w:t>(iii) Electricity, gas and water</w:t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br/>
              <w:t>(iv) General Government</w:t>
            </w:r>
          </w:p>
        </w:tc>
        <w:tc>
          <w:tcPr>
            <w:tcW w:w="3209" w:type="dxa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Strong forward linkage sector (F)</w:t>
            </w: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br/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t>(v) Wholesale and retail trade, catering, and accommodation</w:t>
            </w:r>
          </w:p>
        </w:tc>
      </w:tr>
      <w:tr w:rsidR="009C3528" w:rsidRPr="00DC1F33" w:rsidTr="002149C2">
        <w:trPr>
          <w:trHeight w:val="397"/>
        </w:trPr>
        <w:tc>
          <w:tcPr>
            <w:tcW w:w="1980" w:type="dxa"/>
            <w:vMerge/>
            <w:shd w:val="clear" w:color="auto" w:fill="D9D9D9" w:themeFill="background1" w:themeFillShade="D9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High (&gt;1)</w:t>
            </w:r>
          </w:p>
        </w:tc>
        <w:tc>
          <w:tcPr>
            <w:tcW w:w="2693" w:type="dxa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Strong backward linkage sector (B)</w:t>
            </w: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br/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t>(vi) Construction</w:t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br/>
              <w:t>(vii) Community, social and personal services</w:t>
            </w:r>
          </w:p>
        </w:tc>
        <w:tc>
          <w:tcPr>
            <w:tcW w:w="3209" w:type="dxa"/>
            <w:vAlign w:val="center"/>
          </w:tcPr>
          <w:p w:rsidR="009C3528" w:rsidRPr="00DC1F33" w:rsidRDefault="009C3528" w:rsidP="002149C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Key sector (K)</w:t>
            </w:r>
            <w:r w:rsidRPr="00DC1F3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br/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t>(viii) Manufacturing</w:t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br/>
              <w:t>(ix) Transport, storage and communication</w:t>
            </w:r>
            <w:r w:rsidRPr="00DC1F33">
              <w:rPr>
                <w:rFonts w:ascii="Times New Roman" w:hAnsi="Times New Roman" w:cs="Times New Roman"/>
                <w:sz w:val="20"/>
                <w:lang w:val="en-GB"/>
              </w:rPr>
              <w:br/>
              <w:t>(x) Finance, insurance, real estate and business services</w:t>
            </w:r>
          </w:p>
        </w:tc>
      </w:tr>
    </w:tbl>
    <w:p w:rsidR="009C3528" w:rsidRPr="007E5794" w:rsidRDefault="009C3528" w:rsidP="009C3528">
      <w:pPr>
        <w:spacing w:before="120" w:after="240" w:line="360" w:lineRule="auto"/>
        <w:jc w:val="both"/>
        <w:rPr>
          <w:rFonts w:ascii="Times New Roman" w:eastAsia="Times New Roman" w:hAnsi="Times New Roman" w:cs="Times New Roman"/>
          <w:szCs w:val="20"/>
          <w:lang w:val="en-GB"/>
        </w:rPr>
      </w:pPr>
      <w:r w:rsidRPr="00DC1F33">
        <w:rPr>
          <w:rFonts w:ascii="Times New Roman" w:eastAsia="Times New Roman" w:hAnsi="Times New Roman" w:cs="Times New Roman"/>
          <w:i/>
          <w:iCs/>
          <w:szCs w:val="20"/>
          <w:lang w:val="en-GB"/>
        </w:rPr>
        <w:t>Source:</w:t>
      </w:r>
      <w:r w:rsidRPr="00DC1F33">
        <w:rPr>
          <w:rFonts w:ascii="Times New Roman" w:eastAsia="Times New Roman" w:hAnsi="Times New Roman" w:cs="Times New Roman"/>
          <w:szCs w:val="20"/>
          <w:lang w:val="en-GB"/>
        </w:rPr>
        <w:t xml:space="preserve"> Temursho (2016:12)</w:t>
      </w:r>
    </w:p>
    <w:p w:rsidR="009C3528" w:rsidRDefault="009C3528">
      <w:pPr>
        <w:rPr>
          <w:rFonts w:ascii="Times New Roman" w:eastAsiaTheme="minorEastAsia" w:hAnsi="Times New Roman" w:cs="Times New Roman"/>
          <w:b/>
          <w:szCs w:val="20"/>
          <w:lang w:val="en-GB"/>
        </w:rPr>
      </w:pPr>
    </w:p>
    <w:sectPr w:rsidR="009C35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528"/>
    <w:rsid w:val="008A3324"/>
    <w:rsid w:val="00996CDB"/>
    <w:rsid w:val="009C3528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DBD4A"/>
  <w15:chartTrackingRefBased/>
  <w15:docId w15:val="{C3166E6F-30A5-4C5F-8988-2E7DC04D9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3528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5">
    <w:name w:val="Table Grid5"/>
    <w:basedOn w:val="TableNormal"/>
    <w:next w:val="TableGrid"/>
    <w:uiPriority w:val="39"/>
    <w:rsid w:val="009C3528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C35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9C3528"/>
    <w:pPr>
      <w:keepNext/>
      <w:numPr>
        <w:ilvl w:val="1"/>
      </w:numPr>
      <w:spacing w:before="120" w:after="240" w:line="240" w:lineRule="auto"/>
      <w:jc w:val="both"/>
    </w:pPr>
    <w:rPr>
      <w:rFonts w:ascii="Times New Roman" w:eastAsiaTheme="minorEastAsia" w:hAnsi="Times New Roman" w:cs="Times New Roman"/>
      <w:b/>
      <w:szCs w:val="20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9C3528"/>
    <w:rPr>
      <w:rFonts w:ascii="Times New Roman" w:eastAsiaTheme="minorEastAsia" w:hAnsi="Times New Roman" w:cs="Times New Roman"/>
      <w:b/>
      <w:szCs w:val="20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9C3528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C3528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39"/>
    <w:rsid w:val="009C3528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39"/>
    <w:rsid w:val="009C3528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1254</Words>
  <Characters>7151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2022-07-11T05:01:00Z</dcterms:created>
  <dcterms:modified xsi:type="dcterms:W3CDTF">2022-07-11T05:06:00Z</dcterms:modified>
</cp:coreProperties>
</file>