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Supplementary table 1: List of plasmids used in this study:</w:t>
      </w:r>
    </w:p>
    <w:p w:rsidR="00000000" w:rsidDel="00000000" w:rsidP="00000000" w:rsidRDefault="00000000" w:rsidRPr="00000000" w14:paraId="00000002">
      <w:pPr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50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701"/>
        <w:gridCol w:w="5949"/>
        <w:gridCol w:w="1700"/>
        <w:tblGridChange w:id="0">
          <w:tblGrid>
            <w:gridCol w:w="1701"/>
            <w:gridCol w:w="5949"/>
            <w:gridCol w:w="17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3">
            <w:pPr>
              <w:spacing w:line="48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Plasmid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4">
            <w:pPr>
              <w:spacing w:line="48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Description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5">
            <w:pPr>
              <w:spacing w:line="48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Reference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06">
            <w:pPr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pQacR-Q2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07">
            <w:pPr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Parent addgene plasmid. QacR genetic circuit with eYFP as reporter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08">
            <w:pPr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vertAlign w:val="superscript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09">
            <w:pPr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pRolR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0A">
            <w:pPr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Genetic circuit plasmid with RolR and eGFP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0B">
            <w:pPr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This work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0C">
            <w:pPr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pRolR-TetA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0D">
            <w:pPr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Genetic circuit plasmid with RolR and eGFP and TetA as reporters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0E">
            <w:pPr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This work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0F">
            <w:pPr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pCAQ101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10">
            <w:pPr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pRolR-TetA carrying RolR variant CAQ101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11">
            <w:pPr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This work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12">
            <w:pPr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pCAQ102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13">
            <w:pPr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pRolR-TetA carrying RolR variant CAQ102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14">
            <w:pPr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This work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15">
            <w:pPr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pCAQ103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16">
            <w:pPr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pRolR-TetA carrying RolR variant CAQ103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17">
            <w:pPr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This work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18">
            <w:pPr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pCAQ104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19">
            <w:pPr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pRolR-TetA carrying RolR variant CAQ104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1A">
            <w:pPr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This work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1B">
            <w:pPr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pCAQ54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1C">
            <w:pPr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pRolR-TetA carrying RolR variant CAQ54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1D">
            <w:pPr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This work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1E">
            <w:pPr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pCAQ105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1F">
            <w:pPr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pRolR-TetA carrying RolR variant CAQ105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20">
            <w:pPr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This work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21">
            <w:pPr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pCAQ106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22">
            <w:pPr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pRolR-TetA carrying RolR variant CAQ106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23">
            <w:pPr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This work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24">
            <w:pPr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pCAQ107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25">
            <w:pPr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pRolR-TetA carrying RolR variant CAQ107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26">
            <w:pPr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This work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27">
            <w:pPr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pCAQ108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28">
            <w:pPr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pRolR-TetA carrying RolR variant CAQ108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29">
            <w:pPr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This work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2A">
            <w:pPr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pCAQ310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2B">
            <w:pPr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pRolR-TetA carrying RolR variant CAQ310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2C">
            <w:pPr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This work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2D">
            <w:pPr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pCAQ313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2E">
            <w:pPr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pRolR-TetA carrying RolR variant CAQ313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2F">
            <w:pPr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This work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30">
            <w:pPr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pCAQ318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31">
            <w:pPr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pRolR-TetA carrying RolR variant CAQ318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32">
            <w:pPr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This work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33">
            <w:pPr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pCAQ406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34">
            <w:pPr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pRolR-TetA carrying RolR variant CAQ406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35">
            <w:pPr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This work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36">
            <w:pPr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pCAQ407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37">
            <w:pPr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pRolR-TetA carrying RolR variant CAQ407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38">
            <w:pPr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This work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39">
            <w:pPr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pCAQ408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3A">
            <w:pPr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pRolR-TetA carrying RolR variant CAQ408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3B">
            <w:pPr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This work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3C">
            <w:pPr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pCAQ411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3D">
            <w:pPr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pRolR-TetA carrying RolR variant CAQ411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3E">
            <w:pPr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This work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3F">
            <w:pPr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pCAQ414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40">
            <w:pPr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pRolR-TetA carrying RolR variant CAQ414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41">
            <w:pPr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This work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42">
            <w:pPr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pCAQ429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43">
            <w:pPr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pRolR-TetA carrying RolR variant CAQ429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44">
            <w:pPr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This work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45">
            <w:pPr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pCAQ431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46">
            <w:pPr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pRolR-TetA carrying RolR variant CAQ431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47">
            <w:pPr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This work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48">
            <w:pPr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pCAQ.Comb.1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49">
            <w:pPr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pRolR-TetA carrying RolR variant CAQ.Comb.1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4A">
            <w:pPr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This work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4B">
            <w:pPr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pCAQ.Comb.2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4C">
            <w:pPr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pRolR-TetA carrying RolR variant CAQ.Comb.2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4D">
            <w:pPr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This work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4E">
            <w:pPr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pCAQ.Comb.3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4F">
            <w:pPr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pRolR-TetA carrying RolR variant CAQ.Comb.3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50">
            <w:pPr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This work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51">
            <w:pPr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pCAQ.Comb.4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52">
            <w:pPr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pRolR-TetA carrying RolR variant CAQ.Comb.4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53">
            <w:pPr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This work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54">
            <w:pPr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pCAQ.Comb.5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55">
            <w:pPr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pRolR-TetA carrying RolR variant CAQ.Comb.5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56">
            <w:pPr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This work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57">
            <w:pPr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pMC2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58">
            <w:pPr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pRolR-TetA carrying RolR variant MC2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59">
            <w:pPr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This work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5A">
            <w:pPr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pMC3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5B">
            <w:pPr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pRolR-TetA carrying RolR variant MC3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5C">
            <w:pPr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This work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5D">
            <w:pPr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pCA2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5E">
            <w:pPr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pRolR-TetA carrying RolR variant CA2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5F">
            <w:pPr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This work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60">
            <w:pPr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pCA3.1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61">
            <w:pPr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pRolR-TetA carrying RolR variant CA3.1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62">
            <w:pPr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This work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63">
            <w:pPr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pCA3.2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64">
            <w:pPr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pRolR-TetA carrying RolR variant CA3.2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65">
            <w:pPr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This work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66">
            <w:pPr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pCA3.3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67">
            <w:pPr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pRolR-TetA carrying RolR variant CA3.3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68">
            <w:pPr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This work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69">
            <w:pPr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pCA3.4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6A">
            <w:pPr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pRolR-TetA carrying RolR variant CA3.4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6B">
            <w:pPr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This work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6C">
            <w:pPr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pLD2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6D">
            <w:pPr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pRolR-TetA carrying RolR variant LD2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6E">
            <w:pPr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This work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6F">
            <w:pPr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pLD3.1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70">
            <w:pPr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pRolR-TetA carrying RolR variant LD3.1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71">
            <w:pPr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This work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72">
            <w:pPr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pLD3.2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73">
            <w:pPr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pRolR-TetA carrying RolR variant LD3.2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74">
            <w:pPr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This work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75">
            <w:pPr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pHMV3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76">
            <w:pPr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pRolR-TetA carrying RolR variant HMV3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77">
            <w:pPr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This work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78">
            <w:pPr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pPCA3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79">
            <w:pPr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pRolR-TetA carrying RolR variant PCA3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7A">
            <w:pPr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This work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7B">
            <w:pPr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pBB94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7C">
            <w:pPr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pCAS-G418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7D">
            <w:pPr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vertAlign w:val="superscript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7E">
            <w:pPr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pBB95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7F">
            <w:pPr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pCAS-Hyg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80">
            <w:pPr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vertAlign w:val="superscript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1">
      <w:pPr>
        <w:spacing w:line="48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spacing w:line="48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spacing w:line="48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spacing w:line="48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spacing w:line="48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spacing w:line="48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spacing w:line="48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spacing w:line="48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spacing w:line="48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spacing w:line="48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spacing w:line="48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spacing w:line="48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spacing w:line="48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spacing w:line="48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spacing w:line="48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Supplementary table 2: List of generation 2 and 3 RolR variants: </w:t>
      </w:r>
    </w:p>
    <w:tbl>
      <w:tblPr>
        <w:tblStyle w:val="Table2"/>
        <w:tblW w:w="10063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367"/>
        <w:gridCol w:w="1525"/>
        <w:gridCol w:w="2593"/>
        <w:gridCol w:w="4578"/>
        <w:tblGridChange w:id="0">
          <w:tblGrid>
            <w:gridCol w:w="1367"/>
            <w:gridCol w:w="1525"/>
            <w:gridCol w:w="2593"/>
            <w:gridCol w:w="4578"/>
          </w:tblGrid>
        </w:tblGridChange>
      </w:tblGrid>
      <w:tr>
        <w:trPr>
          <w:cantSplit w:val="0"/>
          <w:trHeight w:val="113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90">
            <w:pPr>
              <w:spacing w:line="48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Name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91">
            <w:pPr>
              <w:spacing w:line="48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Generation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92">
            <w:pPr>
              <w:spacing w:line="48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Molecule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93">
            <w:pPr>
              <w:spacing w:line="48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Sequence</w:t>
            </w:r>
          </w:p>
        </w:tc>
      </w:tr>
      <w:tr>
        <w:trPr>
          <w:cantSplit w:val="0"/>
          <w:trHeight w:val="113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94">
            <w:pPr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DMN2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95">
            <w:pPr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96">
            <w:pPr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Dopamine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97">
            <w:pPr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L93I L142F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3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d965" w:val="clear"/>
            <w:vAlign w:val="bottom"/>
          </w:tcPr>
          <w:p w:rsidR="00000000" w:rsidDel="00000000" w:rsidP="00000000" w:rsidRDefault="00000000" w:rsidRPr="00000000" w14:paraId="00000098">
            <w:pPr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MC2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99">
            <w:pPr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9A">
            <w:pPr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Methyl catechol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9B">
            <w:pPr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S110F L111S L142Y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3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d965" w:val="clear"/>
            <w:vAlign w:val="bottom"/>
          </w:tcPr>
          <w:p w:rsidR="00000000" w:rsidDel="00000000" w:rsidP="00000000" w:rsidRDefault="00000000" w:rsidRPr="00000000" w14:paraId="0000009C">
            <w:pPr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PCA2.1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9D">
            <w:pPr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9E">
            <w:pPr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Protocatechuate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9F">
            <w:pPr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L93I L142F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3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d965" w:val="clear"/>
            <w:vAlign w:val="bottom"/>
          </w:tcPr>
          <w:p w:rsidR="00000000" w:rsidDel="00000000" w:rsidP="00000000" w:rsidRDefault="00000000" w:rsidRPr="00000000" w14:paraId="000000A0">
            <w:pPr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PCA2.2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A1">
            <w:pPr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A2">
            <w:pPr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Protocatechuate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A3">
            <w:pPr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L111V L114I L142Y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3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d965" w:val="clear"/>
            <w:vAlign w:val="bottom"/>
          </w:tcPr>
          <w:p w:rsidR="00000000" w:rsidDel="00000000" w:rsidP="00000000" w:rsidRDefault="00000000" w:rsidRPr="00000000" w14:paraId="000000A4">
            <w:pPr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PCA2.3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A5">
            <w:pPr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A6">
            <w:pPr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Protocatechuate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A7">
            <w:pPr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L142S G143F A146W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3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d965" w:val="clear"/>
            <w:vAlign w:val="bottom"/>
          </w:tcPr>
          <w:p w:rsidR="00000000" w:rsidDel="00000000" w:rsidP="00000000" w:rsidRDefault="00000000" w:rsidRPr="00000000" w14:paraId="000000A8">
            <w:pPr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PCA2.4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A9">
            <w:pPr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AA">
            <w:pPr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Protocatechuate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AB">
            <w:pPr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G90R L114I L142F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3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AC">
            <w:pPr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EPI2.1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AD">
            <w:pPr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AE">
            <w:pPr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Epinephrine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AF">
            <w:pPr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L93I L142F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3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d965" w:val="clear"/>
            <w:vAlign w:val="bottom"/>
          </w:tcPr>
          <w:p w:rsidR="00000000" w:rsidDel="00000000" w:rsidP="00000000" w:rsidRDefault="00000000" w:rsidRPr="00000000" w14:paraId="000000B0">
            <w:pPr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EPI2.2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B1">
            <w:pPr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B2">
            <w:pPr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Epinephrine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3">
            <w:pPr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V89Y D94N L142F G143F A146S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3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d965" w:val="clear"/>
            <w:vAlign w:val="bottom"/>
          </w:tcPr>
          <w:p w:rsidR="00000000" w:rsidDel="00000000" w:rsidP="00000000" w:rsidRDefault="00000000" w:rsidRPr="00000000" w14:paraId="000000B4">
            <w:pPr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EPI2.3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B5">
            <w:pPr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B6">
            <w:pPr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Epinephrine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7">
            <w:pPr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G90N L142F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3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B8">
            <w:pPr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EPI2.4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B9">
            <w:pPr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BA">
            <w:pPr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Epinephrine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B">
            <w:pPr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S110F L111S L142Y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3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BC">
            <w:pPr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LD2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BD">
            <w:pPr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BE">
            <w:pPr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L-DOPA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F">
            <w:pPr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V89Y D94N L142F G143F A146S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3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C0">
            <w:pPr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CA2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C1">
            <w:pPr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C2">
            <w:pPr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Caffeic acid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C3">
            <w:pPr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S110F L111S L142Y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3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000000" w:val="clear"/>
            <w:vAlign w:val="bottom"/>
          </w:tcPr>
          <w:p w:rsidR="00000000" w:rsidDel="00000000" w:rsidP="00000000" w:rsidRDefault="00000000" w:rsidRPr="00000000" w14:paraId="000000C4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000000" w:val="clear"/>
          </w:tcPr>
          <w:p w:rsidR="00000000" w:rsidDel="00000000" w:rsidP="00000000" w:rsidRDefault="00000000" w:rsidRPr="00000000" w14:paraId="000000C5">
            <w:pPr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000000" w:val="clear"/>
            <w:vAlign w:val="bottom"/>
          </w:tcPr>
          <w:p w:rsidR="00000000" w:rsidDel="00000000" w:rsidP="00000000" w:rsidRDefault="00000000" w:rsidRPr="00000000" w14:paraId="000000C6">
            <w:pPr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000000" w:val="clear"/>
            <w:vAlign w:val="center"/>
          </w:tcPr>
          <w:p w:rsidR="00000000" w:rsidDel="00000000" w:rsidP="00000000" w:rsidRDefault="00000000" w:rsidRPr="00000000" w14:paraId="000000C7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3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C8">
            <w:pPr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CAQ3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C9">
            <w:pPr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CA">
            <w:pPr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Catechol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CB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S110G  M139L L142f</w:t>
            </w:r>
          </w:p>
        </w:tc>
      </w:tr>
      <w:tr>
        <w:trPr>
          <w:cantSplit w:val="0"/>
          <w:trHeight w:val="113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CC">
            <w:pPr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MC3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CD">
            <w:pPr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CE">
            <w:pPr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Methyl catechol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CF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110F 111S 113L L142Y</w:t>
            </w:r>
          </w:p>
        </w:tc>
      </w:tr>
      <w:tr>
        <w:trPr>
          <w:cantSplit w:val="0"/>
          <w:trHeight w:val="113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D0">
            <w:pPr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LD3.1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D1">
            <w:pPr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D2">
            <w:pPr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L-DOPA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D3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L111V L114I M139K L142Y</w:t>
            </w:r>
          </w:p>
        </w:tc>
      </w:tr>
      <w:tr>
        <w:trPr>
          <w:cantSplit w:val="0"/>
          <w:trHeight w:val="113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D4">
            <w:pPr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LD3.2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D5">
            <w:pPr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D6">
            <w:pPr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L-DOPA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D7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90V 114I 130R 142Y</w:t>
            </w:r>
          </w:p>
        </w:tc>
      </w:tr>
      <w:tr>
        <w:trPr>
          <w:cantSplit w:val="0"/>
          <w:trHeight w:val="113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D8">
            <w:pPr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HMV3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D9">
            <w:pPr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DA">
            <w:pPr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Homovanillic acid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DB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L142S G143F A146W D165G</w:t>
            </w:r>
          </w:p>
        </w:tc>
      </w:tr>
      <w:tr>
        <w:trPr>
          <w:cantSplit w:val="0"/>
          <w:trHeight w:val="113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DC">
            <w:pPr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CA3.1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DD">
            <w:pPr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DE">
            <w:pPr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Caffeic acid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DF">
            <w:pPr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S110G L142F T171A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3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E0">
            <w:pPr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CA3.2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E1">
            <w:pPr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E2">
            <w:pPr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Caffeic acid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E3">
            <w:pPr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S110G L142F A167V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3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E4">
            <w:pPr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CA3.3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E5">
            <w:pPr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E6">
            <w:pPr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Caffeic acid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E7">
            <w:pPr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S110G L142N G143N A146Y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3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E8">
            <w:pPr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CA3.4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E9">
            <w:pPr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EA">
            <w:pPr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Caffeic acid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EB">
            <w:pPr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S110G L142F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3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EC">
            <w:pPr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PCA3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ED">
            <w:pPr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EE">
            <w:pPr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Protocatechuate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EF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90V 114I 130R 142Y</w:t>
            </w:r>
          </w:p>
        </w:tc>
      </w:tr>
    </w:tbl>
    <w:p w:rsidR="00000000" w:rsidDel="00000000" w:rsidP="00000000" w:rsidRDefault="00000000" w:rsidRPr="00000000" w14:paraId="000000F0">
      <w:pPr>
        <w:spacing w:line="48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1">
      <w:pPr>
        <w:spacing w:line="480" w:lineRule="auto"/>
        <w:rPr/>
      </w:pPr>
      <w:r w:rsidDel="00000000" w:rsidR="00000000" w:rsidRPr="00000000">
        <w:rPr>
          <w:b w:val="1"/>
          <w:rtl w:val="0"/>
        </w:rPr>
        <w:t xml:space="preserve">Supplementary table 2 </w:t>
      </w:r>
      <w:r w:rsidDel="00000000" w:rsidR="00000000" w:rsidRPr="00000000">
        <w:rPr>
          <w:rtl w:val="0"/>
        </w:rPr>
        <w:t xml:space="preserve">Sequences of variants identified in the second and third generation with the molecules they were evolved towards. Second generation variants highlighted in yellow were used as a template for random mutagenesis, yielding generation 3 variants.</w:t>
      </w:r>
    </w:p>
    <w:p w:rsidR="00000000" w:rsidDel="00000000" w:rsidP="00000000" w:rsidRDefault="00000000" w:rsidRPr="00000000" w14:paraId="000000F2">
      <w:pPr>
        <w:spacing w:line="4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3">
      <w:pPr>
        <w:spacing w:line="4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4">
      <w:pPr>
        <w:spacing w:line="48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5">
      <w:pPr>
        <w:spacing w:line="480" w:lineRule="auto"/>
        <w:rPr>
          <w:b w:val="1"/>
        </w:rPr>
      </w:pPr>
      <w:r w:rsidDel="00000000" w:rsidR="00000000" w:rsidRPr="00000000">
        <w:rPr>
          <w:b w:val="1"/>
        </w:rPr>
        <w:drawing>
          <wp:inline distB="114300" distT="114300" distL="114300" distR="114300">
            <wp:extent cx="3999394" cy="6125555"/>
            <wp:effectExtent b="0" l="0" r="0" t="0"/>
            <wp:docPr id="63" name="image4.jpg"/>
            <a:graphic>
              <a:graphicData uri="http://schemas.openxmlformats.org/drawingml/2006/picture">
                <pic:pic>
                  <pic:nvPicPr>
                    <pic:cNvPr id="0" name="image4.jpg"/>
                    <pic:cNvPicPr preferRelativeResize="0"/>
                  </pic:nvPicPr>
                  <pic:blipFill>
                    <a:blip r:embed="rId7"/>
                    <a:srcRect b="1340" l="0" r="0" t="1341"/>
                    <a:stretch>
                      <a:fillRect/>
                    </a:stretch>
                  </pic:blipFill>
                  <pic:spPr>
                    <a:xfrm>
                      <a:off x="0" y="0"/>
                      <a:ext cx="3999394" cy="612555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6">
      <w:pPr>
        <w:rPr/>
      </w:pPr>
      <w:r w:rsidDel="00000000" w:rsidR="00000000" w:rsidRPr="00000000">
        <w:rPr>
          <w:b w:val="1"/>
          <w:rtl w:val="0"/>
        </w:rPr>
        <w:t xml:space="preserve">Supplementary Figure 1.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rtl w:val="0"/>
        </w:rPr>
        <w:t xml:space="preserve">Continued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rtl w:val="0"/>
        </w:rPr>
        <w:t xml:space="preserve">first generation variant hits towards catechol</w:t>
      </w:r>
      <w:r w:rsidDel="00000000" w:rsidR="00000000" w:rsidRPr="00000000">
        <w:rPr>
          <w:b w:val="1"/>
          <w:i w:val="1"/>
          <w:rtl w:val="0"/>
        </w:rPr>
        <w:t xml:space="preserve">. </w:t>
      </w:r>
      <w:r w:rsidDel="00000000" w:rsidR="00000000" w:rsidRPr="00000000">
        <w:rPr>
          <w:b w:val="1"/>
          <w:rtl w:val="0"/>
        </w:rPr>
        <w:t xml:space="preserve">a </w:t>
      </w:r>
      <w:r w:rsidDel="00000000" w:rsidR="00000000" w:rsidRPr="00000000">
        <w:rPr>
          <w:rtl w:val="0"/>
        </w:rPr>
        <w:t xml:space="preserve">Table depicting identified variants responsive to catechol, their substitutions coloured according to group, and their response towards resorcinol and catechol. </w:t>
      </w:r>
      <w:r w:rsidDel="00000000" w:rsidR="00000000" w:rsidRPr="00000000">
        <w:rPr>
          <w:b w:val="1"/>
          <w:rtl w:val="0"/>
        </w:rPr>
        <w:t xml:space="preserve">b</w:t>
      </w:r>
      <w:r w:rsidDel="00000000" w:rsidR="00000000" w:rsidRPr="00000000">
        <w:rPr>
          <w:rtl w:val="0"/>
        </w:rPr>
        <w:t xml:space="preserve"> Dose response curves of the remaining variants compared to WT RolR with catechol (left panel) and resorcinol (right panel). </w:t>
      </w:r>
      <w:r w:rsidDel="00000000" w:rsidR="00000000" w:rsidRPr="00000000">
        <w:rPr>
          <w:b w:val="1"/>
          <w:rtl w:val="0"/>
        </w:rPr>
        <w:t xml:space="preserve">c </w:t>
      </w:r>
      <w:r w:rsidDel="00000000" w:rsidR="00000000" w:rsidRPr="00000000">
        <w:rPr>
          <w:rtl w:val="0"/>
        </w:rPr>
        <w:t xml:space="preserve">Dose response curves of the combinatorial variants with resorcinol (left panel) and catechol (right panel). </w:t>
      </w:r>
      <w:r w:rsidDel="00000000" w:rsidR="00000000" w:rsidRPr="00000000">
        <w:rPr>
          <w:b w:val="1"/>
          <w:rtl w:val="0"/>
        </w:rPr>
        <w:t xml:space="preserve">d</w:t>
      </w:r>
      <w:r w:rsidDel="00000000" w:rsidR="00000000" w:rsidRPr="00000000">
        <w:rPr>
          <w:rtl w:val="0"/>
        </w:rPr>
        <w:t xml:space="preserve"> Dynamic range of WT RolR and all identified variants.</w:t>
      </w:r>
    </w:p>
    <w:p w:rsidR="00000000" w:rsidDel="00000000" w:rsidP="00000000" w:rsidRDefault="00000000" w:rsidRPr="00000000" w14:paraId="000000F7">
      <w:pPr>
        <w:spacing w:line="48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8">
      <w:pPr>
        <w:spacing w:line="480" w:lineRule="auto"/>
        <w:rPr>
          <w:b w:val="1"/>
        </w:rPr>
      </w:pPr>
      <w:r w:rsidDel="00000000" w:rsidR="00000000" w:rsidRPr="00000000">
        <w:rPr>
          <w:b w:val="1"/>
        </w:rPr>
        <w:drawing>
          <wp:inline distB="0" distT="0" distL="0" distR="0">
            <wp:extent cx="5943600" cy="2122170"/>
            <wp:effectExtent b="0" l="0" r="0" t="0"/>
            <wp:docPr descr="A screenshot of a computer screen&#10;&#10;Description automatically generated with medium confidence" id="65" name="image2.png"/>
            <a:graphic>
              <a:graphicData uri="http://schemas.openxmlformats.org/drawingml/2006/picture">
                <pic:pic>
                  <pic:nvPicPr>
                    <pic:cNvPr descr="A screenshot of a computer screen&#10;&#10;Description automatically generated with medium confidence"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2217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9">
      <w:pPr>
        <w:spacing w:line="48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A">
      <w:pPr>
        <w:spacing w:line="480" w:lineRule="auto"/>
        <w:rPr/>
      </w:pPr>
      <w:r w:rsidDel="00000000" w:rsidR="00000000" w:rsidRPr="00000000">
        <w:rPr>
          <w:b w:val="1"/>
          <w:rtl w:val="0"/>
        </w:rPr>
        <w:t xml:space="preserve">Supplementary Figure 2. Dose response curves for identified second generation variant(s). </w:t>
      </w:r>
      <w:r w:rsidDel="00000000" w:rsidR="00000000" w:rsidRPr="00000000">
        <w:rPr>
          <w:rtl w:val="0"/>
        </w:rPr>
        <w:t xml:space="preserve">Dose response curves for variants identified in the second generation of mutagenesis towards protocatechuate </w:t>
      </w:r>
      <w:r w:rsidDel="00000000" w:rsidR="00000000" w:rsidRPr="00000000">
        <w:rPr>
          <w:b w:val="1"/>
          <w:rtl w:val="0"/>
        </w:rPr>
        <w:t xml:space="preserve">(a)</w:t>
      </w:r>
      <w:r w:rsidDel="00000000" w:rsidR="00000000" w:rsidRPr="00000000">
        <w:rPr>
          <w:rtl w:val="0"/>
        </w:rPr>
        <w:t xml:space="preserve">, dopamine </w:t>
      </w:r>
      <w:r w:rsidDel="00000000" w:rsidR="00000000" w:rsidRPr="00000000">
        <w:rPr>
          <w:b w:val="1"/>
          <w:rtl w:val="0"/>
        </w:rPr>
        <w:t xml:space="preserve">(b)</w:t>
      </w:r>
      <w:r w:rsidDel="00000000" w:rsidR="00000000" w:rsidRPr="00000000">
        <w:rPr>
          <w:rtl w:val="0"/>
        </w:rPr>
        <w:t xml:space="preserve">, and epinephrine </w:t>
      </w:r>
      <w:r w:rsidDel="00000000" w:rsidR="00000000" w:rsidRPr="00000000">
        <w:rPr>
          <w:b w:val="1"/>
          <w:rtl w:val="0"/>
        </w:rPr>
        <w:t xml:space="preserve">(c)</w:t>
      </w:r>
      <w:r w:rsidDel="00000000" w:rsidR="00000000" w:rsidRPr="00000000">
        <w:rPr>
          <w:rtl w:val="0"/>
        </w:rPr>
        <w:t xml:space="preserve">. </w:t>
      </w:r>
    </w:p>
    <w:p w:rsidR="00000000" w:rsidDel="00000000" w:rsidP="00000000" w:rsidRDefault="00000000" w:rsidRPr="00000000" w14:paraId="000000FB">
      <w:pPr>
        <w:spacing w:after="0" w:line="48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C">
      <w:pPr>
        <w:spacing w:after="0" w:line="48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D">
      <w:pPr>
        <w:spacing w:after="0" w:line="48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E">
      <w:pPr>
        <w:spacing w:after="0" w:line="48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F">
      <w:pPr>
        <w:spacing w:after="0" w:line="48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0">
      <w:pPr>
        <w:spacing w:after="0" w:line="48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1">
      <w:pPr>
        <w:spacing w:after="0" w:line="48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2">
      <w:pPr>
        <w:spacing w:after="0" w:line="48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3">
      <w:pPr>
        <w:spacing w:after="0" w:line="48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4">
      <w:pPr>
        <w:spacing w:after="0" w:line="48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5">
      <w:pPr>
        <w:spacing w:after="0" w:line="48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6">
      <w:pPr>
        <w:spacing w:after="0" w:line="48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7">
      <w:pPr>
        <w:spacing w:line="48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8">
      <w:pPr>
        <w:spacing w:line="480" w:lineRule="auto"/>
        <w:rPr>
          <w:b w:val="1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1314450</wp:posOffset>
            </wp:positionH>
            <wp:positionV relativeFrom="paragraph">
              <wp:posOffset>114300</wp:posOffset>
            </wp:positionV>
            <wp:extent cx="3148013" cy="2623344"/>
            <wp:effectExtent b="0" l="0" r="0" t="0"/>
            <wp:wrapSquare wrapText="bothSides" distB="114300" distT="114300" distL="114300" distR="114300"/>
            <wp:docPr descr="Chart, scatter chart&#10;&#10;Description automatically generated" id="61" name="image1.png"/>
            <a:graphic>
              <a:graphicData uri="http://schemas.openxmlformats.org/drawingml/2006/picture">
                <pic:pic>
                  <pic:nvPicPr>
                    <pic:cNvPr descr="Chart, scatter chart&#10;&#10;Description automatically generated" id="0" name="image1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148013" cy="262334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109">
      <w:pPr>
        <w:spacing w:line="48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A">
      <w:pPr>
        <w:spacing w:line="48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B">
      <w:pPr>
        <w:spacing w:line="48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C">
      <w:pPr>
        <w:spacing w:line="48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D">
      <w:pPr>
        <w:spacing w:line="48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E">
      <w:pPr>
        <w:spacing w:line="48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F">
      <w:pPr>
        <w:spacing w:line="48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0">
      <w:pPr>
        <w:spacing w:line="48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1">
      <w:pPr>
        <w:spacing w:line="480" w:lineRule="auto"/>
        <w:rPr/>
      </w:pPr>
      <w:r w:rsidDel="00000000" w:rsidR="00000000" w:rsidRPr="00000000">
        <w:rPr>
          <w:b w:val="1"/>
          <w:rtl w:val="0"/>
        </w:rPr>
        <w:t xml:space="preserve">Supplementary Figure 3. RolR variant response to resorcinol. </w:t>
      </w:r>
      <w:r w:rsidDel="00000000" w:rsidR="00000000" w:rsidRPr="00000000">
        <w:rPr>
          <w:rtl w:val="0"/>
        </w:rPr>
        <w:t xml:space="preserve">Fluorescence fold-change response of RolR variants to resorcinol.</w:t>
      </w:r>
    </w:p>
    <w:p w:rsidR="00000000" w:rsidDel="00000000" w:rsidP="00000000" w:rsidRDefault="00000000" w:rsidRPr="00000000" w14:paraId="00000112">
      <w:pPr>
        <w:spacing w:line="48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3">
      <w:pPr>
        <w:spacing w:line="48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4">
      <w:pPr>
        <w:spacing w:line="48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5">
      <w:pPr>
        <w:spacing w:line="48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6">
      <w:pPr>
        <w:spacing w:line="48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7">
      <w:pPr>
        <w:spacing w:line="48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8">
      <w:pPr>
        <w:spacing w:line="48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9">
      <w:pPr>
        <w:spacing w:line="48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A">
      <w:pPr>
        <w:spacing w:line="48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B">
      <w:pPr>
        <w:spacing w:line="48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C">
      <w:pPr>
        <w:spacing w:line="480" w:lineRule="auto"/>
        <w:rPr>
          <w:b w:val="1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1914525</wp:posOffset>
            </wp:positionH>
            <wp:positionV relativeFrom="paragraph">
              <wp:posOffset>533400</wp:posOffset>
            </wp:positionV>
            <wp:extent cx="1763205" cy="1801205"/>
            <wp:effectExtent b="0" l="0" r="0" t="0"/>
            <wp:wrapSquare wrapText="bothSides" distB="114300" distT="114300" distL="114300" distR="114300"/>
            <wp:docPr descr="Chart, histogram, scatter chart&#10;&#10;Description automatically generated" id="64" name="image5.jpg"/>
            <a:graphic>
              <a:graphicData uri="http://schemas.openxmlformats.org/drawingml/2006/picture">
                <pic:pic>
                  <pic:nvPicPr>
                    <pic:cNvPr descr="Chart, histogram, scatter chart&#10;&#10;Description automatically generated" id="0" name="image5.jp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63205" cy="180120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11D">
      <w:pPr>
        <w:spacing w:line="48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E">
      <w:pPr>
        <w:spacing w:line="48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F">
      <w:pPr>
        <w:spacing w:line="48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0">
      <w:pPr>
        <w:spacing w:line="48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1">
      <w:pPr>
        <w:spacing w:line="48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2">
      <w:pPr>
        <w:spacing w:line="48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3">
      <w:pPr>
        <w:spacing w:line="48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Supplementary Figure 4. Dose response curves for identified second generation variant(s). </w:t>
      </w:r>
      <w:r w:rsidDel="00000000" w:rsidR="00000000" w:rsidRPr="00000000">
        <w:rPr>
          <w:rtl w:val="0"/>
        </w:rPr>
        <w:t xml:space="preserve">Dose response curve for variant LD2 with resorcinol.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4">
      <w:pPr>
        <w:spacing w:after="0" w:line="48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5">
      <w:pPr>
        <w:spacing w:after="0" w:line="48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6">
      <w:pPr>
        <w:spacing w:after="0" w:line="48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7">
      <w:pPr>
        <w:spacing w:after="0" w:line="48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8">
      <w:pPr>
        <w:spacing w:after="0" w:line="48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9">
      <w:pPr>
        <w:spacing w:after="0" w:line="48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A">
      <w:pPr>
        <w:spacing w:after="0" w:line="48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B">
      <w:pPr>
        <w:spacing w:after="0" w:line="48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C">
      <w:pPr>
        <w:spacing w:after="0" w:line="48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D">
      <w:pPr>
        <w:spacing w:after="0" w:line="48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E">
      <w:pPr>
        <w:spacing w:line="48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F">
      <w:pPr>
        <w:spacing w:after="0" w:line="480" w:lineRule="auto"/>
        <w:rPr>
          <w:b w:val="1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4</wp:posOffset>
            </wp:positionH>
            <wp:positionV relativeFrom="paragraph">
              <wp:posOffset>257175</wp:posOffset>
            </wp:positionV>
            <wp:extent cx="5943600" cy="4381500"/>
            <wp:effectExtent b="0" l="0" r="0" t="0"/>
            <wp:wrapSquare wrapText="bothSides" distB="114300" distT="114300" distL="114300" distR="114300"/>
            <wp:docPr descr="Calendar&#10;&#10;Description automatically generated" id="62" name="image3.png"/>
            <a:graphic>
              <a:graphicData uri="http://schemas.openxmlformats.org/drawingml/2006/picture">
                <pic:pic>
                  <pic:nvPicPr>
                    <pic:cNvPr descr="Calendar&#10;&#10;Description automatically generated" id="0" name="image3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815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130">
      <w:pPr>
        <w:spacing w:after="0" w:line="48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1">
      <w:pPr>
        <w:spacing w:after="0" w:line="48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2">
      <w:pPr>
        <w:spacing w:after="0" w:line="48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3">
      <w:pPr>
        <w:rPr/>
      </w:pPr>
      <w:r w:rsidDel="00000000" w:rsidR="00000000" w:rsidRPr="00000000">
        <w:rPr>
          <w:b w:val="1"/>
          <w:rtl w:val="0"/>
        </w:rPr>
        <w:t xml:space="preserve">Supplementary Figure 5. Engineering a tri-stable aTF with function towards catechol and protocatechuate. </w:t>
      </w:r>
      <w:r w:rsidDel="00000000" w:rsidR="00000000" w:rsidRPr="00000000">
        <w:rPr>
          <w:rtl w:val="0"/>
        </w:rPr>
        <w:t xml:space="preserve">Dose response curve of sensor PCA3 with catechol superimposed with that of protocatechuate in </w:t>
      </w:r>
      <w:r w:rsidDel="00000000" w:rsidR="00000000" w:rsidRPr="00000000">
        <w:rPr>
          <w:i w:val="1"/>
          <w:rtl w:val="0"/>
        </w:rPr>
        <w:t xml:space="preserve">E. coli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rtl w:val="0"/>
        </w:rPr>
        <w:t xml:space="preserve">(a)</w:t>
      </w:r>
      <w:r w:rsidDel="00000000" w:rsidR="00000000" w:rsidRPr="00000000">
        <w:rPr>
          <w:rtl w:val="0"/>
        </w:rPr>
        <w:t xml:space="preserve"> and </w:t>
      </w:r>
      <w:r w:rsidDel="00000000" w:rsidR="00000000" w:rsidRPr="00000000">
        <w:rPr>
          <w:i w:val="1"/>
          <w:rtl w:val="0"/>
        </w:rPr>
        <w:t xml:space="preserve">S. cerevisiae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rtl w:val="0"/>
        </w:rPr>
        <w:t xml:space="preserve">(b)</w:t>
      </w:r>
      <w:r w:rsidDel="00000000" w:rsidR="00000000" w:rsidRPr="00000000">
        <w:rPr>
          <w:rtl w:val="0"/>
        </w:rPr>
        <w:t xml:space="preserve">. GFP fluorescence after titrating different concentrations of catechol and protocatechuate in </w:t>
      </w:r>
      <w:r w:rsidDel="00000000" w:rsidR="00000000" w:rsidRPr="00000000">
        <w:rPr>
          <w:i w:val="1"/>
          <w:rtl w:val="0"/>
        </w:rPr>
        <w:t xml:space="preserve">E. coli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rtl w:val="0"/>
        </w:rPr>
        <w:t xml:space="preserve">(c)</w:t>
      </w:r>
      <w:r w:rsidDel="00000000" w:rsidR="00000000" w:rsidRPr="00000000">
        <w:rPr>
          <w:rtl w:val="0"/>
        </w:rPr>
        <w:t xml:space="preserve"> and </w:t>
      </w:r>
      <w:r w:rsidDel="00000000" w:rsidR="00000000" w:rsidRPr="00000000">
        <w:rPr>
          <w:i w:val="1"/>
          <w:rtl w:val="0"/>
        </w:rPr>
        <w:t xml:space="preserve">S. cerevisiae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rtl w:val="0"/>
        </w:rPr>
        <w:t xml:space="preserve">(d)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134">
      <w:pPr>
        <w:spacing w:after="0" w:line="48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5">
      <w:pPr>
        <w:spacing w:after="0" w:line="48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6">
      <w:pPr>
        <w:spacing w:after="0" w:line="48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7">
      <w:pPr>
        <w:spacing w:after="0" w:line="48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8">
      <w:pPr>
        <w:spacing w:after="0" w:line="48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Supplementary references:</w:t>
      </w:r>
    </w:p>
    <w:p w:rsidR="00000000" w:rsidDel="00000000" w:rsidP="00000000" w:rsidRDefault="00000000" w:rsidRPr="00000000" w14:paraId="00000139">
      <w:pPr>
        <w:widowControl w:val="0"/>
        <w:spacing w:after="0" w:line="480" w:lineRule="auto"/>
        <w:ind w:left="640" w:hanging="640"/>
        <w:rPr/>
      </w:pPr>
      <w:r w:rsidDel="00000000" w:rsidR="00000000" w:rsidRPr="00000000">
        <w:rPr>
          <w:rtl w:val="0"/>
        </w:rPr>
        <w:t xml:space="preserve">1.</w:t>
        <w:tab/>
        <w:t xml:space="preserve">Nielsen, A. A. K. </w:t>
      </w:r>
      <w:r w:rsidDel="00000000" w:rsidR="00000000" w:rsidRPr="00000000">
        <w:rPr>
          <w:i w:val="1"/>
          <w:rtl w:val="0"/>
        </w:rPr>
        <w:t xml:space="preserve">et al.</w:t>
      </w:r>
      <w:r w:rsidDel="00000000" w:rsidR="00000000" w:rsidRPr="00000000">
        <w:rPr>
          <w:rtl w:val="0"/>
        </w:rPr>
        <w:t xml:space="preserve"> Genetic circuit design automation. </w:t>
      </w:r>
      <w:r w:rsidDel="00000000" w:rsidR="00000000" w:rsidRPr="00000000">
        <w:rPr>
          <w:i w:val="1"/>
          <w:rtl w:val="0"/>
        </w:rPr>
        <w:t xml:space="preserve">Science (80-. ).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rtl w:val="0"/>
        </w:rPr>
        <w:t xml:space="preserve">352</w:t>
      </w:r>
      <w:r w:rsidDel="00000000" w:rsidR="00000000" w:rsidRPr="00000000">
        <w:rPr>
          <w:rtl w:val="0"/>
        </w:rPr>
        <w:t xml:space="preserve">, (2016).</w:t>
      </w:r>
    </w:p>
    <w:p w:rsidR="00000000" w:rsidDel="00000000" w:rsidP="00000000" w:rsidRDefault="00000000" w:rsidRPr="00000000" w14:paraId="0000013A">
      <w:pPr>
        <w:widowControl w:val="0"/>
        <w:spacing w:after="0" w:line="480" w:lineRule="auto"/>
        <w:ind w:left="640" w:hanging="640"/>
        <w:rPr/>
      </w:pPr>
      <w:r w:rsidDel="00000000" w:rsidR="00000000" w:rsidRPr="00000000">
        <w:rPr>
          <w:rtl w:val="0"/>
        </w:rPr>
        <w:t xml:space="preserve">2.</w:t>
        <w:tab/>
        <w:t xml:space="preserve">Bean, B. D. M., Whiteway, M. &amp; Martin, V. J. J. The MyLo CRISPR-Cas9 Toolkit: A Markerless Yeast Localization and Overexpression CRISPR-Cas9 Toolkit. </w:t>
      </w:r>
      <w:r w:rsidDel="00000000" w:rsidR="00000000" w:rsidRPr="00000000">
        <w:rPr>
          <w:i w:val="1"/>
          <w:rtl w:val="0"/>
        </w:rPr>
        <w:t xml:space="preserve">bioRxiv</w:t>
      </w:r>
      <w:r w:rsidDel="00000000" w:rsidR="00000000" w:rsidRPr="00000000">
        <w:rPr>
          <w:rtl w:val="0"/>
        </w:rPr>
        <w:t xml:space="preserve"> 2021.12.15.472800 (2021) doi:10.1101/2021.12.15.472800.</w:t>
      </w:r>
    </w:p>
    <w:p w:rsidR="00000000" w:rsidDel="00000000" w:rsidP="00000000" w:rsidRDefault="00000000" w:rsidRPr="00000000" w14:paraId="0000013B">
      <w:pPr>
        <w:spacing w:after="0" w:line="480" w:lineRule="auto"/>
        <w:rPr>
          <w:b w:val="1"/>
        </w:rPr>
      </w:pPr>
      <w:r w:rsidDel="00000000" w:rsidR="00000000" w:rsidRPr="00000000">
        <w:rPr>
          <w:rtl w:val="0"/>
        </w:rPr>
      </w:r>
    </w:p>
    <w:sectPr>
      <w:footerReference r:id="rId12" w:type="default"/>
      <w:footerReference r:id="rId13" w:type="even"/>
      <w:pgSz w:h="15840" w:w="12240" w:orient="portrait"/>
      <w:pgMar w:bottom="1440" w:top="1440" w:left="1440" w:right="1440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3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680"/>
        <w:tab w:val="right" w:pos="9360"/>
      </w:tabs>
      <w:spacing w:after="0" w:line="240" w:lineRule="auto"/>
      <w:jc w:val="center"/>
      <w:rPr>
        <w:color w:val="000000"/>
      </w:rPr>
    </w:pPr>
    <w:r w:rsidDel="00000000" w:rsidR="00000000" w:rsidRPr="00000000">
      <w:rPr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3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3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680"/>
        <w:tab w:val="right" w:pos="9360"/>
      </w:tabs>
      <w:spacing w:after="0" w:line="240" w:lineRule="auto"/>
      <w:jc w:val="center"/>
      <w:rPr>
        <w:color w:val="000000"/>
      </w:rPr>
    </w:pPr>
    <w:r w:rsidDel="00000000" w:rsidR="00000000" w:rsidRPr="00000000">
      <w:rPr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3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-CA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paragraph" w:styleId="Heading1">
    <w:name w:val="heading 1"/>
    <w:basedOn w:val="Normal"/>
    <w:next w:val="Normal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Heading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Title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ListParagraph">
    <w:name w:val="List Paragraph"/>
    <w:basedOn w:val="Normal"/>
    <w:uiPriority w:val="34"/>
    <w:qFormat w:val="1"/>
    <w:rsid w:val="00FF227F"/>
    <w:pPr>
      <w:ind w:left="720"/>
      <w:contextualSpacing w:val="1"/>
    </w:pPr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F56E0F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F56E0F"/>
    <w:rPr>
      <w:rFonts w:ascii="Segoe UI" w:cs="Segoe UI" w:hAnsi="Segoe UI"/>
      <w:sz w:val="18"/>
      <w:szCs w:val="18"/>
    </w:rPr>
  </w:style>
  <w:style w:type="character" w:styleId="LineNumber">
    <w:name w:val="line number"/>
    <w:basedOn w:val="DefaultParagraphFont"/>
    <w:uiPriority w:val="99"/>
    <w:semiHidden w:val="1"/>
    <w:unhideWhenUsed w:val="1"/>
    <w:rsid w:val="0008480F"/>
  </w:style>
  <w:style w:type="character" w:styleId="Hyperlink">
    <w:name w:val="Hyperlink"/>
    <w:basedOn w:val="DefaultParagraphFont"/>
    <w:uiPriority w:val="99"/>
    <w:semiHidden w:val="1"/>
    <w:unhideWhenUsed w:val="1"/>
    <w:rsid w:val="007D4DBB"/>
    <w:rPr>
      <w:color w:val="0000ff"/>
      <w:u w:val="single"/>
    </w:rPr>
  </w:style>
  <w:style w:type="paragraph" w:styleId="Revision">
    <w:name w:val="Revision"/>
    <w:hidden w:val="1"/>
    <w:uiPriority w:val="99"/>
    <w:semiHidden w:val="1"/>
    <w:rsid w:val="001710F8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 w:val="1"/>
    <w:unhideWhenUsed w:val="1"/>
    <w:rsid w:val="00B35A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 w:val="1"/>
    <w:rsid w:val="00B35A31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B35A3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 w:val="1"/>
    <w:unhideWhenUsed w:val="1"/>
    <w:rsid w:val="00B35A31"/>
    <w:rPr>
      <w:b w:val="1"/>
      <w:bCs w:val="1"/>
    </w:rPr>
  </w:style>
  <w:style w:type="character" w:styleId="CommentSubjectChar" w:customStyle="1">
    <w:name w:val="Comment Subject Char"/>
    <w:basedOn w:val="CommentTextChar"/>
    <w:link w:val="CommentSubject"/>
    <w:uiPriority w:val="99"/>
    <w:semiHidden w:val="1"/>
    <w:rsid w:val="00B35A31"/>
    <w:rPr>
      <w:b w:val="1"/>
      <w:bCs w:val="1"/>
      <w:sz w:val="20"/>
      <w:szCs w:val="20"/>
    </w:rPr>
  </w:style>
  <w:style w:type="table" w:styleId="TableGrid">
    <w:name w:val="Table Grid"/>
    <w:basedOn w:val="TableNormal"/>
    <w:uiPriority w:val="39"/>
    <w:rsid w:val="00913043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FollowedHyperlink">
    <w:name w:val="FollowedHyperlink"/>
    <w:basedOn w:val="DefaultParagraphFont"/>
    <w:uiPriority w:val="99"/>
    <w:semiHidden w:val="1"/>
    <w:unhideWhenUsed w:val="1"/>
    <w:rsid w:val="00E5196A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 w:val="1"/>
    <w:rsid w:val="00713FA9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713FA9"/>
  </w:style>
  <w:style w:type="character" w:styleId="PageNumber">
    <w:name w:val="page number"/>
    <w:basedOn w:val="DefaultParagraphFont"/>
    <w:uiPriority w:val="99"/>
    <w:semiHidden w:val="1"/>
    <w:unhideWhenUsed w:val="1"/>
    <w:rsid w:val="00713FA9"/>
  </w:style>
  <w:style w:type="paragraph" w:styleId="Header">
    <w:name w:val="header"/>
    <w:basedOn w:val="Normal"/>
    <w:link w:val="HeaderChar"/>
    <w:uiPriority w:val="99"/>
    <w:semiHidden w:val="1"/>
    <w:unhideWhenUsed w:val="1"/>
    <w:rsid w:val="0012321D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semiHidden w:val="1"/>
    <w:rsid w:val="0012321D"/>
  </w:style>
  <w:style w:type="paragraph" w:styleId="Subtitle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styleId="a0" w:customStyle="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styleId="a1" w:customStyle="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styleId="a2" w:customStyle="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styleId="a3" w:customStyle="1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3.png"/><Relationship Id="rId10" Type="http://schemas.openxmlformats.org/officeDocument/2006/relationships/image" Target="media/image5.jpg"/><Relationship Id="rId13" Type="http://schemas.openxmlformats.org/officeDocument/2006/relationships/footer" Target="footer2.xml"/><Relationship Id="rId12" Type="http://schemas.openxmlformats.org/officeDocument/2006/relationships/footer" Target="footer1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4.jp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BomuX4n3zRSQXooayVsjFHC+HfA==">AMUW2mUIUif/OlpNfg8ANyCB1LDJ+83r59E0H/IGc82GvAMCN3cQ/nMUDvpoSYz/B7Lnfdz4yusdDkKSVimX9F5Cz8jM/CDd+dI7B7MLalQSBWsse70vSLE=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2022-03-31T20:36:00Z</dcterms:created>
  <dc:creator>Mohamed Nasr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2eefd03c-83dc-3c44-97a1-a3ac64f64e4b</vt:lpwstr>
  </property>
  <property fmtid="{D5CDD505-2E9C-101B-9397-08002B2CF9AE}" pid="4" name="Mendeley Citation Style_1">
    <vt:lpwstr>http://www.zotero.org/styles/nature</vt:lpwstr>
  </property>
  <property fmtid="{D5CDD505-2E9C-101B-9397-08002B2CF9AE}" pid="5" name="Mendeley Recent Style Id 0_1">
    <vt:lpwstr>http://www.zotero.org/styles/acs-synthetic-biology</vt:lpwstr>
  </property>
  <property fmtid="{D5CDD505-2E9C-101B-9397-08002B2CF9AE}" pid="6" name="Mendeley Recent Style Name 0_1">
    <vt:lpwstr>ACS Synthetic Biology</vt:lpwstr>
  </property>
  <property fmtid="{D5CDD505-2E9C-101B-9397-08002B2CF9AE}" pid="7" name="Mendeley Recent Style Id 1_1">
    <vt:lpwstr>http://www.zotero.org/styles/american-political-science-association</vt:lpwstr>
  </property>
  <property fmtid="{D5CDD505-2E9C-101B-9397-08002B2CF9AE}" pid="8" name="Mendeley Recent Style Name 1_1">
    <vt:lpwstr>American Political Science Association</vt:lpwstr>
  </property>
  <property fmtid="{D5CDD505-2E9C-101B-9397-08002B2CF9AE}" pid="9" name="Mendeley Recent Style Id 2_1">
    <vt:lpwstr>http://www.zotero.org/styles/american-sociological-association</vt:lpwstr>
  </property>
  <property fmtid="{D5CDD505-2E9C-101B-9397-08002B2CF9AE}" pid="10" name="Mendeley Recent Style Name 2_1">
    <vt:lpwstr>American Sociological Association 6th edition</vt:lpwstr>
  </property>
  <property fmtid="{D5CDD505-2E9C-101B-9397-08002B2CF9AE}" pid="11" name="Mendeley Recent Style Id 3_1">
    <vt:lpwstr>http://www.zotero.org/styles/chicago-author-date</vt:lpwstr>
  </property>
  <property fmtid="{D5CDD505-2E9C-101B-9397-08002B2CF9AE}" pid="12" name="Mendeley Recent Style Name 3_1">
    <vt:lpwstr>Chicago Manual of Style 17th edition (author-date)</vt:lpwstr>
  </property>
  <property fmtid="{D5CDD505-2E9C-101B-9397-08002B2CF9AE}" pid="13" name="Mendeley Recent Style Id 4_1">
    <vt:lpwstr>http://www.zotero.org/styles/harvard-cite-them-right</vt:lpwstr>
  </property>
  <property fmtid="{D5CDD505-2E9C-101B-9397-08002B2CF9AE}" pid="14" name="Mendeley Recent Style Name 4_1">
    <vt:lpwstr>Cite Them Right 10th edition - Harvard</vt:lpwstr>
  </property>
  <property fmtid="{D5CDD505-2E9C-101B-9397-08002B2CF9AE}" pid="15" name="Mendeley Recent Style Id 5_1">
    <vt:lpwstr>http://www.zotero.org/styles/ieee</vt:lpwstr>
  </property>
  <property fmtid="{D5CDD505-2E9C-101B-9397-08002B2CF9AE}" pid="16" name="Mendeley Recent Style Name 5_1">
    <vt:lpwstr>IEEE</vt:lpwstr>
  </property>
  <property fmtid="{D5CDD505-2E9C-101B-9397-08002B2CF9AE}" pid="17" name="Mendeley Recent Style Id 6_1">
    <vt:lpwstr>http://www.zotero.org/styles/modern-humanities-research-association</vt:lpwstr>
  </property>
  <property fmtid="{D5CDD505-2E9C-101B-9397-08002B2CF9AE}" pid="18" name="Mendeley Recent Style Name 6_1">
    <vt:lpwstr>Modern Humanities Research Association 3rd edition (note with bibliography)</vt:lpwstr>
  </property>
  <property fmtid="{D5CDD505-2E9C-101B-9397-08002B2CF9AE}" pid="19" name="Mendeley Recent Style Id 7_1">
    <vt:lpwstr>http://www.zotero.org/styles/nature</vt:lpwstr>
  </property>
  <property fmtid="{D5CDD505-2E9C-101B-9397-08002B2CF9AE}" pid="20" name="Mendeley Recent Style Name 7_1">
    <vt:lpwstr>Nature</vt:lpwstr>
  </property>
  <property fmtid="{D5CDD505-2E9C-101B-9397-08002B2CF9AE}" pid="21" name="Mendeley Recent Style Id 8_1">
    <vt:lpwstr>http://csl.mendeley.com/styles/507593001/nature</vt:lpwstr>
  </property>
  <property fmtid="{D5CDD505-2E9C-101B-9397-08002B2CF9AE}" pid="22" name="Mendeley Recent Style Name 8_1">
    <vt:lpwstr>Nature - Mohamed Nasr</vt:lpwstr>
  </property>
  <property fmtid="{D5CDD505-2E9C-101B-9397-08002B2CF9AE}" pid="23" name="Mendeley Recent Style Id 9_1">
    <vt:lpwstr>https://csl.mendeley.com/styles/507593001/nature</vt:lpwstr>
  </property>
  <property fmtid="{D5CDD505-2E9C-101B-9397-08002B2CF9AE}" pid="24" name="Mendeley Recent Style Name 9_1">
    <vt:lpwstr>Nature - Mohamed Nasr</vt:lpwstr>
  </property>
</Properties>
</file>