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0CE6" w14:textId="77777777" w:rsidR="004E2852" w:rsidRPr="00A511F4" w:rsidRDefault="004E2852" w:rsidP="004E2852">
      <w:pPr>
        <w:spacing w:line="480" w:lineRule="auto"/>
        <w:rPr>
          <w:b/>
          <w:sz w:val="24"/>
          <w:szCs w:val="24"/>
        </w:rPr>
      </w:pPr>
      <w:r w:rsidRPr="00A511F4">
        <w:rPr>
          <w:b/>
          <w:sz w:val="24"/>
          <w:szCs w:val="24"/>
        </w:rPr>
        <w:t>SUPPLEMENTARY MATERIALS</w:t>
      </w:r>
    </w:p>
    <w:p w14:paraId="0A9DE8D0" w14:textId="77777777" w:rsidR="004E2852" w:rsidRDefault="004E2852" w:rsidP="004E2852">
      <w:pPr>
        <w:pStyle w:val="DataField11pt"/>
        <w:tabs>
          <w:tab w:val="left" w:pos="707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97E">
        <w:rPr>
          <w:rFonts w:ascii="Times New Roman" w:hAnsi="Times New Roman" w:cs="Times New Roman"/>
          <w:b/>
          <w:bCs/>
          <w:sz w:val="24"/>
          <w:szCs w:val="24"/>
        </w:rPr>
        <w:t xml:space="preserve">Predictive Potential of </w:t>
      </w:r>
      <w:r w:rsidRPr="00B63D3A">
        <w:rPr>
          <w:rFonts w:ascii="Times New Roman" w:hAnsi="Times New Roman" w:cs="Times New Roman"/>
          <w:b/>
          <w:bCs/>
          <w:sz w:val="24"/>
          <w:szCs w:val="24"/>
        </w:rPr>
        <w:t>ACE phenotyping in Extrapulmonary Sarcoidosis</w:t>
      </w:r>
    </w:p>
    <w:p w14:paraId="66F9356C" w14:textId="77777777" w:rsidR="004E2852" w:rsidRDefault="004E2852" w:rsidP="004E2852">
      <w:pPr>
        <w:pStyle w:val="DataField11pt"/>
        <w:tabs>
          <w:tab w:val="left" w:pos="707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3637A" w14:textId="77777777" w:rsidR="004E2852" w:rsidRPr="00B63D3A" w:rsidRDefault="004E2852" w:rsidP="004E2852">
      <w:pPr>
        <w:pStyle w:val="DataField11pt"/>
        <w:tabs>
          <w:tab w:val="left" w:pos="7075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8C00BC" w14:textId="77777777" w:rsidR="004E2852" w:rsidRDefault="004E2852" w:rsidP="004E2852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Ser</w:t>
      </w:r>
      <w:r w:rsidRPr="0096497B">
        <w:rPr>
          <w:sz w:val="24"/>
          <w:szCs w:val="24"/>
        </w:rPr>
        <w:t>gei M. Danilov</w:t>
      </w:r>
      <w:r w:rsidRPr="0096497B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,2 3</w:t>
      </w:r>
      <w:r>
        <w:rPr>
          <w:sz w:val="24"/>
          <w:szCs w:val="24"/>
        </w:rPr>
        <w:t>, Olga V. Kurilova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, Valentin </w:t>
      </w:r>
      <w:r w:rsidRPr="00A70864">
        <w:rPr>
          <w:sz w:val="24"/>
          <w:szCs w:val="24"/>
        </w:rPr>
        <w:t>E</w:t>
      </w:r>
      <w:r>
        <w:rPr>
          <w:sz w:val="24"/>
          <w:szCs w:val="24"/>
        </w:rPr>
        <w:t>. Sinitsyn</w:t>
      </w:r>
      <w:proofErr w:type="gramStart"/>
      <w:r w:rsidRPr="00B63D3A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Armais</w:t>
      </w:r>
      <w:proofErr w:type="spellEnd"/>
      <w:r w:rsidRPr="00BD63BE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BD63BE">
        <w:rPr>
          <w:sz w:val="24"/>
          <w:szCs w:val="24"/>
        </w:rPr>
        <w:t xml:space="preserve">. </w:t>
      </w:r>
      <w:r>
        <w:rPr>
          <w:sz w:val="24"/>
          <w:szCs w:val="24"/>
        </w:rPr>
        <w:t>Kamalov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, </w:t>
      </w:r>
    </w:p>
    <w:p w14:paraId="1E04F5BB" w14:textId="77777777" w:rsidR="004E2852" w:rsidRPr="009040F2" w:rsidRDefault="004E2852" w:rsidP="004E2852">
      <w:pPr>
        <w:spacing w:line="480" w:lineRule="auto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</w:rPr>
        <w:t>Joe GN Garcia</w:t>
      </w:r>
      <w:r w:rsidRPr="009040F2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and Steven M. Dudek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. </w:t>
      </w:r>
    </w:p>
    <w:p w14:paraId="3F53C636" w14:textId="77777777" w:rsidR="004E2852" w:rsidRDefault="004E2852" w:rsidP="004E2852">
      <w:pPr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1 </w:t>
      </w:r>
      <w:r w:rsidRPr="00F40329">
        <w:rPr>
          <w:sz w:val="24"/>
          <w:szCs w:val="24"/>
        </w:rPr>
        <w:t xml:space="preserve">Division of Pulmonary, </w:t>
      </w:r>
      <w:r w:rsidRPr="00F40329">
        <w:rPr>
          <w:color w:val="000000"/>
          <w:sz w:val="24"/>
          <w:szCs w:val="24"/>
          <w:shd w:val="clear" w:color="auto" w:fill="FFFFFF"/>
        </w:rPr>
        <w:t>Critical Care, Sleep and Allergy</w:t>
      </w:r>
      <w:r w:rsidRPr="00F4032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40329">
        <w:rPr>
          <w:sz w:val="24"/>
          <w:szCs w:val="24"/>
        </w:rPr>
        <w:t>Department of Medicine,</w:t>
      </w:r>
    </w:p>
    <w:p w14:paraId="0BE7DB73" w14:textId="77777777" w:rsidR="004E2852" w:rsidRPr="0096497B" w:rsidRDefault="004E2852" w:rsidP="004E2852">
      <w:pPr>
        <w:jc w:val="both"/>
        <w:rPr>
          <w:sz w:val="24"/>
          <w:szCs w:val="24"/>
        </w:rPr>
      </w:pPr>
      <w:r w:rsidRPr="0096497B">
        <w:rPr>
          <w:sz w:val="24"/>
          <w:szCs w:val="24"/>
        </w:rPr>
        <w:t>University of Illinois at Chicago, IL</w:t>
      </w:r>
      <w:r>
        <w:rPr>
          <w:sz w:val="24"/>
          <w:szCs w:val="24"/>
        </w:rPr>
        <w:t>.</w:t>
      </w:r>
    </w:p>
    <w:p w14:paraId="58DA940E" w14:textId="77777777" w:rsidR="004E2852" w:rsidRDefault="004E2852" w:rsidP="004E2852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2 </w:t>
      </w:r>
      <w:r w:rsidRPr="00904F18">
        <w:rPr>
          <w:sz w:val="24"/>
          <w:szCs w:val="24"/>
        </w:rPr>
        <w:t>Medical Center, Moscow University, Russia</w:t>
      </w:r>
      <w:r>
        <w:rPr>
          <w:sz w:val="24"/>
          <w:szCs w:val="24"/>
        </w:rPr>
        <w:t xml:space="preserve">, </w:t>
      </w:r>
    </w:p>
    <w:p w14:paraId="546ECFA6" w14:textId="77777777" w:rsidR="004E2852" w:rsidRDefault="004E2852" w:rsidP="004E2852">
      <w:pPr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3 </w:t>
      </w:r>
      <w:r w:rsidRPr="0096497B">
        <w:rPr>
          <w:sz w:val="24"/>
          <w:szCs w:val="24"/>
        </w:rPr>
        <w:t>University of Arizona Health Sciences, Tucson, AZ</w:t>
      </w:r>
      <w:r>
        <w:rPr>
          <w:sz w:val="24"/>
          <w:szCs w:val="24"/>
        </w:rPr>
        <w:t xml:space="preserve">. </w:t>
      </w:r>
    </w:p>
    <w:p w14:paraId="3A210918" w14:textId="77777777" w:rsidR="004E2852" w:rsidRDefault="004E2852" w:rsidP="004E2852">
      <w:pPr>
        <w:spacing w:line="480" w:lineRule="auto"/>
        <w:jc w:val="both"/>
        <w:rPr>
          <w:b/>
          <w:bCs/>
          <w:sz w:val="24"/>
          <w:szCs w:val="24"/>
        </w:rPr>
      </w:pPr>
    </w:p>
    <w:p w14:paraId="56469C46" w14:textId="77777777" w:rsidR="004E2852" w:rsidRPr="00A511F4" w:rsidRDefault="004E2852" w:rsidP="004E2852">
      <w:pPr>
        <w:spacing w:line="480" w:lineRule="auto"/>
        <w:jc w:val="both"/>
        <w:rPr>
          <w:sz w:val="24"/>
          <w:szCs w:val="24"/>
        </w:rPr>
      </w:pPr>
      <w:r w:rsidRPr="00A511F4">
        <w:rPr>
          <w:b/>
          <w:bCs/>
          <w:sz w:val="24"/>
          <w:szCs w:val="24"/>
        </w:rPr>
        <w:t>Figure S1. Unremarkable whole body PET scan in a patient with elevated blood ACE levels</w:t>
      </w:r>
      <w:r w:rsidRPr="00A511F4">
        <w:rPr>
          <w:sz w:val="24"/>
          <w:szCs w:val="24"/>
        </w:rPr>
        <w:t xml:space="preserve">. </w:t>
      </w:r>
    </w:p>
    <w:p w14:paraId="6DE5FAE9" w14:textId="77777777" w:rsidR="004E2852" w:rsidRPr="00A511F4" w:rsidRDefault="004E2852" w:rsidP="004E2852">
      <w:pPr>
        <w:spacing w:line="480" w:lineRule="auto"/>
        <w:jc w:val="both"/>
        <w:rPr>
          <w:sz w:val="27"/>
          <w:szCs w:val="27"/>
        </w:rPr>
      </w:pPr>
      <w:r w:rsidRPr="00A511F4">
        <w:rPr>
          <w:sz w:val="24"/>
          <w:szCs w:val="24"/>
        </w:rPr>
        <w:t xml:space="preserve">A </w:t>
      </w:r>
      <w:proofErr w:type="gramStart"/>
      <w:r w:rsidRPr="00A511F4">
        <w:rPr>
          <w:rFonts w:eastAsia="Times New Roman"/>
          <w:sz w:val="24"/>
          <w:szCs w:val="24"/>
        </w:rPr>
        <w:t>whole body</w:t>
      </w:r>
      <w:proofErr w:type="gramEnd"/>
      <w:r w:rsidRPr="00A511F4">
        <w:rPr>
          <w:rFonts w:eastAsia="Times New Roman"/>
          <w:sz w:val="24"/>
          <w:szCs w:val="24"/>
        </w:rPr>
        <w:t xml:space="preserve"> PET/CT was performed on</w:t>
      </w:r>
      <w:r w:rsidRPr="00A511F4">
        <w:rPr>
          <w:sz w:val="24"/>
          <w:szCs w:val="24"/>
        </w:rPr>
        <w:t xml:space="preserve"> a patient (#82B) with elevated blood ACE level (180%). Top panels </w:t>
      </w:r>
      <w:proofErr w:type="gramStart"/>
      <w:r w:rsidRPr="00A511F4">
        <w:rPr>
          <w:sz w:val="24"/>
          <w:szCs w:val="24"/>
        </w:rPr>
        <w:t>shows</w:t>
      </w:r>
      <w:proofErr w:type="gramEnd"/>
      <w:r w:rsidRPr="00A511F4">
        <w:rPr>
          <w:sz w:val="24"/>
          <w:szCs w:val="24"/>
        </w:rPr>
        <w:t xml:space="preserve"> multi-planar PET reformations –sagittal (</w:t>
      </w:r>
      <w:r w:rsidRPr="00A511F4">
        <w:rPr>
          <w:b/>
          <w:sz w:val="24"/>
          <w:szCs w:val="24"/>
        </w:rPr>
        <w:t>A</w:t>
      </w:r>
      <w:r w:rsidRPr="00A511F4">
        <w:rPr>
          <w:sz w:val="24"/>
          <w:szCs w:val="24"/>
        </w:rPr>
        <w:t>), axial (</w:t>
      </w:r>
      <w:r w:rsidRPr="00A511F4">
        <w:rPr>
          <w:b/>
          <w:sz w:val="24"/>
          <w:szCs w:val="24"/>
        </w:rPr>
        <w:t>B</w:t>
      </w:r>
      <w:r w:rsidRPr="00A511F4">
        <w:rPr>
          <w:sz w:val="24"/>
          <w:szCs w:val="24"/>
        </w:rPr>
        <w:t>) and coronal (frontal) (</w:t>
      </w:r>
      <w:r w:rsidRPr="00A511F4">
        <w:rPr>
          <w:b/>
          <w:sz w:val="24"/>
          <w:szCs w:val="24"/>
        </w:rPr>
        <w:t>C</w:t>
      </w:r>
      <w:r w:rsidRPr="00A511F4">
        <w:rPr>
          <w:sz w:val="24"/>
          <w:szCs w:val="24"/>
        </w:rPr>
        <w:t>). Bottom panel illustrates fused PET/CT (</w:t>
      </w:r>
      <w:r w:rsidRPr="00A511F4">
        <w:rPr>
          <w:b/>
          <w:sz w:val="24"/>
          <w:szCs w:val="24"/>
        </w:rPr>
        <w:t>D</w:t>
      </w:r>
      <w:r w:rsidRPr="00A511F4">
        <w:rPr>
          <w:sz w:val="24"/>
          <w:szCs w:val="24"/>
        </w:rPr>
        <w:t>) and CT (</w:t>
      </w:r>
      <w:r w:rsidRPr="00A511F4">
        <w:rPr>
          <w:b/>
          <w:sz w:val="24"/>
          <w:szCs w:val="24"/>
        </w:rPr>
        <w:t>E</w:t>
      </w:r>
      <w:r w:rsidRPr="00A511F4">
        <w:rPr>
          <w:sz w:val="24"/>
          <w:szCs w:val="24"/>
        </w:rPr>
        <w:t>) images demonstrating no increased FDG uptake in the areas of mediastinal or hilar lymph nodes. Further examinations confirmed that the patient had hyperthyroidism rather than sarcoidosis</w:t>
      </w:r>
      <w:r w:rsidRPr="00A511F4">
        <w:rPr>
          <w:sz w:val="27"/>
          <w:szCs w:val="27"/>
        </w:rPr>
        <w:t>.</w:t>
      </w:r>
    </w:p>
    <w:p w14:paraId="2AD7BE1F" w14:textId="77777777" w:rsidR="004E2852" w:rsidRPr="00A511F4" w:rsidRDefault="004E2852" w:rsidP="004E2852">
      <w:pPr>
        <w:spacing w:line="480" w:lineRule="auto"/>
        <w:jc w:val="both"/>
        <w:rPr>
          <w:b/>
          <w:sz w:val="24"/>
          <w:szCs w:val="24"/>
        </w:rPr>
      </w:pPr>
    </w:p>
    <w:p w14:paraId="31A5804E" w14:textId="77777777" w:rsidR="004E2852" w:rsidRPr="00A511F4" w:rsidRDefault="004E2852" w:rsidP="004E2852">
      <w:pPr>
        <w:spacing w:line="480" w:lineRule="auto"/>
        <w:jc w:val="both"/>
        <w:rPr>
          <w:sz w:val="24"/>
          <w:szCs w:val="24"/>
        </w:rPr>
      </w:pPr>
      <w:r w:rsidRPr="00A511F4">
        <w:rPr>
          <w:b/>
          <w:sz w:val="24"/>
          <w:szCs w:val="24"/>
        </w:rPr>
        <w:t>Figure S2. Comparison of ACE parameters in healthy individuals and sarcoidosis patients.</w:t>
      </w:r>
      <w:r w:rsidRPr="00A511F4">
        <w:rPr>
          <w:sz w:val="24"/>
          <w:szCs w:val="24"/>
        </w:rPr>
        <w:t xml:space="preserve"> Box-and-whisker plot for ACE activity (</w:t>
      </w:r>
      <w:r w:rsidRPr="00A511F4">
        <w:rPr>
          <w:b/>
          <w:sz w:val="24"/>
          <w:szCs w:val="24"/>
        </w:rPr>
        <w:t>A</w:t>
      </w:r>
      <w:r w:rsidRPr="00A511F4">
        <w:rPr>
          <w:sz w:val="24"/>
          <w:szCs w:val="24"/>
        </w:rPr>
        <w:t xml:space="preserve">). Box-and-whisker plot for </w:t>
      </w:r>
      <w:proofErr w:type="spellStart"/>
      <w:r w:rsidRPr="00A511F4">
        <w:rPr>
          <w:sz w:val="24"/>
          <w:szCs w:val="24"/>
        </w:rPr>
        <w:t>mAb</w:t>
      </w:r>
      <w:proofErr w:type="spellEnd"/>
      <w:r w:rsidRPr="00A511F4">
        <w:rPr>
          <w:sz w:val="24"/>
          <w:szCs w:val="24"/>
        </w:rPr>
        <w:t xml:space="preserve"> 9B9 binding/ACE activity ratio (</w:t>
      </w:r>
      <w:r w:rsidRPr="00A511F4">
        <w:rPr>
          <w:b/>
          <w:sz w:val="24"/>
          <w:szCs w:val="24"/>
        </w:rPr>
        <w:t>B).</w:t>
      </w:r>
      <w:r w:rsidRPr="00A511F4">
        <w:t xml:space="preserve"> </w:t>
      </w:r>
      <w:r w:rsidRPr="00A511F4">
        <w:rPr>
          <w:sz w:val="24"/>
          <w:szCs w:val="24"/>
        </w:rPr>
        <w:t>Line inside the box - median; limits of the box - 75th and 25th percentiles; whiskers - 10th and 90</w:t>
      </w:r>
      <w:r w:rsidRPr="00A511F4">
        <w:rPr>
          <w:sz w:val="24"/>
          <w:szCs w:val="24"/>
          <w:vertAlign w:val="superscript"/>
        </w:rPr>
        <w:t>th</w:t>
      </w:r>
      <w:r w:rsidRPr="00A511F4">
        <w:rPr>
          <w:sz w:val="24"/>
          <w:szCs w:val="24"/>
        </w:rPr>
        <w:t xml:space="preserve"> percentiles; • - outliers. P values are displayed in the figure.</w:t>
      </w:r>
    </w:p>
    <w:p w14:paraId="230B689D" w14:textId="77777777" w:rsidR="002139AB" w:rsidRDefault="002139AB"/>
    <w:sectPr w:rsidR="002139AB" w:rsidSect="00D35450">
      <w:footerReference w:type="default" r:id="rId4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81065" w14:textId="77777777" w:rsidR="00D81E9D" w:rsidRDefault="004E28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2D9C749" w14:textId="77777777" w:rsidR="00D81E9D" w:rsidRDefault="004E2852">
    <w:pPr>
      <w:pStyle w:val="Footer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52"/>
    <w:rsid w:val="002139AB"/>
    <w:rsid w:val="004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ECADC"/>
  <w15:chartTrackingRefBased/>
  <w15:docId w15:val="{BED8647D-1165-4EDD-9C82-B335B124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85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E2852"/>
    <w:pPr>
      <w:tabs>
        <w:tab w:val="center" w:pos="4320"/>
        <w:tab w:val="right" w:pos="8640"/>
      </w:tabs>
    </w:pPr>
    <w:rPr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4E285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ataField11pt">
    <w:name w:val="Data Field 11pt"/>
    <w:basedOn w:val="Normal"/>
    <w:link w:val="DataField11ptChar"/>
    <w:rsid w:val="004E2852"/>
    <w:pPr>
      <w:autoSpaceDE w:val="0"/>
      <w:autoSpaceDN w:val="0"/>
      <w:spacing w:line="300" w:lineRule="exact"/>
    </w:pPr>
    <w:rPr>
      <w:rFonts w:ascii="Arial" w:eastAsia="Times New Roman" w:hAnsi="Arial" w:cs="Arial"/>
      <w:sz w:val="22"/>
    </w:rPr>
  </w:style>
  <w:style w:type="character" w:customStyle="1" w:styleId="DataField11ptChar">
    <w:name w:val="Data Field 11pt Char"/>
    <w:link w:val="DataField11pt"/>
    <w:rsid w:val="004E2852"/>
    <w:rPr>
      <w:rFonts w:ascii="Arial" w:eastAsia="Times New Roman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Danilov, Sergei M</dc:creator>
  <cp:keywords/>
  <dc:description/>
  <cp:lastModifiedBy>Danilov, Sergei M</cp:lastModifiedBy>
  <cp:revision>1</cp:revision>
  <dcterms:created xsi:type="dcterms:W3CDTF">2022-06-18T19:50:00Z</dcterms:created>
  <dcterms:modified xsi:type="dcterms:W3CDTF">2022-06-18T19:52:00Z</dcterms:modified>
</cp:coreProperties>
</file>