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spacing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Information</w:t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Input variables for the Features II, PRS + Features II, Features III, and PRS + Features III models. Abbreviations: body mass index (BMI), C-reactive protein (CRP), glycated hemoglobin (HbA1c), insulin-like growth factor 1 (IGF-1) and polygenic risk score (PRS).</w:t>
      </w:r>
    </w:p>
    <w:p w:rsidR="00000000" w:rsidDel="00000000" w:rsidP="00000000" w:rsidRDefault="00000000" w:rsidRPr="00000000" w14:paraId="00000004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20.0" w:type="dxa"/>
        <w:jc w:val="left"/>
        <w:tblInd w:w="5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680"/>
        <w:gridCol w:w="1935"/>
        <w:gridCol w:w="1935"/>
        <w:gridCol w:w="1935"/>
        <w:gridCol w:w="1935"/>
        <w:gridCol w:w="0"/>
        <w:tblGridChange w:id="0">
          <w:tblGrid>
            <w:gridCol w:w="1680"/>
            <w:gridCol w:w="1935"/>
            <w:gridCol w:w="1935"/>
            <w:gridCol w:w="1935"/>
            <w:gridCol w:w="1935"/>
            <w:gridCol w:w="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Machine Learning Model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Input Variables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1) Features II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2) PRS + Features II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3) Features III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4) PRS + Features III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Genetic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Demographics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Age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Father’s history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Father’s history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Father’s history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Father’s history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Sibling history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Sibling history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Sibling history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Sibling history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Ethnicity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Ethnicity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Ethnicity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Ethnicity 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Clinical Measurements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BMI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BMI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BMI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BMI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Laboratory values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HbA1c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HbA1c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HbA1c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HbA1c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CRP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CRP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CRP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CRP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IGF-1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IGF-1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IGF-1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IGF-1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Medical History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Smoking status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Smoking status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Smoking status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Smoking status 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Number of same sex partners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Number of same sex partners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Diabetes diagnosis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Diabetes diagnosis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Diabetes medication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Diabetes medication </w:t>
            </w:r>
          </w:p>
        </w:tc>
      </w:tr>
    </w:tbl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Table 2.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Performance metrics of the Features II, PRS + Features II, Features III, and PRS + Features III models. Abbreviations: Area under the receiver operating characteristic (AUROC); diagnostic odds ratio (DOR); likelihood ratio positive (LR+), likelihood ratio negative (LR-), polygenic risk score (PRS).</w:t>
      </w:r>
    </w:p>
    <w:p w:rsidR="00000000" w:rsidDel="00000000" w:rsidP="00000000" w:rsidRDefault="00000000" w:rsidRPr="00000000" w14:paraId="00000054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00.0" w:type="dxa"/>
        <w:jc w:val="left"/>
        <w:tblInd w:w="1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60"/>
        <w:gridCol w:w="1860"/>
        <w:gridCol w:w="1860"/>
        <w:gridCol w:w="1860"/>
        <w:gridCol w:w="1860"/>
        <w:tblGridChange w:id="0">
          <w:tblGrid>
            <w:gridCol w:w="1860"/>
            <w:gridCol w:w="1860"/>
            <w:gridCol w:w="1860"/>
            <w:gridCol w:w="1860"/>
            <w:gridCol w:w="1860"/>
          </w:tblGrid>
        </w:tblGridChange>
      </w:tblGrid>
      <w:tr>
        <w:trPr>
          <w:cantSplit w:val="0"/>
          <w:trHeight w:val="240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Features II only</w:t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PRS + Features II</w:t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Features III only</w:t>
            </w:r>
          </w:p>
        </w:tc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PRS + Features III</w:t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Mar>
              <w:top w:w="20.0" w:type="dxa"/>
              <w:left w:w="20.0" w:type="dxa"/>
              <w:bottom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AUROC </w:t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0.742</w:t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(0.708, 0.774)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0.788 </w:t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(0.758, 0.819)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0.742</w:t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(0.708, 0.774)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0.788 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(0.758, 0.819)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Mar>
              <w:top w:w="20.0" w:type="dxa"/>
              <w:left w:w="20.0" w:type="dxa"/>
              <w:bottom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Sensitivity</w:t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0.800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(0.736, 0.864)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0.800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(0.736, 0.864)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0.800</w:t>
            </w:r>
          </w:p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(0.736, 0.864)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0.800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(0.736, 0.864)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Mar>
              <w:top w:w="20.0" w:type="dxa"/>
              <w:left w:w="20.0" w:type="dxa"/>
              <w:bottom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Specificity</w:t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0.560 </w:t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(0.553, 0.567)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0.629 </w:t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(0.622, 0.636)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0.560 </w:t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(0.553, 0.567)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0.629 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(0.622, 0.636)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Mar>
              <w:top w:w="20.0" w:type="dxa"/>
              <w:left w:w="20.0" w:type="dxa"/>
              <w:bottom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DOR</w:t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5.095 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(4.694, 5.496)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6.783 </w:t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(6.382, 7.184)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5.095 </w:t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(4.694, 5.496)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6.783 </w:t>
            </w:r>
          </w:p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(6.382, 7.184)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Mar>
              <w:top w:w="20.0" w:type="dxa"/>
              <w:left w:w="20.0" w:type="dxa"/>
              <w:bottom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LR+</w:t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1.819</w:t>
            </w:r>
          </w:p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(1.676, 1.974)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2.157</w:t>
            </w:r>
          </w:p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(1.986, 2.341)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1.819</w:t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(1.676, 1.974)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2.157</w:t>
            </w:r>
          </w:p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(1.986, 2.341)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" w:hRule="atLeast"/>
          <w:tblHeader w:val="0"/>
        </w:trPr>
        <w:tc>
          <w:tcPr>
            <w:tcMar>
              <w:top w:w="20.0" w:type="dxa"/>
              <w:left w:w="20.0" w:type="dxa"/>
              <w:bottom w:w="20.0" w:type="dxa"/>
              <w:right w:w="2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LR-</w:t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0.357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(0.259, 0.492)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0.318</w:t>
            </w:r>
          </w:p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(0.231, 0.438)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0.357</w:t>
            </w:r>
          </w:p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(0.259, 0.492)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0.318</w:t>
            </w:r>
          </w:p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1"/>
                <w:szCs w:val="21"/>
                <w:highlight w:val="white"/>
                <w:rtl w:val="0"/>
              </w:rPr>
              <w:t xml:space="preserve">(0.231, 0.438)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1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Supplementary Figure 1.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SHapely Additive ExPlanations plots of the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Features I,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PRSs + Features I,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Features II,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PRS + Features II model, and (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) Minimal Features models.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A</w:t>
      </w:r>
    </w:p>
    <w:p w:rsidR="00000000" w:rsidDel="00000000" w:rsidP="00000000" w:rsidRDefault="00000000" w:rsidRPr="00000000" w14:paraId="00000096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</w:rPr>
        <w:drawing>
          <wp:inline distB="19050" distT="19050" distL="19050" distR="19050">
            <wp:extent cx="5620199" cy="3049575"/>
            <wp:effectExtent b="0" l="0" r="0" t="0"/>
            <wp:docPr id="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620199" cy="30495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B</w:t>
      </w:r>
    </w:p>
    <w:p w:rsidR="00000000" w:rsidDel="00000000" w:rsidP="00000000" w:rsidRDefault="00000000" w:rsidRPr="00000000" w14:paraId="00000099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</w:rPr>
        <w:drawing>
          <wp:inline distB="19050" distT="19050" distL="19050" distR="19050">
            <wp:extent cx="5802699" cy="3227000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02699" cy="3227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C</w:t>
      </w:r>
    </w:p>
    <w:p w:rsidR="00000000" w:rsidDel="00000000" w:rsidP="00000000" w:rsidRDefault="00000000" w:rsidRPr="00000000" w14:paraId="0000009C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</w:rPr>
        <w:drawing>
          <wp:inline distB="19050" distT="19050" distL="19050" distR="19050">
            <wp:extent cx="5201567" cy="3897174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01567" cy="38971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36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D</w:t>
      </w:r>
    </w:p>
    <w:p w:rsidR="00000000" w:rsidDel="00000000" w:rsidP="00000000" w:rsidRDefault="00000000" w:rsidRPr="00000000" w14:paraId="000000A0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</w:rPr>
        <w:drawing>
          <wp:inline distB="19050" distT="19050" distL="19050" distR="19050">
            <wp:extent cx="5222214" cy="3897175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22214" cy="38971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  <w:rtl w:val="0"/>
        </w:rPr>
        <w:t xml:space="preserve">E</w:t>
      </w:r>
    </w:p>
    <w:p w:rsidR="00000000" w:rsidDel="00000000" w:rsidP="00000000" w:rsidRDefault="00000000" w:rsidRPr="00000000" w14:paraId="000000A3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360" w:lineRule="auto"/>
        <w:rPr>
          <w:rFonts w:ascii="Times New Roman" w:cs="Times New Roman" w:eastAsia="Times New Roman" w:hAnsi="Times New Roman"/>
          <w:b w:val="1"/>
          <w:sz w:val="30"/>
          <w:szCs w:val="3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0"/>
          <w:szCs w:val="30"/>
        </w:rPr>
        <w:drawing>
          <wp:inline distB="19050" distT="19050" distL="19050" distR="19050">
            <wp:extent cx="5943600" cy="2006600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06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pPr/>
    <w:rPr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pPr/>
      <w:rPr/>
      <w:tcPr/>
    </w:tblStylePr>
    <w:tblStylePr w:type="band1Vert">
      <w:pPr/>
      <w:rPr/>
      <w:tcPr/>
    </w:tblStylePr>
    <w:tblStylePr w:type="band2Horz">
      <w:pPr/>
      <w:rPr/>
      <w:tcPr/>
    </w:tblStylePr>
    <w:tblStylePr w:type="band2Vert">
      <w:pPr/>
      <w:rPr/>
      <w:tcPr/>
    </w:tblStylePr>
    <w:tblStylePr w:type="firstCol">
      <w:pPr/>
      <w:rPr/>
      <w:tcPr/>
    </w:tblStylePr>
    <w:tblStylePr w:type="firstRow">
      <w:pPr/>
      <w:rPr/>
      <w:tcPr/>
    </w:tblStylePr>
    <w:tblStylePr w:type="lastCol">
      <w:pPr/>
      <w:rPr/>
      <w:tcPr/>
    </w:tblStylePr>
    <w:tblStylePr w:type="lastRow">
      <w:pPr/>
      <w:rPr/>
      <w:tcPr/>
    </w:tblStylePr>
    <w:tblStylePr w:type="neCell">
      <w:pPr/>
      <w:rPr/>
      <w:tcPr/>
    </w:tblStylePr>
    <w:tblStylePr w:type="nwCell">
      <w:pPr/>
      <w:rPr/>
      <w:tcPr/>
    </w:tblStylePr>
    <w:tblStylePr w:type="seCell">
      <w:pPr/>
      <w:rPr/>
      <w:tcPr/>
    </w:tblStylePr>
    <w:tblStylePr w:type="swCell">
      <w:pPr/>
      <w:rPr/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5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