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FF719" w14:textId="02EC4899" w:rsidR="00346B9E" w:rsidRDefault="00346B9E" w:rsidP="00346B9E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</w:rPr>
        <w:t>Results</w:t>
      </w:r>
    </w:p>
    <w:p w14:paraId="3C25C721" w14:textId="030ACD3B" w:rsidR="00346B9E" w:rsidRPr="00634B33" w:rsidRDefault="00346B9E" w:rsidP="00346B9E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</w:rPr>
        <w:t>Characteristics of the included studies</w:t>
      </w:r>
    </w:p>
    <w:p w14:paraId="1055085F" w14:textId="77777777" w:rsidR="00346B9E" w:rsidRDefault="00346B9E" w:rsidP="00346B9E">
      <w:pPr>
        <w:tabs>
          <w:tab w:val="left" w:pos="1155"/>
        </w:tabs>
        <w:adjustRightInd w:val="0"/>
        <w:snapToGrid w:val="0"/>
        <w:spacing w:line="48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4"/>
        </w:rPr>
      </w:pP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Finally, 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134 articles, which involved 1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40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 independent clinical trials and 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19</w:t>
      </w:r>
      <w:r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>,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210 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placebo subjects, were eligible for inclusion.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The screening flow chart and the reference list are shown in Figure 1 and</w:t>
      </w:r>
      <w:r w:rsidRPr="00866935">
        <w:t xml:space="preserve"> </w:t>
      </w:r>
      <w:r w:rsidRPr="00866935">
        <w:rPr>
          <w:rFonts w:ascii="Times New Roman" w:eastAsia="SimSun" w:hAnsi="Times New Roman" w:cs="Times New Roman"/>
          <w:iCs/>
          <w:sz w:val="24"/>
          <w:szCs w:val="24"/>
        </w:rPr>
        <w:t>Additional file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. The total number of ADAS-cog observations was 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455.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The median value (minimum–maximum) of baseline age, ADAS-cog score</w:t>
      </w:r>
      <w:r>
        <w:rPr>
          <w:rFonts w:ascii="Times New Roman" w:eastAsia="SimSun" w:hAnsi="Times New Roman" w:cs="Times New Roman"/>
          <w:iCs/>
          <w:sz w:val="24"/>
          <w:szCs w:val="24"/>
        </w:rPr>
        <w:t>, and MMSE score were 73.5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years 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>(58.0</w:t>
      </w:r>
      <w:r>
        <w:rPr>
          <w:rFonts w:ascii="Times New Roman" w:eastAsia="SimSun" w:hAnsi="Times New Roman" w:cs="Times New Roman"/>
          <w:iCs/>
          <w:sz w:val="24"/>
          <w:szCs w:val="24"/>
        </w:rPr>
        <w:t>–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81.7), 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24.5 points (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13.1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–39.3),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and 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19.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4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 (13.2–2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5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.4) points,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respectively. The number of studies using the add-on design was 27, </w:t>
      </w:r>
      <w:r w:rsidRPr="0038367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all of which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were published after 2008 (</w:t>
      </w:r>
      <w:bookmarkStart w:id="0" w:name="_Hlk34986346"/>
      <w:r w:rsidRPr="00866935">
        <w:rPr>
          <w:rFonts w:ascii="Times New Roman" w:eastAsia="SimSun" w:hAnsi="Times New Roman" w:cs="Times New Roman"/>
          <w:iCs/>
          <w:sz w:val="24"/>
          <w:szCs w:val="24"/>
        </w:rPr>
        <w:t>Additional file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>Figure 1</w:t>
      </w:r>
      <w:bookmarkEnd w:id="0"/>
      <w:r w:rsidRPr="00E532B6">
        <w:rPr>
          <w:rFonts w:ascii="Times New Roman" w:eastAsia="SimSun" w:hAnsi="Times New Roman" w:cs="Times New Roman"/>
          <w:iCs/>
          <w:sz w:val="24"/>
          <w:szCs w:val="24"/>
        </w:rPr>
        <w:t>)</w:t>
      </w:r>
      <w:r>
        <w:rPr>
          <w:rFonts w:ascii="Times New Roman" w:eastAsia="SimSun" w:hAnsi="Times New Roman" w:cs="Times New Roman"/>
          <w:iCs/>
          <w:sz w:val="24"/>
          <w:szCs w:val="24"/>
        </w:rPr>
        <w:t>. T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he baseline </w:t>
      </w:r>
      <w:bookmarkStart w:id="1" w:name="_Hlk27123229"/>
      <w:r w:rsidRPr="00E532B6">
        <w:rPr>
          <w:rFonts w:ascii="Times New Roman" w:eastAsia="SimSun" w:hAnsi="Times New Roman" w:cs="Times New Roman"/>
          <w:iCs/>
          <w:sz w:val="24"/>
          <w:szCs w:val="24"/>
        </w:rPr>
        <w:t>demographic</w:t>
      </w:r>
      <w:bookmarkEnd w:id="1"/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characteristics were similar </w:t>
      </w:r>
      <w:r>
        <w:rPr>
          <w:rFonts w:ascii="Times New Roman" w:eastAsia="SimSun" w:hAnsi="Times New Roman" w:cs="Times New Roman"/>
          <w:iCs/>
          <w:sz w:val="24"/>
          <w:szCs w:val="24"/>
        </w:rPr>
        <w:t>as in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those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studies 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not using the add-on design. Baseline ADAS-cog scores for trials published after 2008 were significantly lower than those published before 2008 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(-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2.56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, 95 % CI: -3.96, -1.15).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The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other baseline demographics were comparable between the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two groups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(Table 1)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>.</w:t>
      </w:r>
    </w:p>
    <w:p w14:paraId="292ECDA6" w14:textId="77777777" w:rsidR="00346B9E" w:rsidRPr="004A5361" w:rsidRDefault="00346B9E" w:rsidP="00346B9E">
      <w:pPr>
        <w:tabs>
          <w:tab w:val="left" w:pos="1155"/>
        </w:tabs>
        <w:adjustRightInd w:val="0"/>
        <w:snapToGrid w:val="0"/>
        <w:spacing w:line="48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4"/>
        </w:rPr>
      </w:pPr>
      <w:r>
        <w:rPr>
          <w:rFonts w:ascii="Times New Roman" w:eastAsia="SimSun" w:hAnsi="Times New Roman" w:cs="Times New Roman" w:hint="eastAsia"/>
          <w:iCs/>
          <w:sz w:val="24"/>
          <w:szCs w:val="24"/>
        </w:rPr>
        <w:t>The c</w:t>
      </w:r>
      <w:r w:rsidRPr="006B7410">
        <w:rPr>
          <w:rFonts w:ascii="Times New Roman" w:eastAsia="SimSun" w:hAnsi="Times New Roman" w:cs="Times New Roman"/>
          <w:iCs/>
          <w:sz w:val="24"/>
          <w:szCs w:val="24"/>
        </w:rPr>
        <w:t>ountries where</w:t>
      </w:r>
      <w:r w:rsidRPr="000F1F0F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trials were conducted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6B7410">
        <w:rPr>
          <w:rFonts w:ascii="Times New Roman" w:eastAsia="SimSun" w:hAnsi="Times New Roman" w:cs="Times New Roman"/>
          <w:iCs/>
          <w:sz w:val="24"/>
          <w:szCs w:val="24"/>
        </w:rPr>
        <w:t>were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6B7410">
        <w:rPr>
          <w:rFonts w:ascii="Times New Roman" w:eastAsia="SimSun" w:hAnsi="Times New Roman" w:cs="Times New Roman"/>
          <w:iCs/>
          <w:sz w:val="24"/>
          <w:szCs w:val="24"/>
        </w:rPr>
        <w:t>combined into regions based on ethnicity and geography</w:t>
      </w:r>
      <w:r>
        <w:rPr>
          <w:rFonts w:ascii="Times New Roman" w:eastAsia="SimSun" w:hAnsi="Times New Roman" w:cs="Times New Roman"/>
          <w:iCs/>
          <w:sz w:val="24"/>
          <w:szCs w:val="24"/>
        </w:rPr>
        <w:t>. Regions were as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6B7410">
        <w:rPr>
          <w:rFonts w:ascii="Times New Roman" w:eastAsia="SimSun" w:hAnsi="Times New Roman" w:cs="Times New Roman"/>
          <w:iCs/>
          <w:sz w:val="24"/>
          <w:szCs w:val="24"/>
        </w:rPr>
        <w:t>follows: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North America (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USA and Canada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),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Europe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/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Oceania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(UK,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France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Germany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Italy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Netherlands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Norway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Poland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Russia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Ukraine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Spain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Sweden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3E17D4">
        <w:rPr>
          <w:rFonts w:ascii="Times New Roman" w:eastAsia="SimSun" w:hAnsi="Times New Roman" w:cs="Times New Roman"/>
          <w:iCs/>
          <w:sz w:val="24"/>
          <w:szCs w:val="24"/>
        </w:rPr>
        <w:t>Australia</w:t>
      </w:r>
      <w:r>
        <w:rPr>
          <w:rFonts w:ascii="Times New Roman" w:eastAsia="SimSun" w:hAnsi="Times New Roman" w:cs="Times New Roman"/>
          <w:iCs/>
          <w:sz w:val="24"/>
          <w:szCs w:val="24"/>
        </w:rPr>
        <w:t>,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and </w:t>
      </w:r>
      <w:r w:rsidRPr="003E17D4">
        <w:rPr>
          <w:rFonts w:ascii="Times New Roman" w:eastAsia="SimSun" w:hAnsi="Times New Roman" w:cs="Times New Roman"/>
          <w:iCs/>
          <w:sz w:val="24"/>
          <w:szCs w:val="24"/>
        </w:rPr>
        <w:t>New Zealand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),</w:t>
      </w:r>
      <w:r w:rsidRPr="00232A0E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East Asia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(</w:t>
      </w:r>
      <w:r w:rsidRPr="00232A0E">
        <w:rPr>
          <w:rFonts w:ascii="Times New Roman" w:eastAsia="SimSun" w:hAnsi="Times New Roman" w:cs="Times New Roman"/>
          <w:iCs/>
          <w:sz w:val="24"/>
          <w:szCs w:val="24"/>
        </w:rPr>
        <w:t>China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232A0E">
        <w:rPr>
          <w:rFonts w:ascii="Times New Roman" w:eastAsia="SimSun" w:hAnsi="Times New Roman" w:cs="Times New Roman"/>
          <w:iCs/>
          <w:sz w:val="24"/>
          <w:szCs w:val="24"/>
        </w:rPr>
        <w:t>Japan</w:t>
      </w:r>
      <w:r>
        <w:rPr>
          <w:rFonts w:ascii="Times New Roman" w:eastAsia="SimSun" w:hAnsi="Times New Roman" w:cs="Times New Roman"/>
          <w:iCs/>
          <w:sz w:val="24"/>
          <w:szCs w:val="24"/>
        </w:rPr>
        <w:t>,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and </w:t>
      </w:r>
      <w:r w:rsidRPr="00232A0E">
        <w:rPr>
          <w:rFonts w:ascii="Times New Roman" w:eastAsia="SimSun" w:hAnsi="Times New Roman" w:cs="Times New Roman"/>
          <w:iCs/>
          <w:sz w:val="24"/>
          <w:szCs w:val="24"/>
        </w:rPr>
        <w:t>Korea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), </w:t>
      </w:r>
      <w:r w:rsidRPr="0080561B">
        <w:rPr>
          <w:rFonts w:ascii="Times New Roman" w:eastAsia="SimSun" w:hAnsi="Times New Roman" w:cs="Times New Roman"/>
          <w:iCs/>
          <w:sz w:val="24"/>
          <w:szCs w:val="24"/>
        </w:rPr>
        <w:t>Middl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e Asia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(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Iran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and</w:t>
      </w:r>
      <w:r w:rsidRPr="004A5361">
        <w:rPr>
          <w:rFonts w:ascii="Times New Roman" w:eastAsia="SimSun" w:hAnsi="Times New Roman" w:cs="Times New Roman"/>
          <w:sz w:val="24"/>
          <w:szCs w:val="24"/>
        </w:rPr>
        <w:t xml:space="preserve"> Turkey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), and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South America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(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Brazil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and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Mexico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). </w:t>
      </w:r>
      <w:r w:rsidRPr="003F20F3">
        <w:rPr>
          <w:rFonts w:ascii="Times New Roman" w:eastAsia="SimSun" w:hAnsi="Times New Roman" w:cs="Times New Roman"/>
          <w:iCs/>
          <w:sz w:val="24"/>
          <w:szCs w:val="24"/>
        </w:rPr>
        <w:t>If the subjects of a study came from two or more of the above-listed regions, the trial was classified as multinational.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The baseline information </w:t>
      </w:r>
      <w:r>
        <w:rPr>
          <w:rFonts w:ascii="Times New Roman" w:eastAsia="SimSun" w:hAnsi="Times New Roman" w:cs="Times New Roman"/>
          <w:iCs/>
          <w:sz w:val="24"/>
          <w:szCs w:val="24"/>
        </w:rPr>
        <w:t>from the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different geographic regions is summarized in Table 2. Most AD trials were conducted in </w:t>
      </w:r>
      <w:r>
        <w:rPr>
          <w:rFonts w:ascii="Times New Roman" w:eastAsia="SimSun" w:hAnsi="Times New Roman" w:cs="Times New Roman"/>
          <w:iCs/>
          <w:sz w:val="24"/>
          <w:szCs w:val="24"/>
        </w:rPr>
        <w:t>W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estern countries</w:t>
      </w:r>
      <w:r>
        <w:rPr>
          <w:rFonts w:ascii="Times New Roman" w:eastAsia="SimSun" w:hAnsi="Times New Roman" w:cs="Times New Roman"/>
          <w:iCs/>
          <w:sz w:val="24"/>
          <w:szCs w:val="24"/>
        </w:rPr>
        <w:t>,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and their demographic characteristics were comparable to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those of East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Asian trials</w:t>
      </w:r>
      <w:r>
        <w:rPr>
          <w:rFonts w:ascii="Times New Roman" w:eastAsia="SimSun" w:hAnsi="Times New Roman" w:cs="Times New Roman"/>
          <w:iCs/>
          <w:sz w:val="24"/>
          <w:szCs w:val="24"/>
        </w:rPr>
        <w:t>. The only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except</w:t>
      </w:r>
      <w:r>
        <w:rPr>
          <w:rFonts w:ascii="Times New Roman" w:eastAsia="SimSun" w:hAnsi="Times New Roman" w:cs="Times New Roman"/>
          <w:iCs/>
          <w:sz w:val="24"/>
          <w:szCs w:val="24"/>
        </w:rPr>
        <w:t>ion was that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more female patients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were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included in East Asian trials.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Middle Asian trials enrolled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a higher proportion of male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patients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with AD than other regions.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The baseline ADAS-cog score was highest in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South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American population</w:t>
      </w:r>
      <w:r>
        <w:rPr>
          <w:rFonts w:ascii="Times New Roman" w:eastAsia="SimSun" w:hAnsi="Times New Roman" w:cs="Times New Roman"/>
          <w:iCs/>
          <w:sz w:val="24"/>
          <w:szCs w:val="24"/>
        </w:rPr>
        <w:t>,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while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a similar distribution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was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lastRenderedPageBreak/>
        <w:t>found among other regions.</w:t>
      </w:r>
    </w:p>
    <w:p w14:paraId="0394286F" w14:textId="77777777" w:rsidR="00346B9E" w:rsidRDefault="00346B9E" w:rsidP="00346B9E">
      <w:pPr>
        <w:tabs>
          <w:tab w:val="left" w:pos="1155"/>
        </w:tabs>
        <w:adjustRightInd w:val="0"/>
        <w:snapToGrid w:val="0"/>
        <w:spacing w:line="48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4"/>
        </w:rPr>
      </w:pP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Detailed demographic information of the included studies is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listed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in </w:t>
      </w:r>
      <w:r w:rsidRPr="00866935">
        <w:rPr>
          <w:rFonts w:ascii="Times New Roman" w:eastAsia="SimSun" w:hAnsi="Times New Roman" w:cs="Times New Roman"/>
          <w:iCs/>
          <w:sz w:val="24"/>
          <w:szCs w:val="24"/>
        </w:rPr>
        <w:t>Additional file</w:t>
      </w:r>
      <w:r w:rsidRPr="00E532B6">
        <w:rPr>
          <w:rFonts w:ascii="Times New Roman" w:eastAsia="SimSun" w:hAnsi="Times New Roman" w:cs="Times New Roman"/>
          <w:iCs/>
          <w:sz w:val="24"/>
          <w:szCs w:val="24"/>
        </w:rPr>
        <w:t xml:space="preserve"> Table 1.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</w:p>
    <w:p w14:paraId="65DFD69B" w14:textId="77777777" w:rsidR="00346B9E" w:rsidRDefault="00346B9E" w:rsidP="00346B9E">
      <w:pPr>
        <w:tabs>
          <w:tab w:val="left" w:pos="1155"/>
        </w:tabs>
        <w:adjustRightInd w:val="0"/>
        <w:snapToGrid w:val="0"/>
        <w:spacing w:line="48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4"/>
        </w:rPr>
      </w:pPr>
    </w:p>
    <w:p w14:paraId="5738DF8F" w14:textId="77777777" w:rsidR="00346B9E" w:rsidRPr="00672C1D" w:rsidRDefault="00346B9E" w:rsidP="00346B9E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b/>
          <w:bCs/>
          <w:iCs/>
          <w:sz w:val="24"/>
          <w:szCs w:val="24"/>
        </w:rPr>
      </w:pPr>
      <w:r w:rsidRPr="00672C1D">
        <w:rPr>
          <w:rFonts w:ascii="Times New Roman" w:eastAsia="SimSun" w:hAnsi="Times New Roman" w:cs="Times New Roman" w:hint="eastAsia"/>
          <w:b/>
          <w:bCs/>
          <w:iCs/>
          <w:sz w:val="24"/>
          <w:szCs w:val="24"/>
        </w:rPr>
        <w:t>Disease progression model</w:t>
      </w:r>
    </w:p>
    <w:p w14:paraId="3BE55654" w14:textId="77777777" w:rsidR="00346B9E" w:rsidRPr="00672C1D" w:rsidRDefault="00346B9E" w:rsidP="00346B9E">
      <w:pPr>
        <w:tabs>
          <w:tab w:val="left" w:pos="1155"/>
        </w:tabs>
        <w:adjustRightInd w:val="0"/>
        <w:snapToGrid w:val="0"/>
        <w:spacing w:line="480" w:lineRule="auto"/>
        <w:ind w:firstLine="480"/>
        <w:rPr>
          <w:rFonts w:ascii="Times New Roman" w:eastAsia="SimSun" w:hAnsi="Times New Roman" w:cs="Times New Roman"/>
          <w:iCs/>
          <w:sz w:val="24"/>
          <w:szCs w:val="24"/>
        </w:rPr>
      </w:pPr>
      <w:r>
        <w:rPr>
          <w:rFonts w:ascii="Times New Roman" w:eastAsia="SimSun" w:hAnsi="Times New Roman" w:cs="Times New Roman"/>
          <w:iCs/>
          <w:sz w:val="24"/>
          <w:szCs w:val="24"/>
        </w:rPr>
        <w:t>M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ost of the </w:t>
      </w:r>
      <w:r>
        <w:rPr>
          <w:rFonts w:ascii="Times New Roman" w:eastAsia="SimSun" w:hAnsi="Times New Roman" w:cs="Times New Roman"/>
          <w:iCs/>
          <w:sz w:val="24"/>
          <w:szCs w:val="24"/>
        </w:rPr>
        <w:t>ADAS-cog data points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included in the analysis were </w:t>
      </w:r>
      <w:r>
        <w:rPr>
          <w:rFonts w:ascii="Times New Roman" w:eastAsia="SimSun" w:hAnsi="Times New Roman" w:cs="Times New Roman"/>
          <w:iCs/>
          <w:sz w:val="24"/>
          <w:szCs w:val="24"/>
        </w:rPr>
        <w:t>measur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ed </w:t>
      </w:r>
      <w:r>
        <w:rPr>
          <w:rFonts w:ascii="Times New Roman" w:eastAsia="SimSun" w:hAnsi="Times New Roman" w:cs="Times New Roman"/>
          <w:iCs/>
          <w:sz w:val="24"/>
          <w:szCs w:val="24"/>
        </w:rPr>
        <w:t>for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two years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, 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except</w:t>
      </w:r>
      <w:bookmarkStart w:id="2" w:name="_Hlk27469689"/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 for 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four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 observations derived from one stud</w:t>
      </w:r>
      <w:bookmarkEnd w:id="2"/>
      <w:r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>y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noProof/>
          <w:sz w:val="24"/>
          <w:szCs w:val="24"/>
        </w:rPr>
        <w:t>[30]</w:t>
      </w:r>
      <w:r>
        <w:rPr>
          <w:rFonts w:ascii="Times New Roman" w:eastAsia="SimSun" w:hAnsi="Times New Roman" w:cs="Times New Roman"/>
          <w:iCs/>
          <w:sz w:val="24"/>
          <w:szCs w:val="24"/>
        </w:rPr>
        <w:t>. Only placebo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data </w:t>
      </w:r>
      <w:r>
        <w:rPr>
          <w:rFonts w:ascii="Times New Roman" w:eastAsia="SimSun" w:hAnsi="Times New Roman" w:cs="Times New Roman"/>
          <w:iCs/>
          <w:sz w:val="24"/>
          <w:szCs w:val="24"/>
        </w:rPr>
        <w:t>acquired during a period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two years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were modeled because long-term observations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might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have biased the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estimation of disease progression rate.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The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results 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>of the structural model exploration show</w:t>
      </w:r>
      <w:r>
        <w:rPr>
          <w:rFonts w:ascii="Times New Roman" w:eastAsia="SimSun" w:hAnsi="Times New Roman" w:cs="Times New Roman"/>
          <w:iCs/>
          <w:sz w:val="24"/>
          <w:szCs w:val="24"/>
        </w:rPr>
        <w:t>ed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 that the disease progression model </w:t>
      </w:r>
      <w:r>
        <w:rPr>
          <w:rFonts w:ascii="Times New Roman" w:eastAsia="SimSun" w:hAnsi="Times New Roman" w:cs="Times New Roman"/>
          <w:iCs/>
          <w:sz w:val="24"/>
          <w:szCs w:val="24"/>
        </w:rPr>
        <w:t>combined with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the E</w:t>
      </w:r>
      <w:r w:rsidRPr="00672C1D">
        <w:rPr>
          <w:rFonts w:ascii="Times New Roman" w:eastAsia="SimSun" w:hAnsi="Times New Roman" w:cs="Times New Roman"/>
          <w:iCs/>
          <w:sz w:val="24"/>
          <w:szCs w:val="24"/>
          <w:vertAlign w:val="subscript"/>
        </w:rPr>
        <w:t>max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model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 to describe the placebo effect </w:t>
      </w:r>
      <w:r>
        <w:rPr>
          <w:rFonts w:ascii="Times New Roman" w:eastAsia="SimSun" w:hAnsi="Times New Roman" w:cs="Times New Roman"/>
          <w:iCs/>
          <w:sz w:val="24"/>
          <w:szCs w:val="24"/>
        </w:rPr>
        <w:t>was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 the most appropriate bas</w:t>
      </w:r>
      <w:r>
        <w:rPr>
          <w:rFonts w:ascii="Times New Roman" w:eastAsia="SimSun" w:hAnsi="Times New Roman" w:cs="Times New Roman"/>
          <w:iCs/>
          <w:sz w:val="24"/>
          <w:szCs w:val="24"/>
        </w:rPr>
        <w:t>ic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 model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because of its lowest AIC value and higher precision of parameter estimations compared with those using the 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exponential </w:t>
      </w:r>
      <w:r>
        <w:rPr>
          <w:rFonts w:ascii="Times New Roman" w:eastAsia="SimSun" w:hAnsi="Times New Roman" w:cs="Times New Roman"/>
          <w:iCs/>
          <w:sz w:val="24"/>
          <w:szCs w:val="24"/>
        </w:rPr>
        <w:t>or sigmoid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 E</w:t>
      </w:r>
      <w:r w:rsidRPr="00672C1D">
        <w:rPr>
          <w:rFonts w:ascii="Times New Roman" w:eastAsia="SimSun" w:hAnsi="Times New Roman" w:cs="Times New Roman"/>
          <w:iCs/>
          <w:sz w:val="24"/>
          <w:szCs w:val="24"/>
          <w:vertAlign w:val="subscript"/>
        </w:rPr>
        <w:t>max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model.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When </w:t>
      </w:r>
      <w:r>
        <w:rPr>
          <w:rFonts w:ascii="Times New Roman" w:eastAsia="SimSun" w:hAnsi="Times New Roman" w:cs="Times New Roman"/>
          <w:iCs/>
          <w:sz w:val="24"/>
          <w:szCs w:val="24"/>
        </w:rPr>
        <w:t>using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the inverse B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ateman </w:t>
      </w:r>
      <w:r w:rsidRPr="00FF218C">
        <w:rPr>
          <w:rFonts w:ascii="Times New Roman" w:eastAsia="SimSun" w:hAnsi="Times New Roman" w:cs="Times New Roman"/>
          <w:iCs/>
          <w:sz w:val="24"/>
          <w:szCs w:val="24"/>
        </w:rPr>
        <w:t>functio</w:t>
      </w:r>
      <w:r>
        <w:rPr>
          <w:rFonts w:ascii="Times New Roman" w:eastAsia="SimSun" w:hAnsi="Times New Roman" w:cs="Times New Roman"/>
          <w:iCs/>
          <w:sz w:val="24"/>
          <w:szCs w:val="24"/>
        </w:rPr>
        <w:t>n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r w:rsidRPr="00A454E2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the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7C18C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offset rate constant of the placebo effect was difficult to estimate</w:t>
      </w:r>
      <w:r w:rsidRPr="00A454E2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because t</w:t>
      </w:r>
      <w:r w:rsidRPr="007C18C1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he duration of some clinical trials included in this study less than 12 weeks</w:t>
      </w:r>
      <w:r w:rsidRPr="00A454E2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, and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the minimization process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for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parameter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estimation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fail</w:t>
      </w:r>
      <w:r>
        <w:rPr>
          <w:rFonts w:ascii="Times New Roman" w:eastAsia="SimSun" w:hAnsi="Times New Roman" w:cs="Times New Roman"/>
          <w:iCs/>
          <w:sz w:val="24"/>
          <w:szCs w:val="24"/>
        </w:rPr>
        <w:t>ed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to converge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successfully</w:t>
      </w:r>
      <w:r w:rsidRPr="00A454E2">
        <w:rPr>
          <w:rFonts w:ascii="Times New Roman" w:eastAsia="SimSun" w:hAnsi="Times New Roman" w:cs="Times New Roman" w:hint="eastAsia"/>
          <w:iCs/>
          <w:sz w:val="24"/>
          <w:szCs w:val="24"/>
        </w:rPr>
        <w:t>.</w:t>
      </w:r>
      <w:r w:rsidRPr="00A454E2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</w:p>
    <w:p w14:paraId="682DA523" w14:textId="77777777" w:rsidR="00346B9E" w:rsidRPr="00672C1D" w:rsidRDefault="00346B9E" w:rsidP="00346B9E">
      <w:pPr>
        <w:tabs>
          <w:tab w:val="left" w:pos="1155"/>
        </w:tabs>
        <w:adjustRightInd w:val="0"/>
        <w:snapToGrid w:val="0"/>
        <w:spacing w:line="480" w:lineRule="auto"/>
        <w:ind w:firstLine="480"/>
        <w:rPr>
          <w:rFonts w:ascii="Times New Roman" w:eastAsia="SimSun" w:hAnsi="Times New Roman" w:cs="Times New Roman"/>
          <w:iCs/>
          <w:sz w:val="24"/>
          <w:szCs w:val="24"/>
        </w:rPr>
      </w:pP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The parameter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estimates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of the final model </w:t>
      </w:r>
      <w:r>
        <w:rPr>
          <w:rFonts w:ascii="Times New Roman" w:eastAsia="SimSun" w:hAnsi="Times New Roman" w:cs="Times New Roman"/>
          <w:iCs/>
          <w:sz w:val="24"/>
          <w:szCs w:val="24"/>
        </w:rPr>
        <w:t>are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shown in </w:t>
      </w:r>
      <w:r>
        <w:rPr>
          <w:rFonts w:ascii="Times New Roman" w:eastAsia="SimSun" w:hAnsi="Times New Roman" w:cs="Times New Roman"/>
          <w:iCs/>
          <w:sz w:val="24"/>
          <w:szCs w:val="24"/>
        </w:rPr>
        <w:t>T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able </w:t>
      </w:r>
      <w:r>
        <w:rPr>
          <w:rFonts w:ascii="Times New Roman" w:eastAsia="SimSun" w:hAnsi="Times New Roman" w:cs="Times New Roman"/>
          <w:iCs/>
          <w:sz w:val="24"/>
          <w:szCs w:val="24"/>
        </w:rPr>
        <w:t>3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.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Covariate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screening 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analysis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demonstrated 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that both baseline </w:t>
      </w:r>
      <w:r>
        <w:rPr>
          <w:rFonts w:ascii="Times New Roman" w:eastAsia="SimSun" w:hAnsi="Times New Roman" w:cs="Times New Roman"/>
          <w:iCs/>
          <w:sz w:val="24"/>
          <w:szCs w:val="24"/>
        </w:rPr>
        <w:t>ADAS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>-cog score and age had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a 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significant </w:t>
      </w:r>
      <w:r>
        <w:rPr>
          <w:rFonts w:ascii="Times New Roman" w:eastAsia="SimSun" w:hAnsi="Times New Roman" w:cs="Times New Roman"/>
          <w:iCs/>
          <w:sz w:val="24"/>
          <w:szCs w:val="24"/>
        </w:rPr>
        <w:t>impact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 xml:space="preserve"> on the disease progression rate (P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>&lt;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/>
          <w:iCs/>
          <w:sz w:val="24"/>
          <w:szCs w:val="24"/>
        </w:rPr>
        <w:t>0.05).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The relationship between the individual estimate of the disease progression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rate from the basic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model and the baseline </w:t>
      </w:r>
      <w:r>
        <w:rPr>
          <w:rFonts w:ascii="Times New Roman" w:eastAsia="SimSun" w:hAnsi="Times New Roman" w:cs="Times New Roman"/>
          <w:iCs/>
          <w:sz w:val="24"/>
          <w:szCs w:val="24"/>
        </w:rPr>
        <w:t>ADAS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-cog score showed a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n obvious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nonlinear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correlation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as shown in </w:t>
      </w:r>
      <w:r>
        <w:rPr>
          <w:rFonts w:ascii="Times New Roman" w:eastAsia="SimSun" w:hAnsi="Times New Roman" w:cs="Times New Roman"/>
          <w:iCs/>
          <w:sz w:val="24"/>
          <w:szCs w:val="24"/>
        </w:rPr>
        <w:t>F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igure 2</w:t>
      </w:r>
      <w:r>
        <w:rPr>
          <w:rFonts w:ascii="Times New Roman" w:eastAsia="SimSun" w:hAnsi="Times New Roman" w:cs="Times New Roman"/>
          <w:iCs/>
          <w:sz w:val="24"/>
          <w:szCs w:val="24"/>
        </w:rPr>
        <w:t>A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.</w:t>
      </w:r>
      <w:r w:rsidRPr="00B47E07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bookmarkStart w:id="3" w:name="_Hlk27127285"/>
      <w:r>
        <w:rPr>
          <w:rFonts w:ascii="Times New Roman" w:eastAsia="SimSun" w:hAnsi="Times New Roman" w:cs="Times New Roman"/>
          <w:iCs/>
          <w:sz w:val="24"/>
          <w:szCs w:val="24"/>
        </w:rPr>
        <w:t>In this study, the i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nverse </w:t>
      </w:r>
      <w:r>
        <w:rPr>
          <w:rFonts w:ascii="Times New Roman" w:eastAsia="SimSun" w:hAnsi="Times New Roman" w:cs="Times New Roman"/>
          <w:iCs/>
          <w:sz w:val="24"/>
          <w:szCs w:val="24"/>
        </w:rPr>
        <w:t>U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-type </w:t>
      </w:r>
      <w:r>
        <w:rPr>
          <w:rFonts w:ascii="Times New Roman" w:eastAsia="SimSun" w:hAnsi="Times New Roman" w:cs="Times New Roman"/>
          <w:iCs/>
          <w:sz w:val="24"/>
          <w:szCs w:val="24"/>
        </w:rPr>
        <w:t>model</w:t>
      </w:r>
      <w:bookmarkEnd w:id="3"/>
      <w:r>
        <w:rPr>
          <w:rFonts w:ascii="Times New Roman" w:eastAsia="SimSun" w:hAnsi="Times New Roman" w:cs="Times New Roman"/>
          <w:iCs/>
          <w:sz w:val="24"/>
          <w:szCs w:val="24"/>
        </w:rPr>
        <w:t xml:space="preserve"> was superior to the power model for assessing the baseline ADAS-cog effect as the higher degree of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OFV reduction compared with the 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basic model</w:t>
      </w:r>
      <w:r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 (10.884 versus 8.595)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,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and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</w:t>
      </w:r>
      <w:r w:rsidRPr="00E35739">
        <w:rPr>
          <w:rFonts w:ascii="Times New Roman" w:eastAsia="SimSun" w:hAnsi="Times New Roman" w:cs="Times New Roman"/>
          <w:iCs/>
          <w:sz w:val="24"/>
          <w:szCs w:val="24"/>
        </w:rPr>
        <w:t>inverse U-type model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was more consistent with the nonlinear</w:t>
      </w:r>
      <w:r>
        <w:rPr>
          <w:rFonts w:ascii="Times New Roman" w:eastAsia="SimSun" w:hAnsi="Times New Roman" w:cs="Times New Roman"/>
          <w:iCs/>
          <w:sz w:val="24"/>
          <w:szCs w:val="24"/>
        </w:rPr>
        <w:t>ity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for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bound</w:t>
      </w:r>
      <w:r>
        <w:rPr>
          <w:rFonts w:ascii="Times New Roman" w:eastAsia="SimSun" w:hAnsi="Times New Roman" w:cs="Times New Roman"/>
          <w:iCs/>
          <w:sz w:val="24"/>
          <w:szCs w:val="24"/>
        </w:rPr>
        <w:t>ary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scale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data</w:t>
      </w:r>
      <w:r w:rsidRPr="000002CD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, which is characterized by the faster disease progression rate in the moderate AD population than in the mild and severe AD </w:t>
      </w:r>
      <w:r w:rsidRPr="000002CD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lastRenderedPageBreak/>
        <w:t>populations</w:t>
      </w:r>
      <w:r w:rsidRPr="000002CD"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>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In addition</w:t>
      </w:r>
      <w:r>
        <w:rPr>
          <w:rFonts w:ascii="Times New Roman" w:eastAsia="SimSun" w:hAnsi="Times New Roman" w:cs="Times New Roman"/>
          <w:iCs/>
          <w:sz w:val="24"/>
          <w:szCs w:val="24"/>
        </w:rPr>
        <w:t>, covariate analysis also found a negative correlation betw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een age and disease progression rate (Figure </w:t>
      </w:r>
      <w:r>
        <w:rPr>
          <w:rFonts w:ascii="Times New Roman" w:eastAsia="SimSun" w:hAnsi="Times New Roman" w:cs="Times New Roman"/>
          <w:iCs/>
          <w:sz w:val="24"/>
          <w:szCs w:val="24"/>
        </w:rPr>
        <w:t>2B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)</w:t>
      </w:r>
      <w:r>
        <w:rPr>
          <w:rFonts w:ascii="Times New Roman" w:eastAsia="SimSun" w:hAnsi="Times New Roman" w:cs="Times New Roman"/>
          <w:iCs/>
          <w:sz w:val="24"/>
          <w:szCs w:val="24"/>
        </w:rPr>
        <w:t>.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Y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ounger patients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with AD deteriorated faster in cognitive function than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elderly AD patients. 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>C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ompared with </w:t>
      </w:r>
      <w:r>
        <w:rPr>
          <w:rFonts w:ascii="Times New Roman" w:eastAsia="SimSun" w:hAnsi="Times New Roman" w:cs="Times New Roman"/>
          <w:iCs/>
          <w:sz w:val="24"/>
          <w:szCs w:val="24"/>
        </w:rPr>
        <w:t>the basic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model, the </w:t>
      </w:r>
      <w:r>
        <w:rPr>
          <w:rFonts w:ascii="Times New Roman" w:eastAsia="SimSun" w:hAnsi="Times New Roman" w:cs="Times New Roman"/>
          <w:iCs/>
          <w:sz w:val="24"/>
          <w:szCs w:val="24"/>
        </w:rPr>
        <w:t>inter-study variability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o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f disease progression rate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decreased </w:t>
      </w:r>
      <w:r w:rsidRPr="003D7AC6"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 xml:space="preserve">from 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18.5 </w:t>
      </w:r>
      <w:r w:rsidRPr="003D7AC6"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>% to 1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 xml:space="preserve">4.8 </w:t>
      </w:r>
      <w:r w:rsidRPr="003D7AC6"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>%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after the introduction of the effects of </w:t>
      </w:r>
      <w:r>
        <w:rPr>
          <w:rFonts w:ascii="Times New Roman" w:eastAsia="SimSun" w:hAnsi="Times New Roman" w:cs="Times New Roman"/>
          <w:iCs/>
          <w:sz w:val="24"/>
          <w:szCs w:val="24"/>
        </w:rPr>
        <w:t>ADAS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-cog and ag</w:t>
      </w:r>
      <w:r>
        <w:rPr>
          <w:rFonts w:ascii="Times New Roman" w:eastAsia="SimSun" w:hAnsi="Times New Roman" w:cs="Times New Roman"/>
          <w:iCs/>
          <w:sz w:val="24"/>
          <w:szCs w:val="24"/>
        </w:rPr>
        <w:t>e as covariates. T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he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final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mathematical expression of the </w:t>
      </w:r>
      <w:bookmarkStart w:id="4" w:name="_Hlk27129669"/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population estimat</w:t>
      </w:r>
      <w:r>
        <w:rPr>
          <w:rFonts w:ascii="Times New Roman" w:eastAsia="SimSun" w:hAnsi="Times New Roman" w:cs="Times New Roman"/>
          <w:iCs/>
          <w:sz w:val="24"/>
          <w:szCs w:val="24"/>
        </w:rPr>
        <w:t>e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of </w:t>
      </w:r>
      <w:r w:rsidRPr="007D4B93">
        <w:rPr>
          <w:rFonts w:ascii="Times New Roman" w:eastAsia="SimSun" w:hAnsi="Times New Roman" w:cs="Times New Roman"/>
          <w:iCs/>
          <w:sz w:val="24"/>
          <w:szCs w:val="24"/>
        </w:rPr>
        <w:t>α</w:t>
      </w:r>
      <w:bookmarkEnd w:id="4"/>
      <w:r>
        <w:rPr>
          <w:rFonts w:ascii="Times New Roman" w:eastAsia="SimSun" w:hAnsi="Times New Roman" w:cs="Times New Roman"/>
          <w:iCs/>
          <w:sz w:val="24"/>
          <w:szCs w:val="24"/>
        </w:rPr>
        <w:t xml:space="preserve"> is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shown in </w:t>
      </w:r>
      <w:r w:rsidRPr="00E508B4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Equation</w:t>
      </w:r>
      <w:r w:rsidRPr="00E508B4"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 xml:space="preserve"> </w:t>
      </w:r>
      <w:r w:rsidRPr="00E508B4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7</w:t>
      </w:r>
      <w:r w:rsidRPr="00E508B4"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>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For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AD population with an average age of 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73.5 years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and ADAS</w:t>
      </w:r>
      <w:r>
        <w:rPr>
          <w:rFonts w:ascii="Times New Roman" w:eastAsia="SimSun" w:hAnsi="Times New Roman" w:cs="Times New Roman" w:hint="eastAsia"/>
          <w:iCs/>
          <w:sz w:val="24"/>
          <w:szCs w:val="24"/>
        </w:rPr>
        <w:t>-cog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baseline score </w:t>
      </w:r>
      <w:r w:rsidRPr="003D7AC6"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>of 24.</w:t>
      </w:r>
      <w:r w:rsidRPr="003D7AC6">
        <w:rPr>
          <w:rFonts w:ascii="Times New Roman" w:eastAsia="SimSun" w:hAnsi="Times New Roman" w:cs="Times New Roman"/>
          <w:iCs/>
          <w:sz w:val="24"/>
          <w:szCs w:val="24"/>
          <w:highlight w:val="yellow"/>
        </w:rPr>
        <w:t>5</w:t>
      </w:r>
      <w:r w:rsidRPr="003D7AC6">
        <w:rPr>
          <w:rFonts w:ascii="Times New Roman" w:eastAsia="SimSun" w:hAnsi="Times New Roman" w:cs="Times New Roman" w:hint="eastAsia"/>
          <w:iCs/>
          <w:sz w:val="24"/>
          <w:szCs w:val="24"/>
          <w:highlight w:val="yellow"/>
        </w:rPr>
        <w:t xml:space="preserve"> points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, </w:t>
      </w:r>
      <w:bookmarkStart w:id="5" w:name="_Hlk28678706"/>
      <w:r>
        <w:rPr>
          <w:rFonts w:ascii="Times New Roman" w:eastAsia="SimSun" w:hAnsi="Times New Roman" w:cs="Times New Roman"/>
          <w:iCs/>
          <w:sz w:val="24"/>
          <w:szCs w:val="24"/>
        </w:rPr>
        <w:t>the typical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value of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change rate </w:t>
      </w:r>
      <w:r>
        <w:rPr>
          <w:rFonts w:ascii="Times New Roman" w:eastAsia="SimSun" w:hAnsi="Times New Roman" w:cs="Times New Roman"/>
          <w:iCs/>
          <w:sz w:val="24"/>
          <w:szCs w:val="24"/>
        </w:rPr>
        <w:t>in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ADAS-cog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scale was estimated to be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0.112 points</w:t>
      </w:r>
      <w:r>
        <w:rPr>
          <w:rFonts w:ascii="Times New Roman" w:eastAsia="SimSun" w:hAnsi="Times New Roman" w:cs="Times New Roman"/>
          <w:iCs/>
          <w:sz w:val="24"/>
          <w:szCs w:val="24"/>
        </w:rPr>
        <w:t>/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week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(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5.82 points</w:t>
      </w:r>
      <w:r>
        <w:rPr>
          <w:rFonts w:ascii="Times New Roman" w:eastAsia="SimSun" w:hAnsi="Times New Roman" w:cs="Times New Roman"/>
          <w:iCs/>
          <w:sz w:val="24"/>
          <w:szCs w:val="24"/>
        </w:rPr>
        <w:t>/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year</w:t>
      </w:r>
      <w:r>
        <w:rPr>
          <w:rFonts w:ascii="Times New Roman" w:eastAsia="SimSun" w:hAnsi="Times New Roman" w:cs="Times New Roman"/>
          <w:iCs/>
          <w:sz w:val="24"/>
          <w:szCs w:val="24"/>
        </w:rPr>
        <w:t>)</w:t>
      </w:r>
      <w:bookmarkEnd w:id="5"/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Theoretic</w:t>
      </w:r>
      <w:r>
        <w:rPr>
          <w:rFonts w:ascii="Times New Roman" w:eastAsia="SimSun" w:hAnsi="Times New Roman" w:cs="Times New Roman"/>
          <w:iCs/>
          <w:sz w:val="24"/>
          <w:szCs w:val="24"/>
        </w:rPr>
        <w:t>a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lly,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disease progression rate was the fastest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when </w:t>
      </w:r>
      <w:r>
        <w:rPr>
          <w:rFonts w:ascii="Times New Roman" w:eastAsia="SimSun" w:hAnsi="Times New Roman" w:cs="Times New Roman"/>
          <w:iCs/>
          <w:sz w:val="24"/>
          <w:szCs w:val="24"/>
        </w:rPr>
        <w:t>the ADAS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-cog score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reached the inflection point of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35.5.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The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curved surface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among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the ADAS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-cog baseline score, age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, and </w:t>
      </w:r>
      <w:r w:rsidRPr="007D4B93">
        <w:rPr>
          <w:rFonts w:ascii="Times New Roman" w:eastAsia="SimSun" w:hAnsi="Times New Roman" w:cs="Times New Roman"/>
          <w:iCs/>
          <w:sz w:val="24"/>
          <w:szCs w:val="24"/>
        </w:rPr>
        <w:t>population estimate of α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are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shown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in </w:t>
      </w:r>
      <w:r>
        <w:rPr>
          <w:rFonts w:ascii="Times New Roman" w:eastAsia="SimSun" w:hAnsi="Times New Roman" w:cs="Times New Roman"/>
          <w:iCs/>
          <w:sz w:val="24"/>
          <w:szCs w:val="24"/>
        </w:rPr>
        <w:t>F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igure 2</w:t>
      </w:r>
      <w:r>
        <w:rPr>
          <w:rFonts w:ascii="Times New Roman" w:eastAsia="SimSun" w:hAnsi="Times New Roman" w:cs="Times New Roman"/>
          <w:iCs/>
          <w:sz w:val="24"/>
          <w:szCs w:val="24"/>
        </w:rPr>
        <w:t>C</w:t>
      </w:r>
      <w:r w:rsidRPr="00672C1D">
        <w:rPr>
          <w:rFonts w:ascii="Times New Roman" w:eastAsia="SimSun" w:hAnsi="Times New Roman" w:cs="Times New Roman" w:hint="eastAsia"/>
          <w:iCs/>
          <w:sz w:val="24"/>
          <w:szCs w:val="24"/>
        </w:rPr>
        <w:t>.</w:t>
      </w:r>
    </w:p>
    <w:p w14:paraId="3A251AA3" w14:textId="77777777" w:rsidR="00346B9E" w:rsidRDefault="00346B9E" w:rsidP="00346B9E">
      <w:pPr>
        <w:tabs>
          <w:tab w:val="left" w:pos="1155"/>
        </w:tabs>
        <w:adjustRightInd w:val="0"/>
        <w:snapToGrid w:val="0"/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</w:p>
    <w:p w14:paraId="3C7BC0C6" w14:textId="77777777" w:rsidR="00346B9E" w:rsidRPr="00E20596" w:rsidRDefault="00346B9E" w:rsidP="00346B9E">
      <w:pPr>
        <w:tabs>
          <w:tab w:val="left" w:pos="1155"/>
        </w:tabs>
        <w:adjustRightInd w:val="0"/>
        <w:snapToGrid w:val="0"/>
        <w:spacing w:line="480" w:lineRule="auto"/>
        <w:ind w:firstLine="480"/>
        <w:rPr>
          <w:rFonts w:ascii="Times New Roman" w:eastAsia="SimSun" w:hAnsi="Times New Roman" w:cs="Times New Roman"/>
          <w:iCs/>
          <w:sz w:val="24"/>
          <w:szCs w:val="24"/>
        </w:rPr>
      </w:pPr>
      <m:oMath>
        <m:r>
          <m:rPr>
            <m:sty m:val="p"/>
          </m:rPr>
          <w:rPr>
            <w:rFonts w:ascii="Cambria Math" w:eastAsia="SimSun" w:hAnsi="Cambria Math" w:cs="Times New Roman"/>
            <w:color w:val="000000"/>
            <w:kern w:val="0"/>
            <w:sz w:val="24"/>
            <w:szCs w:val="24"/>
            <w:highlight w:val="yellow"/>
          </w:rPr>
          <m:t>α</m:t>
        </m:r>
        <m:r>
          <m:rPr>
            <m:sty m:val="p"/>
          </m:rPr>
          <w:rPr>
            <w:rFonts w:ascii="Cambria Math" w:eastAsia="MTMI" w:hAnsi="Cambria Math" w:cs="Times New Roman"/>
            <w:color w:val="000000"/>
            <w:kern w:val="0"/>
            <w:sz w:val="24"/>
            <w:szCs w:val="24"/>
            <w:highlight w:val="yellow"/>
          </w:rPr>
          <m:t xml:space="preserve"> </m:t>
        </m:r>
        <m:r>
          <m:rPr>
            <m:sty m:val="p"/>
          </m:rPr>
          <w:rPr>
            <w:rFonts w:ascii="Cambria Math" w:eastAsia="MTSY" w:hAnsi="Cambria Math" w:cs="Times New Roman"/>
            <w:color w:val="000000"/>
            <w:kern w:val="0"/>
            <w:sz w:val="24"/>
            <w:szCs w:val="24"/>
            <w:highlight w:val="yellow"/>
          </w:rPr>
          <m:t>=</m:t>
        </m:r>
        <m:r>
          <w:rPr>
            <w:rFonts w:ascii="Cambria Math" w:eastAsia="MTSY" w:hAnsi="Cambria Math" w:cs="Times New Roman"/>
            <w:color w:val="000000"/>
            <w:kern w:val="0"/>
            <w:sz w:val="24"/>
            <w:szCs w:val="24"/>
            <w:highlight w:val="yellow"/>
          </w:rPr>
          <m:t>0.112</m:t>
        </m:r>
        <m:r>
          <m:rPr>
            <m:sty m:val="p"/>
          </m:rPr>
          <w:rPr>
            <w:rFonts w:ascii="Cambria Math" w:eastAsia="SimSun" w:hAnsi="Cambria Math" w:cs="Times New Roman"/>
            <w:color w:val="000000"/>
            <w:kern w:val="0"/>
            <w:sz w:val="24"/>
            <w:szCs w:val="24"/>
            <w:highlight w:val="yellow"/>
          </w:rPr>
          <m:t>×</m:t>
        </m:r>
        <m:sSup>
          <m:sSupPr>
            <m:ctrlP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  <w:highlight w:val="yellow"/>
              </w:rPr>
            </m:ctrlPr>
          </m:sSupPr>
          <m:e>
            <m:d>
              <m:dPr>
                <m:ctrlPr>
                  <w:rPr>
                    <w:rFonts w:ascii="Cambria Math" w:eastAsia="SimSun" w:hAnsi="Cambria Math" w:cs="Times New Roman"/>
                    <w:i/>
                    <w:color w:val="000000"/>
                    <w:kern w:val="0"/>
                    <w:sz w:val="24"/>
                    <w:szCs w:val="24"/>
                    <w:highlight w:val="yellow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SimSun" w:hAnsi="Cambria Math" w:cs="Times New Roman"/>
                        <w:iCs/>
                        <w:color w:val="000000"/>
                        <w:kern w:val="0"/>
                        <w:sz w:val="24"/>
                        <w:szCs w:val="24"/>
                        <w:highlight w:val="yellow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 w:hint="eastAsia"/>
                        <w:color w:val="000000"/>
                        <w:kern w:val="0"/>
                        <w:sz w:val="24"/>
                        <w:szCs w:val="24"/>
                        <w:highlight w:val="yellow"/>
                      </w:rPr>
                      <m:t>age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  <w:highlight w:val="yellow"/>
                      </w:rPr>
                      <m:t>73.5</m:t>
                    </m:r>
                  </m:den>
                </m:f>
              </m:e>
            </m:d>
          </m:e>
          <m:sup>
            <m:r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4"/>
                <w:szCs w:val="24"/>
                <w:highlight w:val="yellow"/>
              </w:rPr>
              <m:t>-</m:t>
            </m:r>
            <m: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  <w:highlight w:val="yellow"/>
              </w:rPr>
              <m:t>2.17</m:t>
            </m:r>
          </m:sup>
        </m:sSup>
        <m:r>
          <m:rPr>
            <m:sty m:val="p"/>
          </m:rPr>
          <w:rPr>
            <w:rFonts w:ascii="Cambria Math" w:eastAsia="SimSun" w:hAnsi="Cambria Math" w:cs="Times New Roman"/>
            <w:color w:val="000000"/>
            <w:kern w:val="0"/>
            <w:sz w:val="24"/>
            <w:szCs w:val="24"/>
            <w:highlight w:val="yellow"/>
          </w:rPr>
          <m:t>×</m:t>
        </m:r>
        <m:sSup>
          <m:sSupPr>
            <m:ctrlP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  <w:highlight w:val="yellow"/>
              </w:rPr>
            </m:ctrlPr>
          </m:sSupPr>
          <m:e>
            <m:d>
              <m:dPr>
                <m:ctrlP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  <w:highlight w:val="yellow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  <w:highlight w:val="yellow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  <w:highlight w:val="yellow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  <w:highlight w:val="yellow"/>
                          </w:rPr>
                          <m:t>ADAS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  <w:highlight w:val="yellow"/>
                          </w:rPr>
                          <m:t>baseline</m:t>
                        </m:r>
                      </m:sub>
                    </m:sSub>
                  </m:num>
                  <m:den>
                    <m: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  <w:highlight w:val="yellow"/>
                      </w:rPr>
                      <m:t>24.5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/>
                    <w:kern w:val="0"/>
                    <w:sz w:val="24"/>
                    <w:szCs w:val="24"/>
                    <w:highlight w:val="yellow"/>
                  </w:rPr>
                  <m:t>×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  <w:highlight w:val="yellow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  <w:highlight w:val="yellow"/>
                      </w:rPr>
                      <m:t>70</m:t>
                    </m:r>
                    <m:r>
                      <m:rPr>
                        <m:sty m:val="p"/>
                      </m:rPr>
                      <w:rPr>
                        <w:rFonts w:ascii="Cambria Math" w:eastAsia="Microsoft YaHei" w:hAnsi="Cambria Math" w:cs="Times New Roman"/>
                        <w:color w:val="000000"/>
                        <w:kern w:val="0"/>
                        <w:sz w:val="24"/>
                        <w:szCs w:val="24"/>
                        <w:highlight w:val="yellow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  <w:highlight w:val="yellow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  <w:highlight w:val="yellow"/>
                          </w:rPr>
                          <m:t>ADAS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 w:cs="Times New Roman"/>
                            <w:color w:val="000000"/>
                            <w:kern w:val="0"/>
                            <w:sz w:val="24"/>
                            <w:szCs w:val="24"/>
                            <w:highlight w:val="yellow"/>
                          </w:rPr>
                          <m:t>baseline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SimSun" w:hAnsi="Cambria Math" w:cs="Times New Roman"/>
                        <w:color w:val="000000"/>
                        <w:kern w:val="0"/>
                        <w:sz w:val="24"/>
                        <w:szCs w:val="24"/>
                        <w:highlight w:val="yellow"/>
                      </w:rPr>
                      <m:t>45.5</m:t>
                    </m:r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eastAsia="SimSun" w:hAnsi="Cambria Math" w:cs="Times New Roman"/>
                <w:color w:val="000000"/>
                <w:kern w:val="0"/>
                <w:sz w:val="24"/>
                <w:szCs w:val="24"/>
                <w:highlight w:val="yellow"/>
              </w:rPr>
              <m:t>1.53</m:t>
            </m:r>
          </m:sup>
        </m:sSup>
      </m:oMath>
      <w:r w:rsidRPr="006F5FAD">
        <w:rPr>
          <w:rFonts w:ascii="Times New Roman" w:eastAsia="SimSun" w:hAnsi="Times New Roman" w:cs="Times New Roman"/>
          <w:color w:val="000000"/>
          <w:kern w:val="0"/>
          <w:sz w:val="24"/>
          <w:szCs w:val="24"/>
          <w:highlight w:val="yellow"/>
        </w:rPr>
        <w:t>(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:highlight w:val="yellow"/>
        </w:rPr>
        <w:t>7</w:t>
      </w:r>
      <w:r w:rsidRPr="006F5FAD">
        <w:rPr>
          <w:rFonts w:ascii="Times New Roman" w:eastAsia="SimSun" w:hAnsi="Times New Roman" w:cs="Times New Roman"/>
          <w:color w:val="000000"/>
          <w:kern w:val="0"/>
          <w:sz w:val="24"/>
          <w:szCs w:val="24"/>
          <w:highlight w:val="yellow"/>
        </w:rPr>
        <w:t>)</w:t>
      </w:r>
    </w:p>
    <w:p w14:paraId="729F326F" w14:textId="77777777" w:rsidR="00346B9E" w:rsidRPr="0063534A" w:rsidRDefault="00346B9E" w:rsidP="00346B9E">
      <w:pPr>
        <w:spacing w:line="480" w:lineRule="auto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</w:p>
    <w:p w14:paraId="605EC99A" w14:textId="77777777" w:rsidR="00346B9E" w:rsidRDefault="00346B9E" w:rsidP="00346B9E">
      <w:pPr>
        <w:spacing w:line="480" w:lineRule="auto"/>
        <w:ind w:firstLineChars="200" w:firstLine="480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In the final model, the population estimate 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of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bookmarkStart w:id="6" w:name="_Hlk27378299"/>
      <w:r w:rsidRPr="00C8243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β</w:t>
      </w:r>
      <w:bookmarkEnd w:id="6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was </w:t>
      </w:r>
      <w:r w:rsidRPr="006F5FA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-1.87 points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. The inter-study variability of </w:t>
      </w:r>
      <w:bookmarkStart w:id="7" w:name="_Hlk27378390"/>
      <w:r w:rsidRPr="00C8243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β</w:t>
      </w:r>
      <w:bookmarkEnd w:id="7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was estimated to be </w:t>
      </w:r>
      <w:r w:rsidRPr="006F5FA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72.5 %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, indicating that the placebo effect varied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largely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across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trials.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T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h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e sign of the individual estimate </w:t>
      </w:r>
      <w:r w:rsidRPr="00C8243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β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was positive in only seven studies, which suggested that cognitive function deteriorated more in these studies and it was unclear whether this could be attributed to the nocebo effect.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The estimated population value of ET</w:t>
      </w:r>
      <w:r w:rsidRPr="00C8243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vertAlign w:val="subscript"/>
        </w:rPr>
        <w:t>50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was </w:t>
      </w:r>
      <w:r w:rsidRPr="006F5FAD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  <w:highlight w:val="yellow"/>
        </w:rPr>
        <w:t>7.</w:t>
      </w:r>
      <w:r w:rsidRPr="006F5FA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9</w:t>
      </w:r>
      <w:r w:rsidRPr="006F5FAD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  <w:highlight w:val="yellow"/>
        </w:rPr>
        <w:t>9 weeks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and its inter-study variability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was fixed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at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0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because of the very large shrinkage value</w:t>
      </w:r>
      <w:r w:rsidRPr="00C82433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.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Thus, it was anticipated that the plateau of the placebo effect might be reached at approximately </w:t>
      </w:r>
      <w:r w:rsidRPr="006F5FA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16 weeks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in clinical trials.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C8243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In addition, a significant negative correlation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was found </w:t>
      </w:r>
      <w:r w:rsidRPr="00C8243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between the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inter-study variability of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bookmarkStart w:id="8" w:name="_Hlk27380228"/>
      <w:r w:rsidRPr="00AA6A87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α </w:t>
      </w:r>
      <w:bookmarkEnd w:id="8"/>
      <w:r w:rsidRPr="00AA6A87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and β</w:t>
      </w:r>
      <w:r w:rsidRPr="006F5FA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, and the corresponding Pearson correlation coefficient was -0.717.</w:t>
      </w:r>
    </w:p>
    <w:p w14:paraId="2F690DC3" w14:textId="77777777" w:rsidR="00346B9E" w:rsidRPr="003421B7" w:rsidRDefault="00346B9E" w:rsidP="00346B9E">
      <w:pPr>
        <w:tabs>
          <w:tab w:val="left" w:pos="1155"/>
        </w:tabs>
        <w:adjustRightInd w:val="0"/>
        <w:snapToGrid w:val="0"/>
        <w:spacing w:line="480" w:lineRule="auto"/>
        <w:ind w:firstLine="480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It was not found that add-on design and </w:t>
      </w:r>
      <w:r w:rsidRPr="005D66E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the proportion of subjects receiving background </w:t>
      </w:r>
      <w:r w:rsidRPr="005D66E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lastRenderedPageBreak/>
        <w:t>treat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ment during the trial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and publication year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had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a significant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impact on the disease progression rate.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bookmarkStart w:id="9" w:name="_Hlk28678195"/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In addition, we d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id not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find any 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factors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that ha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d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a significant effect on the theoretical maximum placebo effect.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Sinc</w:t>
      </w:r>
      <w:r w:rsidRPr="00D5588E">
        <w:rPr>
          <w:rFonts w:ascii="Times New Roman" w:eastAsia="SimSun" w:hAnsi="Times New Roman" w:cs="Times New Roman"/>
          <w:iCs/>
          <w:sz w:val="24"/>
          <w:szCs w:val="24"/>
        </w:rPr>
        <w:t xml:space="preserve">e information regarding duration of education, NPI score, AD duration, proportion of APOE </w:t>
      </w:r>
      <w:r w:rsidRPr="00D5588E">
        <w:rPr>
          <w:rFonts w:ascii="Times New Roman" w:eastAsia="SimSun" w:hAnsi="Times New Roman" w:cs="Times New Roman"/>
          <w:sz w:val="24"/>
          <w:szCs w:val="24"/>
        </w:rPr>
        <w:t xml:space="preserve">ε4 </w:t>
      </w:r>
      <w:r w:rsidRPr="00D5588E">
        <w:rPr>
          <w:rFonts w:ascii="Times New Roman" w:eastAsia="SimSun" w:hAnsi="Times New Roman" w:cs="Times New Roman"/>
          <w:iCs/>
          <w:sz w:val="24"/>
          <w:szCs w:val="24"/>
        </w:rPr>
        <w:t xml:space="preserve">carriers, and proportion of </w:t>
      </w:r>
      <w:r w:rsidRPr="00FA3AB4">
        <w:rPr>
          <w:rFonts w:ascii="Times New Roman" w:eastAsia="SimSun" w:hAnsi="Times New Roman" w:cs="Times New Roman"/>
          <w:iCs/>
          <w:sz w:val="24"/>
          <w:szCs w:val="24"/>
        </w:rPr>
        <w:t>white</w:t>
      </w:r>
      <w:r>
        <w:rPr>
          <w:rFonts w:ascii="Times New Roman" w:eastAsia="SimSun" w:hAnsi="Times New Roman" w:cs="Times New Roman"/>
          <w:iCs/>
          <w:sz w:val="24"/>
          <w:szCs w:val="24"/>
        </w:rPr>
        <w:t>s</w:t>
      </w:r>
      <w:r w:rsidRPr="00D5588E">
        <w:rPr>
          <w:rFonts w:ascii="Times New Roman" w:eastAsia="SimSun" w:hAnsi="Times New Roman" w:cs="Times New Roman"/>
          <w:iCs/>
          <w:sz w:val="24"/>
          <w:szCs w:val="24"/>
        </w:rPr>
        <w:t xml:space="preserve"> were not reported in more than 30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5588E">
        <w:rPr>
          <w:rFonts w:ascii="Times New Roman" w:eastAsia="SimSun" w:hAnsi="Times New Roman" w:cs="Times New Roman"/>
          <w:iCs/>
          <w:sz w:val="24"/>
          <w:szCs w:val="24"/>
        </w:rPr>
        <w:t xml:space="preserve">% </w:t>
      </w:r>
      <w:r>
        <w:rPr>
          <w:rFonts w:ascii="Times New Roman" w:eastAsia="SimSun" w:hAnsi="Times New Roman" w:cs="Times New Roman"/>
          <w:iCs/>
          <w:sz w:val="24"/>
          <w:szCs w:val="24"/>
        </w:rPr>
        <w:t>of the studies, these variables were not included in the covariate screening step.</w:t>
      </w:r>
    </w:p>
    <w:bookmarkEnd w:id="9"/>
    <w:p w14:paraId="6C41AC22" w14:textId="77777777" w:rsidR="00346B9E" w:rsidRPr="00E532B6" w:rsidRDefault="00346B9E" w:rsidP="00346B9E">
      <w:pPr>
        <w:spacing w:line="480" w:lineRule="auto"/>
        <w:jc w:val="left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</w:p>
    <w:p w14:paraId="2E757A55" w14:textId="77777777" w:rsidR="00346B9E" w:rsidRPr="00121CDE" w:rsidRDefault="00346B9E" w:rsidP="00346B9E">
      <w:pPr>
        <w:spacing w:line="480" w:lineRule="auto"/>
        <w:jc w:val="left"/>
        <w:rPr>
          <w:rFonts w:ascii="Times New Roman" w:eastAsia="SimSun" w:hAnsi="Times New Roman" w:cs="Times New Roman"/>
          <w:b/>
          <w:bCs/>
          <w:iCs/>
          <w:color w:val="000000"/>
          <w:kern w:val="0"/>
          <w:sz w:val="24"/>
          <w:szCs w:val="24"/>
        </w:rPr>
      </w:pPr>
      <w:r w:rsidRPr="00E532B6">
        <w:rPr>
          <w:rFonts w:ascii="Times New Roman" w:eastAsia="SimSun" w:hAnsi="Times New Roman" w:cs="Times New Roman" w:hint="eastAsia"/>
          <w:b/>
          <w:bCs/>
          <w:iCs/>
          <w:color w:val="000000"/>
          <w:kern w:val="0"/>
          <w:sz w:val="24"/>
          <w:szCs w:val="24"/>
        </w:rPr>
        <w:t>S</w:t>
      </w:r>
      <w:r w:rsidRPr="00E532B6">
        <w:rPr>
          <w:rFonts w:ascii="Times New Roman" w:eastAsia="SimSun" w:hAnsi="Times New Roman" w:cs="Times New Roman"/>
          <w:b/>
          <w:bCs/>
          <w:iCs/>
          <w:color w:val="000000"/>
          <w:kern w:val="0"/>
          <w:sz w:val="24"/>
          <w:szCs w:val="24"/>
        </w:rPr>
        <w:t>ubgroup analys</w:t>
      </w:r>
      <w:r>
        <w:rPr>
          <w:rFonts w:ascii="Times New Roman" w:eastAsia="SimSun" w:hAnsi="Times New Roman" w:cs="Times New Roman"/>
          <w:b/>
          <w:bCs/>
          <w:iCs/>
          <w:color w:val="000000"/>
          <w:kern w:val="0"/>
          <w:sz w:val="24"/>
          <w:szCs w:val="24"/>
        </w:rPr>
        <w:t>e</w:t>
      </w:r>
      <w:r w:rsidRPr="00E532B6">
        <w:rPr>
          <w:rFonts w:ascii="Times New Roman" w:eastAsia="SimSun" w:hAnsi="Times New Roman" w:cs="Times New Roman"/>
          <w:b/>
          <w:bCs/>
          <w:iCs/>
          <w:color w:val="000000"/>
          <w:kern w:val="0"/>
          <w:sz w:val="24"/>
          <w:szCs w:val="24"/>
        </w:rPr>
        <w:t>s</w:t>
      </w:r>
    </w:p>
    <w:p w14:paraId="6BE2CA98" w14:textId="77777777" w:rsidR="00346B9E" w:rsidRPr="00754CF6" w:rsidRDefault="00346B9E" w:rsidP="00346B9E">
      <w:pPr>
        <w:spacing w:line="480" w:lineRule="auto"/>
        <w:ind w:firstLineChars="200" w:firstLine="480"/>
        <w:rPr>
          <w:rFonts w:ascii="Times New Roman" w:eastAsia="SimSun" w:hAnsi="Times New Roman" w:cs="Times New Roman"/>
          <w:iCs/>
          <w:sz w:val="24"/>
          <w:szCs w:val="24"/>
        </w:rPr>
      </w:pP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The 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>observed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>mean change from baseline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>in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 xml:space="preserve">the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ADAS-cog score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 xml:space="preserve"> under different stratifying factors is shown in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/>
          <w:iCs/>
          <w:sz w:val="24"/>
          <w:szCs w:val="24"/>
        </w:rPr>
        <w:t>Figure 3.</w:t>
      </w:r>
      <w:r w:rsidRPr="004A5361">
        <w:rPr>
          <w:rFonts w:ascii="Times New Roman" w:eastAsia="SimSun" w:hAnsi="Times New Roman" w:cs="Times New Roman" w:hint="eastAsia"/>
          <w:iCs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The results of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the subgroup analysis of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disease progression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rate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α and maximum placebo effect β 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are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shown in Table 4.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It was revealed that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t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he disease progression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rate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published before 2008 was significantly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6F5FAD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higher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than that published after 2008.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However,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after correcting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for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baseline ADAS-cog score and age effect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, this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significant difference disappeared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(Table 4).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proofErr w:type="gramStart"/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This is why</w:t>
      </w:r>
      <w:proofErr w:type="gramEnd"/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the publication year c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ould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not be introduced into the model as a covaria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te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.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Because the 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age of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subjects was comparable 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between the trials publishe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d before or after 2008, we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hypothesized</w:t>
      </w:r>
      <w:r w:rsidRPr="00EA1B40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that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E532B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the </w:t>
      </w:r>
      <w:r w:rsidRPr="00E532B6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decline</w:t>
      </w:r>
      <w:r w:rsidRPr="00E532B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rate </w:t>
      </w:r>
      <w:r w:rsidRPr="00E532B6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of</w:t>
      </w:r>
      <w:r w:rsidRPr="00E532B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E532B6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ADAS</w:t>
      </w:r>
      <w:r w:rsidRPr="00E532B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-cog sc</w:t>
      </w:r>
      <w:r w:rsidRPr="00E532B6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ore</w:t>
      </w:r>
      <w:r w:rsidRPr="00E532B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in the placebo group </w:t>
      </w:r>
      <w:r w:rsidRPr="00E532B6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tended to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decrease</w:t>
      </w:r>
      <w:r w:rsidRPr="00E532B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E532B6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in recent AD trials, which might be driven by the </w:t>
      </w:r>
      <w:r w:rsidRPr="00E532B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relatively</w:t>
      </w:r>
      <w:r w:rsidRPr="00E532B6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lower baseline ADAS-cog score</w:t>
      </w:r>
      <w:r w:rsidRPr="00E532B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.</w:t>
      </w:r>
      <w:r w:rsidRPr="004E2984">
        <w:t xml:space="preserve"> </w:t>
      </w:r>
      <w:r w:rsidRPr="004E298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In addition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,</w:t>
      </w:r>
      <w:r w:rsidRPr="004E298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no difference was found between trials using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the</w:t>
      </w:r>
      <w:r w:rsidRPr="004E298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add-on design and those not using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the</w:t>
      </w:r>
      <w:r w:rsidRPr="004E2984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add-on design.</w:t>
      </w:r>
    </w:p>
    <w:p w14:paraId="76832080" w14:textId="77777777" w:rsidR="00346B9E" w:rsidRPr="004A5361" w:rsidRDefault="00346B9E" w:rsidP="00346B9E">
      <w:pPr>
        <w:spacing w:line="480" w:lineRule="auto"/>
        <w:ind w:firstLineChars="200" w:firstLine="480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  <w:r w:rsidRPr="00F776EF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An interesting finding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wa</w:t>
      </w:r>
      <w:r w:rsidRPr="00F776EF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s that </w:t>
      </w:r>
      <w:r w:rsidRPr="003E39E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disease</w:t>
      </w:r>
      <w:r w:rsidRPr="00F776EF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progression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varied across </w:t>
      </w:r>
      <w:bookmarkStart w:id="10" w:name="_Hlk28420465"/>
      <w:r w:rsidRPr="00121CDE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geographic </w:t>
      </w:r>
      <w:bookmarkEnd w:id="10"/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regions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.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Even after correcting for the baseline ADAS-cog score and age effect, trials conducted in Middle Asian countries had a higher disease progression rate than trials conducted in </w:t>
      </w:r>
      <w:bookmarkStart w:id="11" w:name="_Hlk28347469"/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international </w:t>
      </w:r>
      <w:bookmarkEnd w:id="11"/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and East Asian countries. East Asian trials showed the slowest disease progression rate compared to other trials.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607C78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  <w:highlight w:val="yellow"/>
        </w:rPr>
        <w:t>The theoretical maximum placebo effect in international multiple trials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was significantly higher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lastRenderedPageBreak/>
        <w:t xml:space="preserve">than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that in North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American populations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,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while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the Middle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Asian population showed the weakest placebo effect than any other region. Based on the 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model 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parameters obtained by subgroup analys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e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s, we simulate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d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the typical 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time course of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change in ADAS-cog 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score from baseline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under different stratification factors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(</w:t>
      </w:r>
      <w:bookmarkStart w:id="12" w:name="_Hlk34986403"/>
      <w:r w:rsidRPr="00EC4D1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Figure </w:t>
      </w:r>
      <w:bookmarkEnd w:id="12"/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4</w:t>
      </w:r>
      <w:r w:rsidRPr="004A5361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)</w:t>
      </w:r>
      <w:r w:rsidRPr="004A5361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.</w:t>
      </w:r>
    </w:p>
    <w:p w14:paraId="1F82D54C" w14:textId="77777777" w:rsidR="00346B9E" w:rsidRPr="001F1DCE" w:rsidRDefault="00346B9E" w:rsidP="00346B9E">
      <w:pPr>
        <w:spacing w:line="480" w:lineRule="auto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</w:p>
    <w:p w14:paraId="793D95C1" w14:textId="77777777" w:rsidR="00346B9E" w:rsidRPr="00EA7A46" w:rsidRDefault="00346B9E" w:rsidP="00346B9E">
      <w:pPr>
        <w:spacing w:line="480" w:lineRule="auto"/>
        <w:rPr>
          <w:rFonts w:ascii="Times New Roman" w:eastAsia="SimSun" w:hAnsi="Times New Roman" w:cs="Times New Roman"/>
          <w:b/>
          <w:bCs/>
          <w:iCs/>
          <w:color w:val="000000"/>
          <w:kern w:val="0"/>
          <w:sz w:val="24"/>
          <w:szCs w:val="24"/>
        </w:rPr>
      </w:pPr>
      <w:r w:rsidRPr="00EA7A46">
        <w:rPr>
          <w:rFonts w:ascii="Times New Roman" w:eastAsia="SimSun" w:hAnsi="Times New Roman" w:cs="Times New Roman" w:hint="eastAsia"/>
          <w:b/>
          <w:bCs/>
          <w:iCs/>
          <w:color w:val="000000"/>
          <w:kern w:val="0"/>
          <w:sz w:val="24"/>
          <w:szCs w:val="24"/>
        </w:rPr>
        <w:t>Model evaluation and validation</w:t>
      </w:r>
    </w:p>
    <w:p w14:paraId="4AA70273" w14:textId="77777777" w:rsidR="00346B9E" w:rsidRDefault="00346B9E" w:rsidP="00346B9E">
      <w:pPr>
        <w:spacing w:line="480" w:lineRule="auto"/>
        <w:ind w:firstLineChars="200" w:firstLine="480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The median values of the model parameters obtained from the non-parametric bootstrap analysis were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consistent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with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the parameter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estimates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of the final model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.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In addition, t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he 95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%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CI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of the covariate correction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factors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did not contain 0, further verifying the reliability of the covariate analysis results.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</w:p>
    <w:p w14:paraId="0415E101" w14:textId="77777777" w:rsidR="00346B9E" w:rsidRPr="00EA7A46" w:rsidRDefault="00346B9E" w:rsidP="00346B9E">
      <w:pPr>
        <w:spacing w:line="480" w:lineRule="auto"/>
        <w:ind w:firstLineChars="200" w:firstLine="480"/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</w:pP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The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quality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of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the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fit of the final model was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relatively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good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bookmarkStart w:id="13" w:name="_Hlk35075173"/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(</w:t>
      </w:r>
      <w:r w:rsidRPr="00866935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Additional file</w:t>
      </w:r>
      <w:r w:rsidRPr="00EC4D1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bookmarkEnd w:id="13"/>
      <w:r w:rsidRPr="00EC4D1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Figure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2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).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Both population predictions and individual predictions correlated well with the observations.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The </w:t>
      </w:r>
      <w:r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model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predictions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were evenly distributed on both sides of the standard line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without obvious deviation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.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The absolute value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s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of the conditional weighted residual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s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w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ere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less than 6 and no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systematic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trend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was found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over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time and the populatio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n</w:t>
      </w:r>
      <w:r w:rsidRPr="00FE2774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predict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ions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.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The visual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predictive check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(</w:t>
      </w:r>
      <w:r w:rsidRPr="00866935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(Additional file</w:t>
      </w:r>
      <w:r w:rsidRPr="00EC4D13"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Figure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3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) show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ed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that the median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and the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2.5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% and 97.5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% quantiles of the observ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ations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f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e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ll within the 95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%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CI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of the quantile predicted by the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final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model, indicating that the final model c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ould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reflect the central trend and varia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bility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of the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observation values. Thus, t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he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final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model ha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d good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reproducibility for the original data and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 xml:space="preserve">good 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predict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ive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cap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abilit</w:t>
      </w:r>
      <w:r>
        <w:rPr>
          <w:rFonts w:ascii="Times New Roman" w:eastAsia="SimSun" w:hAnsi="Times New Roman" w:cs="Times New Roman"/>
          <w:iCs/>
          <w:color w:val="000000"/>
          <w:kern w:val="0"/>
          <w:sz w:val="24"/>
          <w:szCs w:val="24"/>
        </w:rPr>
        <w:t>ies</w:t>
      </w:r>
      <w:r w:rsidRPr="00EA7A46">
        <w:rPr>
          <w:rFonts w:ascii="Times New Roman" w:eastAsia="SimSun" w:hAnsi="Times New Roman" w:cs="Times New Roman" w:hint="eastAsia"/>
          <w:iCs/>
          <w:color w:val="000000"/>
          <w:kern w:val="0"/>
          <w:sz w:val="24"/>
          <w:szCs w:val="24"/>
        </w:rPr>
        <w:t>.</w:t>
      </w:r>
    </w:p>
    <w:p w14:paraId="7C98DE07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TMI">
    <w:altName w:val="Cambria"/>
    <w:panose1 w:val="00000000000000000000"/>
    <w:charset w:val="00"/>
    <w:family w:val="roman"/>
    <w:notTrueType/>
    <w:pitch w:val="default"/>
  </w:font>
  <w:font w:name="MTSY">
    <w:altName w:val="Cambria"/>
    <w:panose1 w:val="00000000000000000000"/>
    <w:charset w:val="00"/>
    <w:family w:val="roman"/>
    <w:notTrueType/>
    <w:pitch w:val="default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B9E"/>
    <w:rsid w:val="00346B9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7E538"/>
  <w15:chartTrackingRefBased/>
  <w15:docId w15:val="{B4844927-BD0A-42DF-8B4C-725882502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B9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1398</Words>
  <Characters>7969</Characters>
  <Application>Microsoft Office Word</Application>
  <DocSecurity>0</DocSecurity>
  <Lines>66</Lines>
  <Paragraphs>18</Paragraphs>
  <ScaleCrop>false</ScaleCrop>
  <Company/>
  <LinksUpToDate>false</LinksUpToDate>
  <CharactersWithSpaces>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2020-05-07T01:17:00Z</dcterms:created>
  <dcterms:modified xsi:type="dcterms:W3CDTF">2020-05-07T01:17:00Z</dcterms:modified>
</cp:coreProperties>
</file>