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numId w:val="0"/>
        </w:numPr>
        <w:kinsoku/>
        <w:wordWrap/>
        <w:overflowPunct/>
        <w:topLinePunct w:val="0"/>
        <w:autoSpaceDE w:val="0"/>
        <w:autoSpaceDN w:val="0"/>
        <w:bidi w:val="0"/>
        <w:adjustRightInd w:val="0"/>
        <w:snapToGrid/>
        <w:spacing w:line="480" w:lineRule="auto"/>
        <w:textAlignment w:val="auto"/>
        <w:rPr>
          <w:rFonts w:ascii="Times New Roman" w:hAnsi="Times New Roman" w:eastAsia="宋体"/>
          <w:b/>
          <w:sz w:val="24"/>
        </w:rPr>
      </w:pPr>
      <w:r>
        <w:rPr>
          <w:rFonts w:ascii="Times New Roman" w:hAnsi="Times New Roman" w:eastAsia="宋体"/>
          <w:b/>
          <w:sz w:val="24"/>
        </w:rPr>
        <w:t>Supplementary Methods</w:t>
      </w:r>
    </w:p>
    <w:p>
      <w:pPr>
        <w:keepNext w:val="0"/>
        <w:keepLines w:val="0"/>
        <w:pageBreakBefore w:val="0"/>
        <w:widowControl/>
        <w:kinsoku/>
        <w:wordWrap/>
        <w:overflowPunct/>
        <w:topLinePunct w:val="0"/>
        <w:bidi w:val="0"/>
        <w:snapToGrid/>
        <w:spacing w:line="480" w:lineRule="auto"/>
        <w:textAlignment w:val="auto"/>
        <w:outlineLvl w:val="0"/>
        <w:rPr>
          <w:rFonts w:ascii="Times New Roman" w:hAnsi="Times New Roman" w:eastAsia="宋体"/>
          <w:b/>
          <w:bCs/>
          <w:kern w:val="0"/>
          <w:sz w:val="24"/>
        </w:rPr>
      </w:pPr>
      <w:r>
        <w:rPr>
          <w:rFonts w:ascii="Times New Roman" w:hAnsi="Times New Roman" w:eastAsia="宋体"/>
          <w:b/>
          <w:bCs/>
          <w:kern w:val="0"/>
          <w:sz w:val="24"/>
        </w:rPr>
        <w:t>Cell culture</w:t>
      </w:r>
      <w:r>
        <w:rPr>
          <w:rFonts w:hint="eastAsia" w:ascii="Times New Roman" w:hAnsi="Times New Roman" w:eastAsia="宋体"/>
          <w:b/>
          <w:bCs/>
          <w:kern w:val="0"/>
          <w:sz w:val="24"/>
        </w:rPr>
        <w:t xml:space="preserve">, </w:t>
      </w:r>
      <w:r>
        <w:rPr>
          <w:rFonts w:ascii="Times New Roman" w:hAnsi="Times New Roman" w:eastAsia="宋体"/>
          <w:b/>
          <w:bCs/>
          <w:kern w:val="0"/>
          <w:sz w:val="24"/>
        </w:rPr>
        <w:t>plasmids and reagents</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rPr>
          <w:rFonts w:ascii="Times New Roman" w:hAnsi="Times New Roman" w:eastAsia="宋体"/>
          <w:sz w:val="24"/>
        </w:rPr>
      </w:pPr>
      <w:r>
        <w:rPr>
          <w:rFonts w:ascii="Times New Roman" w:hAnsi="Times New Roman" w:eastAsia="宋体"/>
          <w:sz w:val="24"/>
        </w:rPr>
        <w:t xml:space="preserve">    Human ovarian carcinoma cell lines H293T, A2780, CAOV3, ES-2, HEY, OVCA433, SKOV3 and NIH: OVCAR3 were purchased </w:t>
      </w:r>
      <w:r>
        <w:rPr>
          <w:rFonts w:hint="eastAsia" w:ascii="Times New Roman" w:hAnsi="Times New Roman" w:eastAsia="宋体"/>
          <w:sz w:val="24"/>
        </w:rPr>
        <w:t>from</w:t>
      </w:r>
      <w:r>
        <w:rPr>
          <w:rFonts w:ascii="Times New Roman" w:hAnsi="Times New Roman" w:eastAsia="宋体"/>
          <w:sz w:val="24"/>
        </w:rPr>
        <w:t xml:space="preserve"> IBS Cell bank of Fudan University and Cell bank of Shanghai Institute, Shanghai, China. All cells were grown and maintained in either DMEM or RPMI-1640 medium (Lot. 12633-012, GIBCO, U.S.A.) supplemented with 10% fetal bovine serum (FBS, Lot.10099-141-FBS, GIBCO, USA) and 1% penicillin and streptomycin, maintain at 37°C in a humidified atmosphere with 5%</w:t>
      </w:r>
      <w:r>
        <w:rPr>
          <w:rFonts w:hint="eastAsia" w:ascii="Times New Roman" w:hAnsi="Times New Roman" w:eastAsia="宋体"/>
          <w:sz w:val="24"/>
          <w:lang w:val="en-US" w:eastAsia="zh-CN"/>
        </w:rPr>
        <w:t xml:space="preserve"> </w:t>
      </w:r>
      <w:r>
        <w:rPr>
          <w:rFonts w:ascii="Times New Roman" w:hAnsi="Times New Roman" w:eastAsia="宋体"/>
          <w:sz w:val="24"/>
        </w:rPr>
        <w:t>CO</w:t>
      </w:r>
      <w:r>
        <w:rPr>
          <w:rFonts w:ascii="Times New Roman" w:hAnsi="Times New Roman" w:eastAsia="宋体"/>
          <w:sz w:val="24"/>
          <w:vertAlign w:val="subscript"/>
        </w:rPr>
        <w:t>2</w:t>
      </w:r>
      <w:r>
        <w:rPr>
          <w:rFonts w:ascii="Times New Roman" w:hAnsi="Times New Roman" w:eastAsia="宋体"/>
          <w:sz w:val="24"/>
        </w:rPr>
        <w:t xml:space="preserve">. Stable A2780 and SKOV3 cells </w:t>
      </w:r>
      <w:r>
        <w:rPr>
          <w:rFonts w:hint="eastAsia" w:ascii="Times New Roman" w:hAnsi="Times New Roman" w:eastAsia="宋体"/>
          <w:sz w:val="24"/>
        </w:rPr>
        <w:t>in</w:t>
      </w:r>
      <w:r>
        <w:rPr>
          <w:rFonts w:ascii="Times New Roman" w:hAnsi="Times New Roman" w:eastAsia="宋体"/>
          <w:sz w:val="24"/>
        </w:rPr>
        <w:t>fected with Lenti-</w:t>
      </w:r>
      <w:r>
        <w:rPr>
          <w:rFonts w:hint="eastAsia" w:ascii="Times New Roman" w:hAnsi="Times New Roman" w:eastAsia="宋体"/>
          <w:sz w:val="24"/>
        </w:rPr>
        <w:t>LINC00152</w:t>
      </w:r>
      <w:r>
        <w:rPr>
          <w:rFonts w:ascii="Times New Roman" w:hAnsi="Times New Roman" w:eastAsia="宋体"/>
          <w:sz w:val="24"/>
        </w:rPr>
        <w:t xml:space="preserve">-IRES-EGFP </w:t>
      </w:r>
      <w:r>
        <w:rPr>
          <w:rFonts w:hint="eastAsia" w:ascii="Times New Roman" w:hAnsi="Times New Roman" w:eastAsia="宋体"/>
          <w:sz w:val="24"/>
        </w:rPr>
        <w:t>c</w:t>
      </w:r>
      <w:r>
        <w:rPr>
          <w:rFonts w:ascii="Times New Roman" w:hAnsi="Times New Roman" w:eastAsia="宋体"/>
          <w:sz w:val="24"/>
        </w:rPr>
        <w:t>onstructs were additionally grown in 4</w:t>
      </w:r>
      <w:r>
        <w:rPr>
          <w:rFonts w:hint="eastAsia" w:ascii="Times New Roman" w:hAnsi="Times New Roman" w:eastAsia="宋体"/>
          <w:sz w:val="24"/>
        </w:rPr>
        <w:t xml:space="preserve"> </w:t>
      </w:r>
      <w:r>
        <w:rPr>
          <w:rFonts w:ascii="Times New Roman" w:hAnsi="Times New Roman" w:eastAsia="宋体"/>
          <w:sz w:val="24"/>
        </w:rPr>
        <w:t>g/m</w:t>
      </w:r>
      <w:r>
        <w:rPr>
          <w:rFonts w:hint="eastAsia" w:ascii="Times New Roman" w:hAnsi="Times New Roman" w:eastAsia="宋体"/>
          <w:sz w:val="24"/>
        </w:rPr>
        <w:t>L</w:t>
      </w:r>
      <w:r>
        <w:rPr>
          <w:rFonts w:ascii="Times New Roman" w:hAnsi="Times New Roman" w:eastAsia="宋体"/>
          <w:sz w:val="24"/>
        </w:rPr>
        <w:t xml:space="preserve"> or 2</w:t>
      </w:r>
      <w:r>
        <w:rPr>
          <w:rFonts w:hint="eastAsia" w:ascii="Times New Roman" w:hAnsi="Times New Roman" w:eastAsia="宋体"/>
          <w:sz w:val="24"/>
        </w:rPr>
        <w:t xml:space="preserve"> </w:t>
      </w:r>
      <w:r>
        <w:rPr>
          <w:rFonts w:ascii="Times New Roman" w:hAnsi="Times New Roman" w:eastAsia="宋体"/>
          <w:sz w:val="24"/>
        </w:rPr>
        <w:t>g/m</w:t>
      </w:r>
      <w:r>
        <w:rPr>
          <w:rFonts w:hint="eastAsia" w:ascii="Times New Roman" w:hAnsi="Times New Roman" w:eastAsia="宋体"/>
          <w:sz w:val="24"/>
        </w:rPr>
        <w:t>L</w:t>
      </w:r>
      <w:r>
        <w:rPr>
          <w:rFonts w:ascii="Times New Roman" w:hAnsi="Times New Roman" w:eastAsia="宋体"/>
          <w:sz w:val="24"/>
        </w:rPr>
        <w:t xml:space="preserve"> Blasticidin S (Lot. A11139-02, Life, USA)</w:t>
      </w:r>
      <w:r>
        <w:rPr>
          <w:rFonts w:hint="eastAsia" w:ascii="Times New Roman" w:hAnsi="Times New Roman" w:eastAsia="宋体"/>
          <w:sz w:val="24"/>
        </w:rPr>
        <w:t xml:space="preserve">. The </w:t>
      </w:r>
      <w:r>
        <w:rPr>
          <w:rFonts w:ascii="Times New Roman" w:hAnsi="Times New Roman" w:eastAsia="宋体"/>
          <w:sz w:val="24"/>
        </w:rPr>
        <w:t>stable Lenti-shLINC00152 CAOV3 and ES-2 cell line transfected with Lenti-shLINC00152-GV112-GFP-Puro</w:t>
      </w:r>
      <w:r>
        <w:rPr>
          <w:rFonts w:hint="eastAsia" w:ascii="Times New Roman" w:hAnsi="Times New Roman" w:eastAsia="宋体"/>
          <w:sz w:val="24"/>
        </w:rPr>
        <w:t>, Lenti-</w:t>
      </w:r>
      <w:r>
        <w:rPr>
          <w:rFonts w:ascii="Times New Roman" w:hAnsi="Times New Roman" w:eastAsia="宋体"/>
          <w:sz w:val="24"/>
        </w:rPr>
        <w:t>BCL6</w:t>
      </w:r>
      <w:r>
        <w:rPr>
          <w:rFonts w:hint="eastAsia" w:ascii="Times New Roman" w:hAnsi="Times New Roman" w:eastAsia="宋体"/>
          <w:sz w:val="24"/>
        </w:rPr>
        <w:t xml:space="preserve"> SKOV3</w:t>
      </w:r>
      <w:r>
        <w:rPr>
          <w:rFonts w:ascii="Times New Roman" w:hAnsi="Times New Roman" w:eastAsia="宋体"/>
          <w:sz w:val="24"/>
        </w:rPr>
        <w:t xml:space="preserve"> and A2780</w:t>
      </w:r>
      <w:r>
        <w:rPr>
          <w:rFonts w:hint="eastAsia" w:ascii="Times New Roman" w:hAnsi="Times New Roman" w:eastAsia="宋体"/>
          <w:sz w:val="24"/>
        </w:rPr>
        <w:t xml:space="preserve"> cells with </w:t>
      </w:r>
      <w:r>
        <w:rPr>
          <w:rFonts w:ascii="Times New Roman" w:hAnsi="Times New Roman" w:eastAsia="宋体"/>
          <w:sz w:val="24"/>
        </w:rPr>
        <w:t>Lenti-BCL6-GV112-GFP-Puro</w:t>
      </w:r>
      <w:r>
        <w:rPr>
          <w:rFonts w:hint="eastAsia" w:ascii="Times New Roman" w:hAnsi="Times New Roman" w:eastAsia="宋体"/>
          <w:sz w:val="24"/>
        </w:rPr>
        <w:t xml:space="preserve">, </w:t>
      </w:r>
      <w:r>
        <w:rPr>
          <w:rFonts w:ascii="Times New Roman" w:hAnsi="Times New Roman" w:eastAsia="宋体"/>
          <w:sz w:val="24"/>
        </w:rPr>
        <w:t xml:space="preserve">and </w:t>
      </w:r>
      <w:r>
        <w:rPr>
          <w:rFonts w:hint="eastAsia" w:ascii="Times New Roman" w:hAnsi="Times New Roman" w:eastAsia="宋体"/>
          <w:sz w:val="24"/>
        </w:rPr>
        <w:t>Lenti-</w:t>
      </w:r>
      <w:r>
        <w:rPr>
          <w:rFonts w:ascii="Times New Roman" w:hAnsi="Times New Roman" w:eastAsia="宋体"/>
          <w:sz w:val="24"/>
        </w:rPr>
        <w:t>BCL6</w:t>
      </w:r>
      <w:r>
        <w:rPr>
          <w:rFonts w:ascii="Times New Roman" w:hAnsi="Times New Roman" w:eastAsia="宋体"/>
          <w:sz w:val="24"/>
          <w:vertAlign w:val="superscript"/>
        </w:rPr>
        <w:t>S333A/S343A</w:t>
      </w:r>
      <w:r>
        <w:rPr>
          <w:rFonts w:ascii="Times New Roman" w:hAnsi="Times New Roman" w:eastAsia="宋体"/>
          <w:sz w:val="24"/>
        </w:rPr>
        <w:t xml:space="preserve"> </w:t>
      </w:r>
      <w:r>
        <w:rPr>
          <w:rFonts w:hint="eastAsia" w:ascii="Times New Roman" w:hAnsi="Times New Roman" w:eastAsia="宋体"/>
          <w:sz w:val="24"/>
        </w:rPr>
        <w:t>SKOV3</w:t>
      </w:r>
      <w:r>
        <w:rPr>
          <w:rFonts w:ascii="Times New Roman" w:hAnsi="Times New Roman" w:eastAsia="宋体"/>
          <w:sz w:val="24"/>
        </w:rPr>
        <w:t xml:space="preserve"> and A2780</w:t>
      </w:r>
      <w:r>
        <w:rPr>
          <w:rFonts w:hint="eastAsia" w:ascii="Times New Roman" w:hAnsi="Times New Roman" w:eastAsia="宋体"/>
          <w:sz w:val="24"/>
        </w:rPr>
        <w:t xml:space="preserve"> cells with </w:t>
      </w:r>
      <w:r>
        <w:rPr>
          <w:rFonts w:ascii="Times New Roman" w:hAnsi="Times New Roman" w:eastAsia="宋体"/>
          <w:sz w:val="24"/>
        </w:rPr>
        <w:t>Lenti - BCL6</w:t>
      </w:r>
      <w:r>
        <w:rPr>
          <w:rFonts w:ascii="Times New Roman" w:hAnsi="Times New Roman" w:eastAsia="宋体"/>
          <w:sz w:val="24"/>
          <w:vertAlign w:val="superscript"/>
        </w:rPr>
        <w:t>S333A/S343A</w:t>
      </w:r>
      <w:r>
        <w:rPr>
          <w:rFonts w:ascii="Times New Roman" w:hAnsi="Times New Roman" w:eastAsia="宋体"/>
          <w:sz w:val="24"/>
        </w:rPr>
        <w:t xml:space="preserve"> -GV112-GFP-Puro were maintained with 0.5</w:t>
      </w:r>
      <w:r>
        <w:rPr>
          <w:rFonts w:hint="eastAsia" w:ascii="Times New Roman" w:hAnsi="Times New Roman" w:eastAsia="宋体"/>
          <w:sz w:val="24"/>
        </w:rPr>
        <w:t xml:space="preserve"> </w:t>
      </w:r>
      <w:r>
        <w:rPr>
          <w:rFonts w:ascii="Times New Roman" w:hAnsi="Times New Roman" w:eastAsia="宋体"/>
          <w:sz w:val="24"/>
        </w:rPr>
        <w:t>µ</w:t>
      </w:r>
      <w:r>
        <w:rPr>
          <w:rFonts w:hint="eastAsia" w:ascii="Times New Roman" w:hAnsi="Times New Roman" w:eastAsia="宋体"/>
          <w:sz w:val="24"/>
        </w:rPr>
        <w:t>g</w:t>
      </w:r>
      <w:r>
        <w:rPr>
          <w:rFonts w:ascii="Times New Roman" w:hAnsi="Times New Roman" w:eastAsia="宋体"/>
          <w:sz w:val="24"/>
        </w:rPr>
        <w:t>/m</w:t>
      </w:r>
      <w:r>
        <w:rPr>
          <w:rFonts w:hint="eastAsia" w:ascii="Times New Roman" w:hAnsi="Times New Roman" w:eastAsia="宋体"/>
          <w:sz w:val="24"/>
        </w:rPr>
        <w:t>L</w:t>
      </w:r>
      <w:r>
        <w:rPr>
          <w:rFonts w:ascii="Times New Roman" w:hAnsi="Times New Roman" w:eastAsia="宋体"/>
          <w:sz w:val="24"/>
        </w:rPr>
        <w:t xml:space="preserve"> puromycin (Lot. A1113803, Life, USA).</w:t>
      </w:r>
      <w:r>
        <w:rPr>
          <w:rFonts w:hint="eastAsia" w:ascii="Times New Roman" w:hAnsi="Times New Roman" w:eastAsia="宋体"/>
          <w:sz w:val="24"/>
        </w:rPr>
        <w:t xml:space="preserve"> </w:t>
      </w:r>
      <w:r>
        <w:rPr>
          <w:rFonts w:ascii="Times New Roman" w:hAnsi="Times New Roman" w:eastAsia="宋体"/>
          <w:sz w:val="24"/>
        </w:rPr>
        <w:t xml:space="preserve">The information for specific plasmids and reagents are listed in the </w:t>
      </w:r>
      <w:r>
        <w:rPr>
          <w:rFonts w:ascii="Times New Roman" w:hAnsi="Times New Roman" w:eastAsia="宋体"/>
          <w:b/>
          <w:sz w:val="24"/>
        </w:rPr>
        <w:t>Table S</w:t>
      </w:r>
      <w:r>
        <w:rPr>
          <w:rFonts w:hint="eastAsia" w:ascii="Times New Roman" w:hAnsi="Times New Roman" w:eastAsia="宋体"/>
          <w:b/>
          <w:sz w:val="24"/>
          <w:lang w:val="en-US" w:eastAsia="zh-CN"/>
        </w:rPr>
        <w:t>4</w:t>
      </w:r>
      <w:r>
        <w:rPr>
          <w:rFonts w:ascii="Times New Roman" w:hAnsi="Times New Roman" w:eastAsia="宋体"/>
          <w:sz w:val="24"/>
        </w:rPr>
        <w:t>.</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outlineLvl w:val="0"/>
        <w:rPr>
          <w:rFonts w:ascii="Times New Roman" w:hAnsi="Times New Roman" w:eastAsia="宋体"/>
          <w:b/>
          <w:sz w:val="24"/>
        </w:rPr>
      </w:pPr>
      <w:r>
        <w:rPr>
          <w:rFonts w:ascii="Times New Roman" w:hAnsi="Times New Roman" w:eastAsia="宋体"/>
          <w:b/>
          <w:i/>
          <w:iCs/>
          <w:kern w:val="0"/>
          <w:sz w:val="24"/>
        </w:rPr>
        <w:t>In</w:t>
      </w:r>
      <w:r>
        <w:rPr>
          <w:rFonts w:ascii="Times New Roman" w:hAnsi="Times New Roman" w:eastAsia="宋体"/>
          <w:b/>
          <w:kern w:val="0"/>
          <w:sz w:val="24"/>
        </w:rPr>
        <w:t xml:space="preserve"> </w:t>
      </w:r>
      <w:r>
        <w:rPr>
          <w:rFonts w:ascii="Times New Roman" w:hAnsi="Times New Roman" w:eastAsia="宋体"/>
          <w:b/>
          <w:i/>
          <w:kern w:val="0"/>
          <w:sz w:val="24"/>
        </w:rPr>
        <w:t>vitro</w:t>
      </w:r>
      <w:r>
        <w:rPr>
          <w:rFonts w:ascii="Times New Roman" w:hAnsi="Times New Roman" w:eastAsia="宋体"/>
          <w:b/>
          <w:kern w:val="0"/>
          <w:sz w:val="24"/>
        </w:rPr>
        <w:t xml:space="preserve"> </w:t>
      </w:r>
      <w:r>
        <w:rPr>
          <w:rFonts w:ascii="Times New Roman" w:hAnsi="Times New Roman" w:eastAsia="宋体"/>
          <w:b/>
          <w:sz w:val="24"/>
        </w:rPr>
        <w:t>proliferation assays</w:t>
      </w:r>
    </w:p>
    <w:p>
      <w:pPr>
        <w:keepNext w:val="0"/>
        <w:keepLines w:val="0"/>
        <w:pageBreakBefore w:val="0"/>
        <w:widowControl/>
        <w:kinsoku/>
        <w:wordWrap/>
        <w:overflowPunct/>
        <w:topLinePunct w:val="0"/>
        <w:bidi w:val="0"/>
        <w:snapToGrid/>
        <w:spacing w:line="480" w:lineRule="auto"/>
        <w:textAlignment w:val="auto"/>
        <w:rPr>
          <w:rFonts w:ascii="Times New Roman" w:hAnsi="Times New Roman" w:eastAsia="宋体"/>
          <w:kern w:val="0"/>
          <w:sz w:val="24"/>
        </w:rPr>
      </w:pPr>
      <w:r>
        <w:rPr>
          <w:rFonts w:ascii="Times New Roman" w:hAnsi="Times New Roman" w:eastAsia="宋体"/>
          <w:kern w:val="0"/>
          <w:sz w:val="24"/>
        </w:rPr>
        <w:t xml:space="preserve">    Cell proliferation was indirectly assayed using the CCK-8 kit (Dojindo, Japan) and cell-colony forming assays. The CCK-8 kit stains living cells. Approximately 5×10</w:t>
      </w:r>
      <w:r>
        <w:rPr>
          <w:rFonts w:ascii="Times New Roman" w:hAnsi="Times New Roman" w:eastAsia="宋体"/>
          <w:kern w:val="0"/>
          <w:sz w:val="24"/>
          <w:vertAlign w:val="superscript"/>
        </w:rPr>
        <w:t>3</w:t>
      </w:r>
      <w:r>
        <w:rPr>
          <w:rFonts w:ascii="Times New Roman" w:hAnsi="Times New Roman" w:eastAsia="宋体"/>
          <w:kern w:val="0"/>
          <w:sz w:val="24"/>
        </w:rPr>
        <w:t xml:space="preserve"> cells in 100</w:t>
      </w:r>
      <w:r>
        <w:rPr>
          <w:rFonts w:ascii="Times New Roman" w:hAnsi="Times New Roman" w:eastAsia="宋体"/>
          <w:kern w:val="0"/>
          <w:sz w:val="24"/>
          <w:lang w:val="el-GR"/>
        </w:rPr>
        <w:t></w:t>
      </w:r>
      <w:r>
        <w:rPr>
          <w:rFonts w:ascii="Times New Roman" w:hAnsi="Times New Roman" w:eastAsia="宋体"/>
          <w:kern w:val="0"/>
          <w:sz w:val="24"/>
        </w:rPr>
        <w:t>l were incubated in triplicate in 96-well plates. At 0</w:t>
      </w:r>
      <w:r>
        <w:rPr>
          <w:rFonts w:hint="eastAsia" w:ascii="Times New Roman" w:hAnsi="Times New Roman" w:eastAsia="宋体"/>
          <w:kern w:val="0"/>
          <w:sz w:val="24"/>
          <w:lang w:val="en-US" w:eastAsia="zh-CN"/>
        </w:rPr>
        <w:t>h</w:t>
      </w:r>
      <w:r>
        <w:rPr>
          <w:rFonts w:ascii="Times New Roman" w:hAnsi="Times New Roman" w:eastAsia="宋体"/>
          <w:kern w:val="0"/>
          <w:sz w:val="24"/>
        </w:rPr>
        <w:t>, 24</w:t>
      </w:r>
      <w:r>
        <w:rPr>
          <w:rFonts w:hint="eastAsia" w:ascii="Times New Roman" w:hAnsi="Times New Roman" w:eastAsia="宋体"/>
          <w:kern w:val="0"/>
          <w:sz w:val="24"/>
          <w:lang w:val="en-US" w:eastAsia="zh-CN"/>
        </w:rPr>
        <w:t>h</w:t>
      </w:r>
      <w:r>
        <w:rPr>
          <w:rFonts w:ascii="Times New Roman" w:hAnsi="Times New Roman" w:eastAsia="宋体"/>
          <w:kern w:val="0"/>
          <w:sz w:val="24"/>
        </w:rPr>
        <w:t>, 48</w:t>
      </w:r>
      <w:r>
        <w:rPr>
          <w:rFonts w:hint="eastAsia" w:ascii="Times New Roman" w:hAnsi="Times New Roman" w:eastAsia="宋体"/>
          <w:kern w:val="0"/>
          <w:sz w:val="24"/>
          <w:lang w:val="en-US" w:eastAsia="zh-CN"/>
        </w:rPr>
        <w:t>h</w:t>
      </w:r>
      <w:r>
        <w:rPr>
          <w:rFonts w:ascii="Times New Roman" w:hAnsi="Times New Roman" w:eastAsia="宋体"/>
          <w:kern w:val="0"/>
          <w:sz w:val="24"/>
        </w:rPr>
        <w:t>, 72</w:t>
      </w:r>
      <w:r>
        <w:rPr>
          <w:rFonts w:hint="eastAsia" w:ascii="Times New Roman" w:hAnsi="Times New Roman" w:eastAsia="宋体"/>
          <w:kern w:val="0"/>
          <w:sz w:val="24"/>
          <w:lang w:val="en-US" w:eastAsia="zh-CN"/>
        </w:rPr>
        <w:t>h</w:t>
      </w:r>
      <w:r>
        <w:rPr>
          <w:rFonts w:ascii="Times New Roman" w:hAnsi="Times New Roman" w:eastAsia="宋体"/>
          <w:kern w:val="0"/>
          <w:sz w:val="24"/>
        </w:rPr>
        <w:t>, and 96h, the CCK-8 reagent (10</w:t>
      </w:r>
      <w:r>
        <w:rPr>
          <w:rFonts w:ascii="Times New Roman" w:hAnsi="Times New Roman" w:eastAsia="宋体"/>
          <w:kern w:val="0"/>
          <w:sz w:val="24"/>
          <w:lang w:val="el-GR"/>
        </w:rPr>
        <w:t></w:t>
      </w:r>
      <w:r>
        <w:rPr>
          <w:rFonts w:hint="eastAsia" w:ascii="Times New Roman" w:hAnsi="Times New Roman" w:eastAsia="宋体"/>
          <w:kern w:val="0"/>
          <w:sz w:val="24"/>
          <w:lang w:val="en-US" w:eastAsia="zh-CN"/>
        </w:rPr>
        <w:t>L</w:t>
      </w:r>
      <w:r>
        <w:rPr>
          <w:rFonts w:ascii="Times New Roman" w:hAnsi="Times New Roman" w:eastAsia="宋体"/>
          <w:kern w:val="0"/>
          <w:sz w:val="24"/>
        </w:rPr>
        <w:t>) was added to each well and incubated at 37°C for 3h. The optical density at 450nm was measured using an automatic microplate reader (Synergy4; BioTek, Winooski, VT, USA). As to the colony forming assay, the cells were plated in 6-well plates (800 cells per plate) and cultured for 10 days. Colonies were stained with 0.1% crystal violet for 30 min after fixation with ethanol for 30 min.</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kern w:val="0"/>
          <w:sz w:val="24"/>
        </w:rPr>
      </w:pPr>
      <w:r>
        <w:rPr>
          <w:rFonts w:ascii="Times New Roman" w:hAnsi="Times New Roman" w:eastAsia="宋体"/>
          <w:kern w:val="0"/>
          <w:sz w:val="24"/>
        </w:rPr>
        <w:t xml:space="preserve">    EdU imaging system was used to visualize and </w:t>
      </w:r>
      <w:r>
        <w:rPr>
          <w:rFonts w:hint="eastAsia" w:ascii="Times New Roman" w:hAnsi="Times New Roman" w:eastAsia="宋体"/>
          <w:kern w:val="0"/>
          <w:sz w:val="24"/>
        </w:rPr>
        <w:t>measure</w:t>
      </w:r>
      <w:r>
        <w:rPr>
          <w:rFonts w:ascii="Times New Roman" w:hAnsi="Times New Roman" w:eastAsia="宋体"/>
          <w:kern w:val="0"/>
          <w:sz w:val="24"/>
        </w:rPr>
        <w:t xml:space="preserve"> cell proliferation by </w:t>
      </w:r>
      <w:r>
        <w:rPr>
          <w:rFonts w:hint="eastAsia" w:ascii="Times New Roman" w:hAnsi="Times New Roman" w:eastAsia="宋体"/>
          <w:kern w:val="0"/>
          <w:sz w:val="24"/>
        </w:rPr>
        <w:t>count</w:t>
      </w:r>
      <w:r>
        <w:rPr>
          <w:rFonts w:ascii="Times New Roman" w:hAnsi="Times New Roman" w:eastAsia="宋体"/>
          <w:kern w:val="0"/>
          <w:sz w:val="24"/>
        </w:rPr>
        <w:t xml:space="preserve">ing the percentage of cells in progress of replication of DNA. 72h after transfection, cells were incubated with 10 </w:t>
      </w:r>
      <w:r>
        <w:rPr>
          <w:rFonts w:ascii="Times New Roman" w:hAnsi="Times New Roman" w:eastAsia="宋体"/>
          <w:kern w:val="0"/>
          <w:sz w:val="24"/>
          <w:lang w:val="el-GR"/>
        </w:rPr>
        <w:t>μ</w:t>
      </w:r>
      <w:r>
        <w:rPr>
          <w:rFonts w:ascii="Times New Roman" w:hAnsi="Times New Roman" w:eastAsia="宋体"/>
          <w:kern w:val="0"/>
          <w:sz w:val="24"/>
        </w:rPr>
        <w:t xml:space="preserve">M EdU solution for 2 h and fixed with 3.7% Formaldehyde (Sigma) and penetrated with 0.5% triton X-100 (Sigma) for 20 min. Cells were stained with EdU/Alexa Fluor Azide 594 for 30 min followed by Hoechst 33342(1:2000) for another 30 min and imaged at 100× and counted at 200× under the fluorescence microscopy (IX51, Olympus, Japan). </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outlineLvl w:val="0"/>
        <w:rPr>
          <w:rFonts w:ascii="Times New Roman" w:hAnsi="Times New Roman" w:eastAsia="宋体"/>
          <w:b/>
          <w:kern w:val="0"/>
          <w:sz w:val="24"/>
        </w:rPr>
      </w:pPr>
      <w:bookmarkStart w:id="0" w:name="OLE_LINK30"/>
      <w:r>
        <w:rPr>
          <w:rFonts w:ascii="Times New Roman" w:hAnsi="Times New Roman" w:eastAsia="宋体"/>
          <w:b/>
          <w:i/>
          <w:iCs/>
          <w:kern w:val="0"/>
          <w:sz w:val="24"/>
        </w:rPr>
        <w:t>In</w:t>
      </w:r>
      <w:r>
        <w:rPr>
          <w:rFonts w:ascii="Times New Roman" w:hAnsi="Times New Roman" w:eastAsia="宋体"/>
          <w:b/>
          <w:kern w:val="0"/>
          <w:sz w:val="24"/>
        </w:rPr>
        <w:t xml:space="preserve"> </w:t>
      </w:r>
      <w:r>
        <w:rPr>
          <w:rFonts w:ascii="Times New Roman" w:hAnsi="Times New Roman" w:eastAsia="宋体"/>
          <w:b/>
          <w:i/>
          <w:kern w:val="0"/>
          <w:sz w:val="24"/>
        </w:rPr>
        <w:t>vitro</w:t>
      </w:r>
      <w:r>
        <w:rPr>
          <w:rFonts w:ascii="Times New Roman" w:hAnsi="Times New Roman" w:eastAsia="宋体"/>
          <w:b/>
          <w:kern w:val="0"/>
          <w:sz w:val="24"/>
        </w:rPr>
        <w:t xml:space="preserve"> </w:t>
      </w:r>
      <w:bookmarkEnd w:id="0"/>
      <w:r>
        <w:rPr>
          <w:rFonts w:ascii="Times New Roman" w:hAnsi="Times New Roman" w:eastAsia="宋体"/>
          <w:b/>
          <w:kern w:val="0"/>
          <w:sz w:val="24"/>
        </w:rPr>
        <w:t>migration and metastasis assay</w:t>
      </w:r>
    </w:p>
    <w:p>
      <w:pPr>
        <w:keepNext w:val="0"/>
        <w:keepLines w:val="0"/>
        <w:pageBreakBefore w:val="0"/>
        <w:widowControl/>
        <w:kinsoku/>
        <w:wordWrap/>
        <w:overflowPunct/>
        <w:topLinePunct w:val="0"/>
        <w:bidi w:val="0"/>
        <w:snapToGrid/>
        <w:spacing w:line="480" w:lineRule="auto"/>
        <w:textAlignment w:val="auto"/>
        <w:outlineLvl w:val="0"/>
        <w:rPr>
          <w:rFonts w:ascii="Times New Roman" w:hAnsi="Times New Roman" w:eastAsia="宋体"/>
          <w:b/>
          <w:bCs/>
          <w:kern w:val="0"/>
          <w:sz w:val="24"/>
        </w:rPr>
      </w:pPr>
      <w:r>
        <w:rPr>
          <w:rFonts w:ascii="Times New Roman" w:hAnsi="Times New Roman" w:eastAsia="宋体"/>
          <w:kern w:val="0"/>
          <w:sz w:val="24"/>
        </w:rPr>
        <w:t xml:space="preserve">    </w:t>
      </w:r>
      <w:bookmarkStart w:id="1" w:name="OLE_LINK40"/>
      <w:bookmarkStart w:id="2" w:name="OLE_LINK41"/>
      <w:r>
        <w:rPr>
          <w:rFonts w:ascii="Times New Roman" w:hAnsi="Times New Roman" w:eastAsia="宋体"/>
          <w:bCs/>
          <w:kern w:val="0"/>
          <w:sz w:val="24"/>
        </w:rPr>
        <w:t xml:space="preserve">Cell-wounding assays were used to evaluate the cell mobility. </w:t>
      </w:r>
      <w:r>
        <w:rPr>
          <w:rFonts w:ascii="Times New Roman" w:hAnsi="Times New Roman" w:eastAsia="宋体"/>
          <w:kern w:val="0"/>
          <w:sz w:val="24"/>
        </w:rPr>
        <w:t>The cells were grown in 6-well plates until confluence. A cell scratch-wound was generated by scraping with a 10 µL tip. After 12h, the wounded cells were photographed, and cell migration was assessed by measuring gap sizes in multiple fields.</w:t>
      </w:r>
    </w:p>
    <w:bookmarkEnd w:id="1"/>
    <w:bookmarkEnd w:id="2"/>
    <w:p>
      <w:pPr>
        <w:keepNext w:val="0"/>
        <w:keepLines w:val="0"/>
        <w:pageBreakBefore w:val="0"/>
        <w:widowControl/>
        <w:kinsoku/>
        <w:wordWrap/>
        <w:overflowPunct/>
        <w:topLinePunct w:val="0"/>
        <w:autoSpaceDE w:val="0"/>
        <w:autoSpaceDN w:val="0"/>
        <w:bidi w:val="0"/>
        <w:adjustRightInd w:val="0"/>
        <w:snapToGrid/>
        <w:spacing w:line="480" w:lineRule="auto"/>
        <w:textAlignment w:val="auto"/>
        <w:rPr>
          <w:rFonts w:ascii="Times New Roman" w:hAnsi="Times New Roman" w:eastAsia="宋体"/>
          <w:kern w:val="0"/>
          <w:sz w:val="24"/>
        </w:rPr>
      </w:pPr>
      <w:r>
        <w:rPr>
          <w:rFonts w:ascii="Times New Roman" w:hAnsi="Times New Roman" w:eastAsia="宋体"/>
          <w:kern w:val="0"/>
          <w:sz w:val="24"/>
        </w:rPr>
        <w:t xml:space="preserve">    Transwell assay was used to assess cell invasion (Corning Co. Ltd., USA). The lower chambers were pre-coated with 100</w:t>
      </w:r>
      <w:r>
        <w:rPr>
          <w:rFonts w:hint="eastAsia" w:ascii="Times New Roman" w:hAnsi="Times New Roman" w:eastAsia="宋体"/>
          <w:kern w:val="0"/>
          <w:sz w:val="24"/>
        </w:rPr>
        <w:t xml:space="preserve"> </w:t>
      </w:r>
      <w:r>
        <w:rPr>
          <w:rFonts w:ascii="Times New Roman" w:hAnsi="Times New Roman" w:eastAsia="宋体"/>
          <w:kern w:val="0"/>
          <w:sz w:val="24"/>
        </w:rPr>
        <w:t>μ</w:t>
      </w:r>
      <w:r>
        <w:rPr>
          <w:rFonts w:hint="eastAsia" w:ascii="Times New Roman" w:hAnsi="Times New Roman" w:eastAsia="宋体"/>
          <w:kern w:val="0"/>
          <w:sz w:val="24"/>
        </w:rPr>
        <w:t>L</w:t>
      </w:r>
      <w:r>
        <w:rPr>
          <w:rFonts w:ascii="Times New Roman" w:hAnsi="Times New Roman" w:eastAsia="宋体"/>
          <w:kern w:val="0"/>
          <w:sz w:val="24"/>
        </w:rPr>
        <w:t xml:space="preserve"> Matrix gel (#354234, BD Bioscience, USA) for 30</w:t>
      </w:r>
      <w:r>
        <w:rPr>
          <w:rFonts w:hint="eastAsia" w:ascii="Times New Roman" w:hAnsi="Times New Roman" w:eastAsia="宋体"/>
          <w:kern w:val="0"/>
          <w:sz w:val="24"/>
        </w:rPr>
        <w:t xml:space="preserve"> </w:t>
      </w:r>
      <w:r>
        <w:rPr>
          <w:rFonts w:ascii="Times New Roman" w:hAnsi="Times New Roman" w:eastAsia="宋体"/>
          <w:kern w:val="0"/>
          <w:sz w:val="24"/>
        </w:rPr>
        <w:t>min. 24h after transfection, cells were seeded on the upper chamber at 3.0×10</w:t>
      </w:r>
      <w:r>
        <w:rPr>
          <w:rFonts w:ascii="Times New Roman" w:hAnsi="Times New Roman" w:eastAsia="宋体"/>
          <w:kern w:val="0"/>
          <w:sz w:val="24"/>
          <w:vertAlign w:val="superscript"/>
        </w:rPr>
        <w:t>4</w:t>
      </w:r>
      <w:r>
        <w:rPr>
          <w:rFonts w:ascii="Times New Roman" w:hAnsi="Times New Roman" w:eastAsia="宋体"/>
          <w:kern w:val="0"/>
          <w:sz w:val="24"/>
        </w:rPr>
        <w:t>/well in serum-free medium. Medium containing 20% fetal bovine serum medium was applied to the lower chamber as chemo-attractant. After 24h incubation at 37°C,</w:t>
      </w:r>
      <w:r>
        <w:rPr>
          <w:rFonts w:hint="eastAsia" w:ascii="Times New Roman" w:hAnsi="Times New Roman" w:eastAsia="宋体"/>
          <w:kern w:val="0"/>
          <w:sz w:val="24"/>
        </w:rPr>
        <w:t xml:space="preserve"> c</w:t>
      </w:r>
      <w:r>
        <w:rPr>
          <w:rFonts w:ascii="Times New Roman" w:hAnsi="Times New Roman" w:eastAsia="宋体"/>
          <w:kern w:val="0"/>
          <w:sz w:val="24"/>
        </w:rPr>
        <w:t>ells which invaded through the matrix gel and adhered to the lower surface of the filter were fixed with ethanol, stained with 0.5% crystal violet, photographed at 200×, and counted at 400× in 10 different fields to determine the average number of cells (BX51, Olympus, Japan).</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outlineLvl w:val="0"/>
        <w:rPr>
          <w:rFonts w:ascii="Times New Roman" w:hAnsi="Times New Roman" w:eastAsia="宋体"/>
          <w:sz w:val="24"/>
        </w:rPr>
      </w:pPr>
      <w:r>
        <w:rPr>
          <w:rFonts w:ascii="Times New Roman" w:hAnsi="Times New Roman" w:eastAsia="宋体"/>
          <w:b/>
          <w:bCs/>
          <w:kern w:val="0"/>
          <w:sz w:val="24"/>
        </w:rPr>
        <w:t>Immunochemistry</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rPr>
          <w:rFonts w:ascii="Times New Roman" w:hAnsi="Times New Roman" w:eastAsia="宋体"/>
          <w:kern w:val="0"/>
          <w:sz w:val="24"/>
        </w:rPr>
      </w:pPr>
      <w:r>
        <w:rPr>
          <w:rFonts w:ascii="Times New Roman" w:hAnsi="Times New Roman" w:eastAsia="宋体"/>
          <w:sz w:val="24"/>
        </w:rPr>
        <w:t xml:space="preserve">    Paraffin sections of the 200 cases with ovarian carcinomas were prepared and incubated overnight at 37°C with primary antibodies against BCL6 (Cell Signaling</w:t>
      </w:r>
      <w:r>
        <w:rPr>
          <w:rFonts w:hint="eastAsia" w:ascii="Times New Roman" w:hAnsi="Times New Roman" w:eastAsia="宋体"/>
          <w:sz w:val="24"/>
          <w:lang w:val="en-US" w:eastAsia="zh-CN"/>
        </w:rPr>
        <w:t>,</w:t>
      </w:r>
      <w:r>
        <w:rPr>
          <w:rFonts w:ascii="Times New Roman" w:hAnsi="Times New Roman" w:eastAsia="宋体"/>
          <w:sz w:val="24"/>
        </w:rPr>
        <w:t xml:space="preserve"> USA) and LINC00152. Standard avidin-biotin immunochemical analysis of the sections was performed. The staining results were evaluated by at least three certified pathologists and the staining in either the nucleus or the nucleus-cytoplasm was considered as positive for BCL6. </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rPr>
          <w:rFonts w:ascii="Times New Roman" w:hAnsi="Times New Roman" w:eastAsia="宋体"/>
          <w:b/>
          <w:sz w:val="24"/>
        </w:rPr>
      </w:pPr>
      <w:r>
        <w:rPr>
          <w:rFonts w:ascii="Times New Roman" w:hAnsi="Times New Roman" w:eastAsia="宋体"/>
          <w:b/>
          <w:sz w:val="24"/>
        </w:rPr>
        <w:t>Ubiquitination assays</w:t>
      </w:r>
    </w:p>
    <w:p>
      <w:pPr>
        <w:keepNext w:val="0"/>
        <w:keepLines w:val="0"/>
        <w:pageBreakBefore w:val="0"/>
        <w:widowControl/>
        <w:kinsoku/>
        <w:wordWrap/>
        <w:overflowPunct/>
        <w:topLinePunct w:val="0"/>
        <w:autoSpaceDE w:val="0"/>
        <w:autoSpaceDN w:val="0"/>
        <w:bidi w:val="0"/>
        <w:adjustRightInd w:val="0"/>
        <w:snapToGrid/>
        <w:spacing w:line="480" w:lineRule="auto"/>
        <w:textAlignment w:val="auto"/>
        <w:rPr>
          <w:rFonts w:ascii="Times New Roman" w:hAnsi="Times New Roman" w:eastAsia="宋体"/>
          <w:kern w:val="0"/>
          <w:sz w:val="24"/>
        </w:rPr>
      </w:pPr>
      <w:r>
        <w:rPr>
          <w:rFonts w:ascii="Times New Roman" w:hAnsi="Times New Roman" w:eastAsia="宋体"/>
          <w:kern w:val="0"/>
          <w:sz w:val="24"/>
        </w:rPr>
        <w:t xml:space="preserve">    For the</w:t>
      </w:r>
      <w:r>
        <w:rPr>
          <w:rFonts w:ascii="Times New Roman" w:hAnsi="Times New Roman" w:eastAsia="宋体"/>
          <w:i/>
          <w:kern w:val="0"/>
          <w:sz w:val="24"/>
        </w:rPr>
        <w:t xml:space="preserve"> in vivo</w:t>
      </w:r>
      <w:r>
        <w:rPr>
          <w:rFonts w:ascii="Times New Roman" w:hAnsi="Times New Roman" w:eastAsia="宋体"/>
          <w:kern w:val="0"/>
          <w:sz w:val="24"/>
        </w:rPr>
        <w:t xml:space="preserve"> ubiquitination/deubiquitination assays, cells were treated with MG132 (10 μ</w:t>
      </w:r>
      <w:r>
        <w:rPr>
          <w:rFonts w:hint="eastAsia" w:ascii="Times New Roman" w:hAnsi="Times New Roman" w:eastAsia="宋体"/>
          <w:kern w:val="0"/>
          <w:sz w:val="24"/>
          <w:lang w:val="en-US" w:eastAsia="zh-CN"/>
        </w:rPr>
        <w:t>M</w:t>
      </w:r>
      <w:r>
        <w:rPr>
          <w:rFonts w:ascii="Times New Roman" w:hAnsi="Times New Roman" w:eastAsia="宋体"/>
          <w:kern w:val="0"/>
          <w:sz w:val="24"/>
        </w:rPr>
        <w:t xml:space="preserve">) for 3 hours and lysed. The lysates were immunoprecipitated by anti-Flag or anti-BCL6 and immunoblotted by anti-ubiquitin. The protocol of the </w:t>
      </w:r>
      <w:r>
        <w:rPr>
          <w:rFonts w:ascii="Times New Roman" w:hAnsi="Times New Roman" w:eastAsia="宋体"/>
          <w:i/>
          <w:kern w:val="0"/>
          <w:sz w:val="24"/>
        </w:rPr>
        <w:t>in vitro</w:t>
      </w:r>
      <w:r>
        <w:rPr>
          <w:rFonts w:ascii="Times New Roman" w:hAnsi="Times New Roman" w:eastAsia="宋体"/>
          <w:kern w:val="0"/>
          <w:sz w:val="24"/>
        </w:rPr>
        <w:t xml:space="preserve"> deubiquitination assays was in accordance with our previous study. </w:t>
      </w:r>
    </w:p>
    <w:p>
      <w:pPr>
        <w:keepNext w:val="0"/>
        <w:keepLines w:val="0"/>
        <w:pageBreakBefore w:val="0"/>
        <w:kinsoku/>
        <w:wordWrap/>
        <w:overflowPunct/>
        <w:topLinePunct w:val="0"/>
        <w:bidi w:val="0"/>
        <w:snapToGrid/>
        <w:spacing w:line="480" w:lineRule="auto"/>
        <w:textAlignment w:val="auto"/>
        <w:outlineLvl w:val="0"/>
        <w:rPr>
          <w:rFonts w:ascii="Times New Roman" w:hAnsi="Times New Roman" w:eastAsia="宋体"/>
          <w:b/>
          <w:sz w:val="24"/>
          <w:lang w:val="fr-FR"/>
        </w:rPr>
      </w:pPr>
      <w:r>
        <w:rPr>
          <w:rFonts w:ascii="Times New Roman" w:hAnsi="Times New Roman" w:eastAsia="宋体"/>
          <w:b/>
          <w:sz w:val="24"/>
          <w:lang w:val="fr-FR"/>
        </w:rPr>
        <w:t>RNA isolation and quantitative RT-PCR</w:t>
      </w:r>
    </w:p>
    <w:p>
      <w:pPr>
        <w:keepNext w:val="0"/>
        <w:keepLines w:val="0"/>
        <w:pageBreakBefore w:val="0"/>
        <w:widowControl/>
        <w:kinsoku/>
        <w:wordWrap/>
        <w:overflowPunct/>
        <w:topLinePunct w:val="0"/>
        <w:bidi w:val="0"/>
        <w:snapToGrid/>
        <w:spacing w:line="480" w:lineRule="auto"/>
        <w:textAlignment w:val="auto"/>
        <w:rPr>
          <w:rFonts w:ascii="Times New Roman" w:hAnsi="Times New Roman" w:eastAsia="宋体"/>
          <w:sz w:val="24"/>
          <w:lang w:val="en-GB"/>
        </w:rPr>
      </w:pPr>
      <w:r>
        <w:rPr>
          <w:rFonts w:ascii="Times New Roman" w:hAnsi="Times New Roman" w:eastAsia="宋体"/>
          <w:sz w:val="24"/>
          <w:lang w:val="fr-FR"/>
        </w:rPr>
        <w:t xml:space="preserve">    </w:t>
      </w:r>
      <w:r>
        <w:rPr>
          <w:rFonts w:ascii="Times New Roman" w:hAnsi="Times New Roman" w:eastAsia="宋体"/>
          <w:sz w:val="24"/>
        </w:rPr>
        <w:t>Total RNA w</w:t>
      </w:r>
      <w:r>
        <w:rPr>
          <w:rFonts w:hint="eastAsia" w:ascii="Times New Roman" w:hAnsi="Times New Roman" w:eastAsia="宋体"/>
          <w:sz w:val="24"/>
        </w:rPr>
        <w:t>as</w:t>
      </w:r>
      <w:r>
        <w:rPr>
          <w:rFonts w:ascii="Times New Roman" w:hAnsi="Times New Roman" w:eastAsia="宋体"/>
          <w:sz w:val="24"/>
        </w:rPr>
        <w:t xml:space="preserve"> extracted from tissue samples and cells</w:t>
      </w:r>
      <w:r>
        <w:rPr>
          <w:rFonts w:ascii="Times New Roman" w:hAnsi="Times New Roman" w:eastAsia="宋体"/>
          <w:color w:val="FF0000"/>
          <w:sz w:val="24"/>
        </w:rPr>
        <w:t xml:space="preserve"> </w:t>
      </w:r>
      <w:r>
        <w:rPr>
          <w:rFonts w:ascii="Times New Roman" w:hAnsi="Times New Roman" w:eastAsia="宋体"/>
          <w:sz w:val="24"/>
        </w:rPr>
        <w:t>using TRIzol (Invitrogen, Carlsbad, CA, USA) according to</w:t>
      </w:r>
      <w:r>
        <w:rPr>
          <w:rFonts w:hint="eastAsia" w:ascii="Times New Roman" w:hAnsi="Times New Roman" w:eastAsia="宋体"/>
          <w:sz w:val="24"/>
        </w:rPr>
        <w:t xml:space="preserve"> </w:t>
      </w:r>
      <w:r>
        <w:rPr>
          <w:rFonts w:ascii="Times New Roman" w:hAnsi="Times New Roman" w:eastAsia="宋体"/>
          <w:sz w:val="24"/>
        </w:rPr>
        <w:t xml:space="preserve">the manufacturer's protocol. </w:t>
      </w:r>
      <w:r>
        <w:rPr>
          <w:rFonts w:ascii="Times New Roman" w:hAnsi="Times New Roman" w:eastAsia="宋体"/>
          <w:sz w:val="24"/>
          <w:lang w:val="en-GB"/>
        </w:rPr>
        <w:t>The reverse transcription reactions were conducted using a PrimeScript</w:t>
      </w:r>
      <w:r>
        <w:rPr>
          <w:rFonts w:ascii="Times New Roman" w:hAnsi="Times New Roman" w:eastAsia="宋体"/>
          <w:sz w:val="24"/>
          <w:vertAlign w:val="superscript"/>
          <w:lang w:val="en-GB"/>
        </w:rPr>
        <w:t>®</w:t>
      </w:r>
      <w:r>
        <w:rPr>
          <w:rFonts w:ascii="Times New Roman" w:hAnsi="Times New Roman" w:eastAsia="宋体"/>
          <w:sz w:val="24"/>
          <w:lang w:val="en-GB"/>
        </w:rPr>
        <w:t xml:space="preserve"> RT reagent Kit (Takara, Dalian, China); the quantitative PCR reactions were then performed using SYBR</w:t>
      </w:r>
      <w:r>
        <w:rPr>
          <w:rFonts w:ascii="Times New Roman" w:hAnsi="Times New Roman" w:eastAsia="宋体"/>
          <w:sz w:val="24"/>
          <w:vertAlign w:val="superscript"/>
          <w:lang w:val="en-GB"/>
        </w:rPr>
        <w:t>®</w:t>
      </w:r>
      <w:r>
        <w:rPr>
          <w:rFonts w:ascii="Times New Roman" w:hAnsi="Times New Roman" w:eastAsia="宋体"/>
          <w:sz w:val="24"/>
          <w:lang w:val="en-GB"/>
        </w:rPr>
        <w:t xml:space="preserve"> Premix Ex TaqTM (Takara, Dalian, China), as previously described</w:t>
      </w:r>
      <w:r>
        <w:rPr>
          <w:rFonts w:ascii="Times New Roman" w:hAnsi="Times New Roman" w:eastAsia="宋体"/>
          <w:sz w:val="24"/>
          <w:vertAlign w:val="superscript"/>
        </w:rPr>
        <w:fldChar w:fldCharType="begin"/>
      </w:r>
      <w:r>
        <w:rPr>
          <w:rFonts w:ascii="Times New Roman" w:hAnsi="Times New Roman" w:eastAsia="宋体"/>
          <w:sz w:val="24"/>
          <w:vertAlign w:val="superscript"/>
        </w:rPr>
        <w:instrText xml:space="preserve"> ADDIN EN.CITE &lt;EndNote&gt;&lt;Cite&gt;&lt;Author&gt;Qi&lt;/Author&gt;&lt;Year&gt;2014&lt;/Year&gt;&lt;RecNum&gt;96&lt;/RecNum&gt;&lt;DisplayText&gt;[44]&lt;/DisplayText&gt;&lt;record&gt;&lt;rec-number&gt;96&lt;/rec-number&gt;&lt;foreign-keys&gt;&lt;key app="EN" db-id="fxfxtpd27aprsyez5afxs0rma92xe0ewvtv9" timestamp="0"&gt;96&lt;/key&gt;&lt;/foreign-keys&gt;&lt;ref-type name="Journal Article"&gt;17&lt;/ref-type&gt;&lt;contributors&gt;&lt;authors&gt;&lt;author&gt;Qi, P.&lt;/author&gt;&lt;author&gt;Xu, M. D.&lt;/author&gt;&lt;author&gt;Ni, S. J.&lt;/author&gt;&lt;author&gt;Shen, X. H.&lt;/author&gt;&lt;author&gt;Wei, P.&lt;/author&gt;&lt;author&gt;Huang, D.&lt;/author&gt;&lt;author&gt;Tan, C.&lt;/author&gt;&lt;author&gt;Sheng, W. Q.&lt;/author&gt;&lt;author&gt;Zhou, X. Y.&lt;/author&gt;&lt;author&gt;Du, X.&lt;/author&gt;&lt;/authors&gt;&lt;/contributors&gt;&lt;auth-address&gt;Department of Pathology, Fudan University Shanghai Cancer Center, Shanghai, China; Department of Oncology, Shanghai Medical College, Fudan University, Shanghai, China; Institute of Pathology, Fudan University, Shanghai, China.&lt;/auth-address&gt;&lt;titles&gt;&lt;title&gt;Down-regulation of ncRAN, a long non-coding RNA, contributes to colorectal cancer cell migration and invasion and predicts poor overall survival for colorectal cancer patients&lt;/title&gt;&lt;secondary-title&gt;Mol Carcinog&lt;/secondary-title&gt;&lt;alt-title&gt;Molecular carcinogenesis&lt;/alt-title&gt;&lt;/titles&gt;&lt;dates&gt;&lt;year&gt;2014&lt;/year&gt;&lt;pub-dates&gt;&lt;date&gt;Feb 12&lt;/date&gt;&lt;/pub-dates&gt;&lt;/dates&gt;&lt;isbn&gt;1098-2744 (Electronic)&amp;#xD;0899-1987 (Linking)&lt;/isbn&gt;&lt;accession-num&gt;24519959&lt;/accession-num&gt;&lt;urls&gt;&lt;related-urls&gt;&lt;url&gt;http://www.ncbi.nlm.nih.gov/pubmed/24519959&lt;/url&gt;&lt;/related-urls&gt;&lt;/urls&gt;&lt;electronic-resource-num&gt;10.1002/mc.22137&lt;/electronic-resource-num&gt;&lt;/record&gt;&lt;/Cite&gt;&lt;/EndNote&gt;</w:instrText>
      </w:r>
      <w:r>
        <w:rPr>
          <w:rFonts w:ascii="Times New Roman" w:hAnsi="Times New Roman" w:eastAsia="宋体"/>
          <w:sz w:val="24"/>
          <w:vertAlign w:val="superscript"/>
        </w:rPr>
        <w:fldChar w:fldCharType="separate"/>
      </w:r>
      <w:r>
        <w:rPr>
          <w:rFonts w:ascii="Times New Roman" w:hAnsi="Times New Roman" w:eastAsia="宋体"/>
          <w:sz w:val="24"/>
          <w:vertAlign w:val="superscript"/>
        </w:rPr>
        <w:t>[44]</w:t>
      </w:r>
      <w:r>
        <w:rPr>
          <w:rFonts w:ascii="Times New Roman" w:hAnsi="Times New Roman" w:eastAsia="宋体"/>
          <w:sz w:val="24"/>
          <w:vertAlign w:val="superscript"/>
        </w:rPr>
        <w:fldChar w:fldCharType="end"/>
      </w:r>
      <w:r>
        <w:rPr>
          <w:rFonts w:ascii="Times New Roman" w:hAnsi="Times New Roman" w:eastAsia="宋体"/>
          <w:sz w:val="24"/>
          <w:lang w:val="en-GB"/>
        </w:rPr>
        <w:t xml:space="preserve">. Glyceraldehyde-3-phosphate dehydrogenase (GAPDH) was included as the endogenous control to normalise the data. The primer sequences are listed in </w:t>
      </w:r>
      <w:bookmarkStart w:id="3" w:name="OLE_LINK51"/>
      <w:bookmarkStart w:id="4" w:name="OLE_LINK72"/>
      <w:bookmarkStart w:id="5" w:name="OLE_LINK73"/>
      <w:bookmarkStart w:id="6" w:name="OLE_LINK47"/>
      <w:r>
        <w:rPr>
          <w:rFonts w:ascii="Times New Roman" w:hAnsi="Times New Roman" w:eastAsia="宋体"/>
          <w:sz w:val="24"/>
          <w:lang w:val="en-GB"/>
        </w:rPr>
        <w:t xml:space="preserve">Supplementary </w:t>
      </w:r>
      <w:r>
        <w:rPr>
          <w:rFonts w:ascii="Times New Roman" w:hAnsi="Times New Roman" w:eastAsia="宋体"/>
          <w:b/>
          <w:sz w:val="24"/>
          <w:lang w:val="en-GB"/>
        </w:rPr>
        <w:t>Table S</w:t>
      </w:r>
      <w:bookmarkEnd w:id="3"/>
      <w:bookmarkEnd w:id="4"/>
      <w:bookmarkEnd w:id="5"/>
      <w:bookmarkEnd w:id="6"/>
      <w:r>
        <w:rPr>
          <w:rFonts w:hint="eastAsia" w:ascii="Times New Roman" w:hAnsi="Times New Roman" w:eastAsia="宋体"/>
          <w:b/>
          <w:sz w:val="24"/>
          <w:lang w:val="en-US" w:eastAsia="zh-CN"/>
        </w:rPr>
        <w:t>5</w:t>
      </w:r>
      <w:r>
        <w:rPr>
          <w:rFonts w:ascii="Times New Roman" w:hAnsi="Times New Roman" w:eastAsia="宋体"/>
          <w:sz w:val="24"/>
          <w:lang w:val="en-GB"/>
        </w:rPr>
        <w:t>.</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b/>
          <w:kern w:val="0"/>
          <w:sz w:val="24"/>
        </w:rPr>
      </w:pPr>
      <w:r>
        <w:rPr>
          <w:rFonts w:ascii="Times New Roman" w:hAnsi="Times New Roman" w:eastAsia="宋体"/>
          <w:b/>
          <w:kern w:val="0"/>
          <w:sz w:val="24"/>
        </w:rPr>
        <w:t xml:space="preserve">RNA fractionation and isolation </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b/>
          <w:kern w:val="0"/>
          <w:sz w:val="24"/>
        </w:rPr>
      </w:pPr>
      <w:r>
        <w:rPr>
          <w:rFonts w:ascii="Times New Roman" w:hAnsi="Times New Roman" w:eastAsia="宋体"/>
          <w:b/>
          <w:kern w:val="0"/>
          <w:sz w:val="24"/>
        </w:rPr>
        <w:t xml:space="preserve">    </w:t>
      </w:r>
      <w:r>
        <w:rPr>
          <w:rFonts w:ascii="Times New Roman" w:hAnsi="Times New Roman" w:eastAsia="宋体"/>
          <w:kern w:val="0"/>
          <w:sz w:val="24"/>
        </w:rPr>
        <w:t>The nuclear and cytoplasmic RNAs were extracted and isolated with Protein and RNA isolation systems (PARIS, Ambion, Thermo Fisher, USA) to determine the localizations of BCL6 protein and LINC00152 mRNA. The assays were performed according to the manufacturer’s instructions. Western blotting and RT-qPCR were used to quantify the expressions of BCL6 protein and LINC00152 mRNA.</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b/>
          <w:color w:val="000000"/>
          <w:kern w:val="0"/>
          <w:sz w:val="24"/>
        </w:rPr>
      </w:pPr>
      <w:r>
        <w:rPr>
          <w:rFonts w:ascii="Times New Roman" w:hAnsi="Times New Roman" w:eastAsia="宋体"/>
          <w:b/>
          <w:color w:val="000000"/>
          <w:kern w:val="0"/>
          <w:sz w:val="24"/>
        </w:rPr>
        <w:t>RNA</w:t>
      </w:r>
      <w:r>
        <w:rPr>
          <w:rFonts w:hint="eastAsia" w:ascii="Times New Roman" w:hAnsi="Times New Roman" w:eastAsia="宋体"/>
          <w:b/>
          <w:color w:val="000000"/>
          <w:kern w:val="0"/>
          <w:sz w:val="24"/>
          <w:lang w:val="en-US" w:eastAsia="zh-CN"/>
        </w:rPr>
        <w:t xml:space="preserve"> Binding Protein</w:t>
      </w:r>
      <w:r>
        <w:rPr>
          <w:rFonts w:ascii="Times New Roman" w:hAnsi="Times New Roman" w:eastAsia="宋体"/>
          <w:b/>
          <w:color w:val="000000"/>
          <w:kern w:val="0"/>
          <w:sz w:val="24"/>
        </w:rPr>
        <w:t xml:space="preserve">Immunoprecipitation (RIP) assays </w:t>
      </w:r>
    </w:p>
    <w:p>
      <w:pPr>
        <w:keepNext w:val="0"/>
        <w:keepLines w:val="0"/>
        <w:pageBreakBefore w:val="0"/>
        <w:widowControl/>
        <w:kinsoku/>
        <w:wordWrap/>
        <w:overflowPunct/>
        <w:topLinePunct w:val="0"/>
        <w:autoSpaceDE w:val="0"/>
        <w:autoSpaceDN w:val="0"/>
        <w:bidi w:val="0"/>
        <w:adjustRightInd w:val="0"/>
        <w:snapToGrid/>
        <w:spacing w:after="240" w:line="480" w:lineRule="auto"/>
        <w:textAlignment w:val="auto"/>
        <w:rPr>
          <w:rFonts w:ascii="Times New Roman" w:hAnsi="Times New Roman" w:eastAsia="宋体"/>
          <w:color w:val="000000"/>
          <w:kern w:val="0"/>
          <w:sz w:val="24"/>
        </w:rPr>
      </w:pPr>
      <w:r>
        <w:rPr>
          <w:rFonts w:ascii="Times New Roman" w:hAnsi="Times New Roman" w:eastAsia="宋体"/>
          <w:color w:val="000000"/>
          <w:kern w:val="0"/>
          <w:sz w:val="24"/>
        </w:rPr>
        <w:t xml:space="preserve">The RIP assays were conducted as previously described. </w:t>
      </w:r>
    </w:p>
    <w:p>
      <w:pPr>
        <w:keepNext w:val="0"/>
        <w:keepLines w:val="0"/>
        <w:pageBreakBefore w:val="0"/>
        <w:kinsoku/>
        <w:wordWrap/>
        <w:overflowPunct/>
        <w:topLinePunct w:val="0"/>
        <w:bidi w:val="0"/>
        <w:snapToGrid/>
        <w:spacing w:line="240" w:lineRule="auto"/>
        <w:textAlignment w:val="auto"/>
        <w:rPr>
          <w:rFonts w:ascii="Times New Roman" w:hAnsi="Times New Roman" w:eastAsia="宋体"/>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cs="Times New Roman"/>
          <w:b/>
          <w:bCs w:val="0"/>
          <w:color w:val="auto"/>
          <w:sz w:val="24"/>
          <w:szCs w:val="24"/>
        </w:rPr>
      </w:pPr>
    </w:p>
    <w:p>
      <w:pPr>
        <w:keepNext w:val="0"/>
        <w:keepLines w:val="0"/>
        <w:pageBreakBefore w:val="0"/>
        <w:kinsoku/>
        <w:wordWrap/>
        <w:overflowPunct/>
        <w:topLinePunct w:val="0"/>
        <w:bidi w:val="0"/>
        <w:snapToGrid/>
        <w:spacing w:line="240" w:lineRule="auto"/>
        <w:textAlignment w:val="auto"/>
        <w:rPr>
          <w:rFonts w:ascii="Times New Roman" w:hAnsi="Times New Roman"/>
          <w:b/>
          <w:bCs w:val="0"/>
        </w:rPr>
      </w:pPr>
      <w:r>
        <w:rPr>
          <w:rFonts w:ascii="Times New Roman" w:hAnsi="Times New Roman" w:cs="Times New Roman"/>
          <w:b/>
          <w:bCs w:val="0"/>
          <w:color w:val="auto"/>
          <w:sz w:val="24"/>
          <w:szCs w:val="24"/>
        </w:rPr>
        <w:t xml:space="preserve">Table </w:t>
      </w:r>
      <w:r>
        <w:rPr>
          <w:rFonts w:hint="eastAsia" w:ascii="Times New Roman" w:hAnsi="Times New Roman" w:eastAsia="宋体" w:cs="Times New Roman"/>
          <w:b/>
          <w:bCs w:val="0"/>
          <w:color w:val="auto"/>
          <w:sz w:val="24"/>
          <w:szCs w:val="24"/>
          <w:lang w:val="en-US" w:eastAsia="zh-CN"/>
        </w:rPr>
        <w:t>S1</w:t>
      </w:r>
      <w:r>
        <w:rPr>
          <w:rFonts w:ascii="Times New Roman" w:hAnsi="Times New Roman" w:cs="Times New Roman"/>
          <w:b/>
          <w:bCs w:val="0"/>
          <w:kern w:val="0"/>
          <w:sz w:val="24"/>
          <w:szCs w:val="24"/>
        </w:rPr>
        <w:t xml:space="preserve"> </w:t>
      </w:r>
      <w:r>
        <w:rPr>
          <w:rFonts w:ascii="Times New Roman" w:hAnsi="Times New Roman"/>
          <w:b/>
          <w:bCs w:val="0"/>
          <w:sz w:val="24"/>
        </w:rPr>
        <w:t xml:space="preserve">Univariate and multivariate analysis of clinicopathological factors for </w:t>
      </w:r>
      <w:r>
        <w:rPr>
          <w:rFonts w:ascii="Times New Roman" w:hAnsi="Times New Roman" w:eastAsia="Advp497e4"/>
          <w:b/>
          <w:bCs w:val="0"/>
          <w:sz w:val="24"/>
        </w:rPr>
        <w:t>disease-free survival</w:t>
      </w:r>
      <w:r>
        <w:rPr>
          <w:rFonts w:hint="eastAsia" w:ascii="Times New Roman" w:hAnsi="Times New Roman"/>
          <w:b/>
          <w:bCs w:val="0"/>
          <w:sz w:val="24"/>
        </w:rPr>
        <w:t xml:space="preserve"> in ovarian</w:t>
      </w:r>
      <w:r>
        <w:rPr>
          <w:rFonts w:ascii="Times New Roman" w:hAnsi="Times New Roman"/>
          <w:b/>
          <w:bCs w:val="0"/>
          <w:sz w:val="24"/>
        </w:rPr>
        <w:t xml:space="preserve"> cancer</w:t>
      </w:r>
    </w:p>
    <w:tbl>
      <w:tblPr>
        <w:tblStyle w:val="4"/>
        <w:tblW w:w="0" w:type="auto"/>
        <w:tblInd w:w="0" w:type="dxa"/>
        <w:tblLayout w:type="fixed"/>
        <w:tblCellMar>
          <w:top w:w="0" w:type="dxa"/>
          <w:left w:w="108" w:type="dxa"/>
          <w:bottom w:w="0" w:type="dxa"/>
          <w:right w:w="108" w:type="dxa"/>
        </w:tblCellMar>
      </w:tblPr>
      <w:tblGrid>
        <w:gridCol w:w="1811"/>
        <w:gridCol w:w="2694"/>
        <w:gridCol w:w="991"/>
        <w:gridCol w:w="494"/>
        <w:gridCol w:w="1632"/>
        <w:gridCol w:w="858"/>
        <w:gridCol w:w="36"/>
      </w:tblGrid>
      <w:tr>
        <w:tblPrEx>
          <w:tblCellMar>
            <w:top w:w="0" w:type="dxa"/>
            <w:left w:w="108" w:type="dxa"/>
            <w:bottom w:w="0" w:type="dxa"/>
            <w:right w:w="108" w:type="dxa"/>
          </w:tblCellMar>
        </w:tblPrEx>
        <w:trPr>
          <w:cantSplit/>
          <w:trHeight w:val="300" w:hRule="atLeast"/>
        </w:trPr>
        <w:tc>
          <w:tcPr>
            <w:tcW w:w="1811" w:type="dxa"/>
            <w:vMerge w:val="restart"/>
            <w:tcBorders>
              <w:top w:val="single" w:color="auto" w:sz="4" w:space="0"/>
              <w:left w:val="nil"/>
              <w:bottom w:val="single" w:color="000000" w:sz="4" w:space="0"/>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Variable</w:t>
            </w:r>
          </w:p>
        </w:tc>
        <w:tc>
          <w:tcPr>
            <w:tcW w:w="4179" w:type="dxa"/>
            <w:gridSpan w:val="3"/>
            <w:tcBorders>
              <w:top w:val="single" w:color="auto" w:sz="4" w:space="0"/>
              <w:left w:val="nil"/>
              <w:bottom w:val="single" w:color="auto" w:sz="4" w:space="0"/>
              <w:right w:val="nil"/>
            </w:tcBorders>
            <w:noWrap/>
            <w:vAlign w:val="top"/>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Univariate analysis</w:t>
            </w:r>
          </w:p>
        </w:tc>
        <w:tc>
          <w:tcPr>
            <w:tcW w:w="2526" w:type="dxa"/>
            <w:gridSpan w:val="3"/>
            <w:tcBorders>
              <w:top w:val="single" w:color="auto" w:sz="4" w:space="0"/>
              <w:left w:val="nil"/>
              <w:bottom w:val="single" w:color="auto" w:sz="4" w:space="0"/>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Multivariate  analysis</w:t>
            </w:r>
          </w:p>
        </w:tc>
      </w:tr>
      <w:tr>
        <w:tblPrEx>
          <w:tblCellMar>
            <w:top w:w="0" w:type="dxa"/>
            <w:left w:w="108" w:type="dxa"/>
            <w:bottom w:w="0" w:type="dxa"/>
            <w:right w:w="108" w:type="dxa"/>
          </w:tblCellMar>
        </w:tblPrEx>
        <w:trPr>
          <w:gridAfter w:val="1"/>
          <w:wAfter w:w="21" w:type="pct"/>
          <w:cantSplit/>
          <w:trHeight w:val="300" w:hRule="atLeast"/>
        </w:trPr>
        <w:tc>
          <w:tcPr>
            <w:tcW w:w="1811" w:type="dxa"/>
            <w:vMerge w:val="continue"/>
            <w:tcBorders>
              <w:top w:val="single" w:color="auto" w:sz="4" w:space="0"/>
              <w:left w:val="nil"/>
              <w:bottom w:val="single" w:color="000000" w:sz="4" w:space="0"/>
              <w:right w:val="nil"/>
            </w:tcBorders>
            <w:noWrap w:val="0"/>
            <w:vAlign w:val="top"/>
          </w:tcPr>
          <w:p>
            <w:pPr>
              <w:widowControl/>
              <w:rPr>
                <w:rFonts w:ascii="Times New Roman" w:hAnsi="Times New Roman"/>
                <w:kern w:val="0"/>
                <w:sz w:val="21"/>
                <w:szCs w:val="21"/>
              </w:rPr>
            </w:pPr>
          </w:p>
        </w:tc>
        <w:tc>
          <w:tcPr>
            <w:tcW w:w="2694" w:type="dxa"/>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ascii="Times New Roman" w:hAnsi="Times New Roman"/>
                <w:kern w:val="0"/>
                <w:sz w:val="21"/>
                <w:szCs w:val="21"/>
              </w:rPr>
              <w:t>HR</w:t>
            </w:r>
            <w:r>
              <w:rPr>
                <w:rFonts w:hint="eastAsia" w:ascii="Times New Roman" w:hAnsi="Times New Roman"/>
                <w:kern w:val="0"/>
                <w:sz w:val="21"/>
                <w:szCs w:val="21"/>
              </w:rPr>
              <w:t xml:space="preserve"> </w:t>
            </w:r>
            <w:r>
              <w:rPr>
                <w:rFonts w:ascii="Times New Roman" w:hAnsi="Times New Roman"/>
                <w:kern w:val="0"/>
                <w:sz w:val="21"/>
                <w:szCs w:val="21"/>
              </w:rPr>
              <w:t>(95 % CI)</w:t>
            </w:r>
          </w:p>
        </w:tc>
        <w:tc>
          <w:tcPr>
            <w:tcW w:w="991" w:type="dxa"/>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hint="eastAsia" w:ascii="Times New Roman" w:hAnsi="Times New Roman" w:eastAsia="宋体"/>
                <w:i/>
                <w:iCs w:val="0"/>
                <w:kern w:val="0"/>
                <w:sz w:val="21"/>
                <w:szCs w:val="21"/>
                <w:lang w:val="en-US" w:eastAsia="zh-CN"/>
              </w:rPr>
              <w:t>P</w:t>
            </w:r>
            <w:r>
              <w:rPr>
                <w:rFonts w:hint="eastAsia" w:ascii="Times New Roman" w:hAnsi="Times New Roman"/>
                <w:kern w:val="0"/>
                <w:sz w:val="21"/>
                <w:szCs w:val="21"/>
                <w:vertAlign w:val="superscript"/>
              </w:rPr>
              <w:t>a</w:t>
            </w:r>
          </w:p>
        </w:tc>
        <w:tc>
          <w:tcPr>
            <w:tcW w:w="2126" w:type="dxa"/>
            <w:gridSpan w:val="2"/>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ascii="Times New Roman" w:hAnsi="Times New Roman"/>
                <w:kern w:val="0"/>
                <w:sz w:val="21"/>
                <w:szCs w:val="21"/>
              </w:rPr>
              <w:t>HR</w:t>
            </w:r>
            <w:r>
              <w:rPr>
                <w:rFonts w:hint="eastAsia" w:ascii="Times New Roman" w:hAnsi="Times New Roman"/>
                <w:kern w:val="0"/>
                <w:sz w:val="21"/>
                <w:szCs w:val="21"/>
              </w:rPr>
              <w:t xml:space="preserve"> </w:t>
            </w:r>
            <w:r>
              <w:rPr>
                <w:rFonts w:ascii="Times New Roman" w:hAnsi="Times New Roman"/>
                <w:kern w:val="0"/>
                <w:sz w:val="21"/>
                <w:szCs w:val="21"/>
              </w:rPr>
              <w:t>(95 % CI)</w:t>
            </w:r>
          </w:p>
        </w:tc>
        <w:tc>
          <w:tcPr>
            <w:tcW w:w="858" w:type="dxa"/>
            <w:tcBorders>
              <w:top w:val="nil"/>
              <w:left w:val="nil"/>
              <w:bottom w:val="single" w:color="auto" w:sz="4" w:space="0"/>
              <w:right w:val="nil"/>
            </w:tcBorders>
            <w:noWrap/>
            <w:vAlign w:val="top"/>
          </w:tcPr>
          <w:p>
            <w:pPr>
              <w:widowControl/>
              <w:rPr>
                <w:rFonts w:ascii="Times New Roman" w:hAnsi="Times New Roman"/>
                <w:kern w:val="0"/>
                <w:sz w:val="21"/>
                <w:szCs w:val="21"/>
              </w:rPr>
            </w:pPr>
            <w:r>
              <w:rPr>
                <w:rFonts w:ascii="Times New Roman" w:hAnsi="Times New Roman"/>
                <w:i/>
                <w:iCs w:val="0"/>
                <w:kern w:val="0"/>
                <w:sz w:val="21"/>
                <w:szCs w:val="21"/>
              </w:rPr>
              <w:t>P</w:t>
            </w:r>
            <w:r>
              <w:rPr>
                <w:rFonts w:hint="eastAsia" w:ascii="Times New Roman" w:hAnsi="Times New Roman"/>
                <w:kern w:val="0"/>
                <w:sz w:val="21"/>
                <w:szCs w:val="21"/>
                <w:vertAlign w:val="superscript"/>
              </w:rPr>
              <w:t>a</w:t>
            </w:r>
          </w:p>
        </w:tc>
      </w:tr>
      <w:tr>
        <w:tblPrEx>
          <w:tblCellMar>
            <w:top w:w="0" w:type="dxa"/>
            <w:left w:w="108" w:type="dxa"/>
            <w:bottom w:w="0" w:type="dxa"/>
            <w:right w:w="108" w:type="dxa"/>
          </w:tblCellMar>
        </w:tblPrEx>
        <w:trPr>
          <w:gridAfter w:val="1"/>
          <w:wAfter w:w="21"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 xml:space="preserve">Age </w:t>
            </w:r>
          </w:p>
          <w:p>
            <w:pPr>
              <w:widowControl/>
              <w:rPr>
                <w:rFonts w:ascii="Times New Roman" w:hAnsi="Times New Roman"/>
                <w:kern w:val="0"/>
                <w:sz w:val="21"/>
                <w:szCs w:val="21"/>
              </w:rPr>
            </w:pPr>
            <w:r>
              <w:rPr>
                <w:rFonts w:ascii="Times New Roman" w:hAnsi="Times New Roman"/>
                <w:kern w:val="0"/>
                <w:sz w:val="21"/>
                <w:szCs w:val="21"/>
              </w:rPr>
              <w:t>(&lt;</w:t>
            </w:r>
            <w:r>
              <w:rPr>
                <w:rFonts w:hint="eastAsia" w:ascii="Times New Roman" w:hAnsi="Times New Roman"/>
                <w:kern w:val="0"/>
                <w:sz w:val="21"/>
                <w:szCs w:val="21"/>
              </w:rPr>
              <w:t>5</w:t>
            </w:r>
            <w:r>
              <w:rPr>
                <w:rFonts w:ascii="Times New Roman" w:hAnsi="Times New Roman"/>
                <w:kern w:val="0"/>
                <w:sz w:val="21"/>
                <w:szCs w:val="21"/>
              </w:rPr>
              <w:t>0/≥</w:t>
            </w:r>
            <w:r>
              <w:rPr>
                <w:rFonts w:hint="eastAsia" w:ascii="Times New Roman" w:hAnsi="Times New Roman"/>
                <w:kern w:val="0"/>
                <w:sz w:val="21"/>
                <w:szCs w:val="21"/>
              </w:rPr>
              <w:t>5</w:t>
            </w:r>
            <w:r>
              <w:rPr>
                <w:rFonts w:ascii="Times New Roman" w:hAnsi="Times New Roman"/>
                <w:kern w:val="0"/>
                <w:sz w:val="21"/>
                <w:szCs w:val="21"/>
              </w:rPr>
              <w:t>0)</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1.634 (0.905-2.949)</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w:t>
            </w:r>
            <w:r>
              <w:rPr>
                <w:rFonts w:hint="eastAsia" w:ascii="Times New Roman" w:hAnsi="Times New Roman"/>
                <w:kern w:val="0"/>
                <w:sz w:val="21"/>
                <w:szCs w:val="21"/>
              </w:rPr>
              <w:t>103</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 xml:space="preserve">Tumor size </w:t>
            </w:r>
          </w:p>
          <w:p>
            <w:pPr>
              <w:widowControl/>
              <w:rPr>
                <w:rFonts w:ascii="Times New Roman" w:hAnsi="Times New Roman"/>
                <w:kern w:val="0"/>
                <w:sz w:val="21"/>
                <w:szCs w:val="21"/>
              </w:rPr>
            </w:pPr>
            <w:r>
              <w:rPr>
                <w:rFonts w:ascii="Times New Roman" w:hAnsi="Times New Roman"/>
                <w:kern w:val="0"/>
                <w:sz w:val="21"/>
                <w:szCs w:val="21"/>
              </w:rPr>
              <w:t>(&lt;</w:t>
            </w:r>
            <w:r>
              <w:rPr>
                <w:rFonts w:hint="eastAsia" w:ascii="Times New Roman" w:hAnsi="Times New Roman"/>
                <w:kern w:val="0"/>
                <w:sz w:val="21"/>
                <w:szCs w:val="21"/>
              </w:rPr>
              <w:t>5cm</w:t>
            </w:r>
            <w:r>
              <w:rPr>
                <w:rFonts w:ascii="Times New Roman" w:hAnsi="Times New Roman"/>
                <w:kern w:val="0"/>
                <w:sz w:val="21"/>
                <w:szCs w:val="21"/>
              </w:rPr>
              <w:t>/≥</w:t>
            </w:r>
            <w:r>
              <w:rPr>
                <w:rFonts w:hint="eastAsia" w:ascii="Times New Roman" w:hAnsi="Times New Roman"/>
                <w:kern w:val="0"/>
                <w:sz w:val="21"/>
                <w:szCs w:val="21"/>
              </w:rPr>
              <w:t>5cm</w:t>
            </w:r>
            <w:r>
              <w:rPr>
                <w:rFonts w:ascii="Times New Roman" w:hAnsi="Times New Roman"/>
                <w:kern w:val="0"/>
                <w:sz w:val="21"/>
                <w:szCs w:val="21"/>
              </w:rPr>
              <w:t>)</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1.999 (0.961-4.159)</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w:t>
            </w:r>
            <w:r>
              <w:rPr>
                <w:rFonts w:hint="eastAsia" w:ascii="Times New Roman" w:hAnsi="Times New Roman"/>
                <w:kern w:val="0"/>
                <w:sz w:val="21"/>
                <w:szCs w:val="21"/>
              </w:rPr>
              <w:t>064</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Vascular invasion</w:t>
            </w:r>
          </w:p>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 xml:space="preserve"> </w:t>
            </w:r>
            <w:r>
              <w:rPr>
                <w:rFonts w:hint="eastAsia" w:ascii="Times New Roman" w:hAnsi="Times New Roman"/>
                <w:kern w:val="0"/>
                <w:sz w:val="21"/>
                <w:szCs w:val="21"/>
              </w:rPr>
              <w:t xml:space="preserve"> </w:t>
            </w:r>
            <w:r>
              <w:rPr>
                <w:rFonts w:ascii="Times New Roman" w:hAnsi="Times New Roman"/>
                <w:kern w:val="0"/>
                <w:sz w:val="21"/>
                <w:szCs w:val="21"/>
              </w:rPr>
              <w:t>1.656 (0.859-3.195)</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0.132</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hint="eastAsia" w:ascii="Times New Roman" w:hAnsi="Times New Roman"/>
                <w:kern w:val="0"/>
                <w:sz w:val="21"/>
                <w:szCs w:val="21"/>
              </w:rPr>
              <w:t>The</w:t>
            </w:r>
            <w:r>
              <w:rPr>
                <w:rFonts w:ascii="Times New Roman" w:hAnsi="Times New Roman"/>
                <w:kern w:val="0"/>
                <w:sz w:val="21"/>
                <w:szCs w:val="21"/>
              </w:rPr>
              <w:t xml:space="preserve"> greater omentu</w:t>
            </w:r>
            <w:r>
              <w:rPr>
                <w:rFonts w:hint="eastAsia" w:ascii="Times New Roman" w:hAnsi="Times New Roman"/>
                <w:kern w:val="0"/>
                <w:sz w:val="21"/>
                <w:szCs w:val="21"/>
              </w:rPr>
              <w:t>m</w:t>
            </w:r>
            <w:r>
              <w:rPr>
                <w:rFonts w:ascii="Times New Roman" w:hAnsi="Times New Roman"/>
                <w:kern w:val="0"/>
                <w:sz w:val="21"/>
                <w:szCs w:val="21"/>
              </w:rPr>
              <w:t xml:space="preserve"> invasion</w:t>
            </w:r>
          </w:p>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 xml:space="preserve"> 1.304 (0.700-2.429)</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w:t>
            </w:r>
            <w:r>
              <w:rPr>
                <w:rFonts w:hint="eastAsia" w:ascii="Times New Roman" w:hAnsi="Times New Roman"/>
                <w:kern w:val="0"/>
                <w:sz w:val="21"/>
                <w:szCs w:val="21"/>
              </w:rPr>
              <w:t>403</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00" w:hRule="atLeast"/>
        </w:trPr>
        <w:tc>
          <w:tcPr>
            <w:tcW w:w="1811" w:type="dxa"/>
            <w:tcBorders>
              <w:top w:val="nil"/>
              <w:left w:val="nil"/>
              <w:bottom w:val="nil"/>
              <w:right w:val="nil"/>
            </w:tcBorders>
            <w:noWrap/>
            <w:vAlign w:val="top"/>
          </w:tcPr>
          <w:p>
            <w:pPr>
              <w:widowControl/>
              <w:rPr>
                <w:rFonts w:hint="eastAsia" w:ascii="Times New Roman" w:hAnsi="Times New Roman"/>
                <w:kern w:val="0"/>
                <w:sz w:val="21"/>
                <w:szCs w:val="21"/>
              </w:rPr>
            </w:pPr>
            <w:r>
              <w:rPr>
                <w:rFonts w:hint="eastAsia" w:ascii="Times New Roman" w:hAnsi="Times New Roman"/>
                <w:kern w:val="0"/>
                <w:sz w:val="21"/>
                <w:szCs w:val="21"/>
              </w:rPr>
              <w:t>Lymph node metastasis</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4.743 (1.991-11.299)</w:t>
            </w:r>
          </w:p>
        </w:tc>
        <w:tc>
          <w:tcPr>
            <w:tcW w:w="991" w:type="dxa"/>
            <w:tcBorders>
              <w:top w:val="nil"/>
              <w:left w:val="nil"/>
              <w:bottom w:val="nil"/>
              <w:right w:val="nil"/>
            </w:tcBorders>
            <w:noWrap/>
            <w:vAlign w:val="bottom"/>
          </w:tcPr>
          <w:p>
            <w:pPr>
              <w:widowControl/>
              <w:rPr>
                <w:rFonts w:hint="eastAsia" w:ascii="Times New Roman" w:hAnsi="Times New Roman"/>
                <w:kern w:val="0"/>
                <w:sz w:val="21"/>
                <w:szCs w:val="21"/>
              </w:rPr>
            </w:pPr>
            <w:r>
              <w:rPr>
                <w:rFonts w:hint="eastAsia" w:ascii="Times New Roman" w:hAnsi="Times New Roman"/>
                <w:kern w:val="0"/>
                <w:sz w:val="21"/>
                <w:szCs w:val="21"/>
              </w:rPr>
              <w:t xml:space="preserve"> 0.000*</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0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p>
        </w:tc>
        <w:tc>
          <w:tcPr>
            <w:tcW w:w="991" w:type="dxa"/>
            <w:tcBorders>
              <w:top w:val="nil"/>
              <w:left w:val="nil"/>
              <w:bottom w:val="nil"/>
              <w:right w:val="nil"/>
            </w:tcBorders>
            <w:noWrap/>
            <w:vAlign w:val="bottom"/>
          </w:tcPr>
          <w:p>
            <w:pPr>
              <w:widowControl/>
              <w:rPr>
                <w:rFonts w:hint="eastAsia" w:ascii="Times New Roman" w:hAnsi="Times New Roman"/>
                <w:kern w:val="0"/>
                <w:sz w:val="21"/>
                <w:szCs w:val="21"/>
              </w:rPr>
            </w:pP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1" w:type="pct"/>
          <w:trHeight w:val="30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FIGO stage</w:t>
            </w:r>
          </w:p>
          <w:p>
            <w:pPr>
              <w:widowControl/>
              <w:rPr>
                <w:rFonts w:ascii="Times New Roman" w:hAnsi="Times New Roman"/>
                <w:kern w:val="0"/>
                <w:sz w:val="21"/>
                <w:szCs w:val="21"/>
              </w:rPr>
            </w:pPr>
            <w:r>
              <w:rPr>
                <w:rFonts w:ascii="Times New Roman" w:hAnsi="Times New Roman"/>
                <w:kern w:val="0"/>
                <w:sz w:val="21"/>
                <w:szCs w:val="21"/>
              </w:rPr>
              <w:t>(III+IV/I+II)</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4.169 (1.644-10.569)</w:t>
            </w:r>
          </w:p>
        </w:tc>
        <w:tc>
          <w:tcPr>
            <w:tcW w:w="991"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0.00</w:t>
            </w:r>
            <w:r>
              <w:rPr>
                <w:rFonts w:hint="eastAsia" w:ascii="Times New Roman" w:hAnsi="Times New Roman"/>
                <w:kern w:val="0"/>
                <w:sz w:val="21"/>
                <w:szCs w:val="21"/>
              </w:rPr>
              <w:t>3</w:t>
            </w:r>
            <w:r>
              <w:rPr>
                <w:rFonts w:ascii="Times New Roman" w:hAnsi="Times New Roman"/>
                <w:kern w:val="0"/>
                <w:sz w:val="21"/>
                <w:szCs w:val="21"/>
              </w:rPr>
              <w:t>*</w:t>
            </w:r>
          </w:p>
        </w:tc>
        <w:tc>
          <w:tcPr>
            <w:tcW w:w="2126" w:type="dxa"/>
            <w:gridSpan w:val="2"/>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4.042</w:t>
            </w:r>
            <w:r>
              <w:rPr>
                <w:rFonts w:ascii="Times New Roman" w:hAnsi="Times New Roman"/>
                <w:kern w:val="0"/>
                <w:sz w:val="21"/>
                <w:szCs w:val="21"/>
              </w:rPr>
              <w:t xml:space="preserve"> (1.183-13.812)</w:t>
            </w:r>
          </w:p>
        </w:tc>
        <w:tc>
          <w:tcPr>
            <w:tcW w:w="858"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w:t>
            </w:r>
            <w:r>
              <w:rPr>
                <w:rFonts w:hint="eastAsia" w:ascii="Times New Roman" w:hAnsi="Times New Roman"/>
                <w:kern w:val="0"/>
                <w:sz w:val="21"/>
                <w:szCs w:val="21"/>
              </w:rPr>
              <w:t>26</w:t>
            </w:r>
            <w:r>
              <w:rPr>
                <w:rFonts w:ascii="Times New Roman" w:hAnsi="Times New Roman"/>
                <w:kern w:val="0"/>
                <w:sz w:val="21"/>
                <w:szCs w:val="21"/>
              </w:rPr>
              <w:t>*</w:t>
            </w:r>
          </w:p>
        </w:tc>
      </w:tr>
      <w:tr>
        <w:tblPrEx>
          <w:tblCellMar>
            <w:top w:w="0" w:type="dxa"/>
            <w:left w:w="108" w:type="dxa"/>
            <w:bottom w:w="0" w:type="dxa"/>
            <w:right w:w="108" w:type="dxa"/>
          </w:tblCellMar>
        </w:tblPrEx>
        <w:trPr>
          <w:gridAfter w:val="1"/>
          <w:wAfter w:w="21" w:type="pct"/>
          <w:trHeight w:val="300" w:hRule="atLeast"/>
        </w:trPr>
        <w:tc>
          <w:tcPr>
            <w:tcW w:w="1811" w:type="dxa"/>
            <w:tcBorders>
              <w:top w:val="nil"/>
              <w:left w:val="nil"/>
              <w:bottom w:val="single" w:color="auto" w:sz="4" w:space="0"/>
              <w:right w:val="nil"/>
            </w:tcBorders>
            <w:noWrap/>
            <w:vAlign w:val="top"/>
          </w:tcPr>
          <w:p>
            <w:pPr>
              <w:widowControl/>
              <w:rPr>
                <w:rFonts w:ascii="Times New Roman" w:hAnsi="Times New Roman"/>
                <w:i w:val="0"/>
                <w:iCs/>
                <w:kern w:val="0"/>
                <w:sz w:val="21"/>
                <w:szCs w:val="21"/>
              </w:rPr>
            </w:pPr>
            <w:r>
              <w:rPr>
                <w:rFonts w:ascii="Times New Roman" w:hAnsi="Times New Roman"/>
                <w:i w:val="0"/>
                <w:iCs/>
                <w:kern w:val="0"/>
                <w:sz w:val="21"/>
                <w:szCs w:val="21"/>
              </w:rPr>
              <w:t>LINC00152</w:t>
            </w:r>
          </w:p>
          <w:p>
            <w:pPr>
              <w:widowControl/>
              <w:rPr>
                <w:rFonts w:ascii="Times New Roman" w:hAnsi="Times New Roman"/>
                <w:kern w:val="0"/>
                <w:sz w:val="21"/>
                <w:szCs w:val="21"/>
              </w:rPr>
            </w:pPr>
            <w:r>
              <w:rPr>
                <w:rFonts w:ascii="Times New Roman" w:hAnsi="Times New Roman"/>
                <w:kern w:val="0"/>
                <w:sz w:val="21"/>
                <w:szCs w:val="21"/>
              </w:rPr>
              <w:t>(High /Low)</w:t>
            </w:r>
          </w:p>
        </w:tc>
        <w:tc>
          <w:tcPr>
            <w:tcW w:w="2694"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2.378 (1.277-4.426)</w:t>
            </w:r>
          </w:p>
        </w:tc>
        <w:tc>
          <w:tcPr>
            <w:tcW w:w="991"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w:t>
            </w:r>
            <w:r>
              <w:rPr>
                <w:rFonts w:hint="eastAsia" w:ascii="Times New Roman" w:hAnsi="Times New Roman"/>
                <w:kern w:val="0"/>
                <w:sz w:val="21"/>
                <w:szCs w:val="21"/>
              </w:rPr>
              <w:t>04</w:t>
            </w:r>
            <w:r>
              <w:rPr>
                <w:rFonts w:ascii="Times New Roman" w:hAnsi="Times New Roman"/>
                <w:kern w:val="0"/>
                <w:sz w:val="21"/>
                <w:szCs w:val="21"/>
              </w:rPr>
              <w:t>*</w:t>
            </w:r>
          </w:p>
        </w:tc>
        <w:tc>
          <w:tcPr>
            <w:tcW w:w="2126" w:type="dxa"/>
            <w:gridSpan w:val="2"/>
            <w:tcBorders>
              <w:top w:val="nil"/>
              <w:left w:val="nil"/>
              <w:bottom w:val="single" w:color="auto" w:sz="4" w:space="0"/>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5.196 (1.188-22.727)</w:t>
            </w:r>
          </w:p>
        </w:tc>
        <w:tc>
          <w:tcPr>
            <w:tcW w:w="858"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w:t>
            </w:r>
            <w:r>
              <w:rPr>
                <w:rFonts w:hint="eastAsia" w:ascii="Times New Roman" w:hAnsi="Times New Roman"/>
                <w:kern w:val="0"/>
                <w:sz w:val="21"/>
                <w:szCs w:val="21"/>
              </w:rPr>
              <w:t>29</w:t>
            </w:r>
            <w:r>
              <w:rPr>
                <w:rFonts w:ascii="Times New Roman" w:hAnsi="Times New Roman"/>
                <w:kern w:val="0"/>
                <w:sz w:val="21"/>
                <w:szCs w:val="21"/>
              </w:rPr>
              <w:t>*</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r>
        <w:rPr>
          <w:rFonts w:ascii="Times New Roman" w:hAnsi="Times New Roman"/>
          <w:sz w:val="20"/>
        </w:rPr>
        <w:t xml:space="preserve">HR </w:t>
      </w:r>
      <w:r>
        <w:rPr>
          <w:rFonts w:ascii="Times New Roman" w:hAnsi="Times New Roman"/>
          <w:kern w:val="0"/>
          <w:sz w:val="20"/>
        </w:rPr>
        <w:t>Hazard ratio,</w:t>
      </w:r>
      <w:r>
        <w:rPr>
          <w:rFonts w:ascii="Times New Roman" w:hAnsi="Times New Roman"/>
          <w:sz w:val="20"/>
        </w:rPr>
        <w:t xml:space="preserve"> </w:t>
      </w:r>
      <w:r>
        <w:rPr>
          <w:rFonts w:hint="eastAsia" w:ascii="Times New Roman" w:hAnsi="Times New Roman"/>
          <w:sz w:val="20"/>
        </w:rPr>
        <w:t xml:space="preserve">95% </w:t>
      </w:r>
      <w:r>
        <w:rPr>
          <w:rFonts w:ascii="Times New Roman" w:hAnsi="Times New Roman"/>
          <w:sz w:val="20"/>
        </w:rPr>
        <w:t xml:space="preserve">CI confidence interval,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r>
        <w:rPr>
          <w:rFonts w:ascii="Times New Roman" w:hAnsi="Times New Roman"/>
          <w:sz w:val="20"/>
          <w:vertAlign w:val="superscript"/>
        </w:rPr>
        <w:t>a</w:t>
      </w:r>
      <w:r>
        <w:rPr>
          <w:rFonts w:hint="eastAsia" w:ascii="Times New Roman" w:hAnsi="Times New Roman"/>
          <w:sz w:val="20"/>
        </w:rPr>
        <w:t xml:space="preserve"> </w:t>
      </w:r>
      <w:r>
        <w:rPr>
          <w:rFonts w:ascii="Times New Roman" w:hAnsi="Times New Roman"/>
          <w:sz w:val="20"/>
        </w:rPr>
        <w:t xml:space="preserve">All statistical tests were 2-sided. Significance level: </w:t>
      </w:r>
      <w:r>
        <w:rPr>
          <w:rFonts w:ascii="Times New Roman" w:hAnsi="Times New Roman"/>
          <w:i/>
          <w:iCs/>
          <w:sz w:val="20"/>
        </w:rPr>
        <w:t>P</w:t>
      </w:r>
      <w:r>
        <w:rPr>
          <w:rFonts w:ascii="Times New Roman" w:hAnsi="Times New Roman"/>
          <w:sz w:val="20"/>
        </w:rPr>
        <w:t>&lt;0.05.</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p>
    <w:p>
      <w:pPr>
        <w:keepNext w:val="0"/>
        <w:keepLines w:val="0"/>
        <w:pageBreakBefore w:val="0"/>
        <w:widowControl/>
        <w:tabs>
          <w:tab w:val="left" w:pos="20"/>
          <w:tab w:val="left" w:pos="38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kinsoku/>
        <w:wordWrap/>
        <w:overflowPunct/>
        <w:topLinePunct w:val="0"/>
        <w:autoSpaceDE/>
        <w:autoSpaceDN/>
        <w:bidi w:val="0"/>
        <w:adjustRightInd/>
        <w:snapToGrid/>
        <w:spacing w:line="480" w:lineRule="auto"/>
        <w:textAlignment w:val="auto"/>
        <w:rPr>
          <w:rFonts w:ascii="Times New Roman" w:hAnsi="Times New Roman"/>
          <w:b/>
          <w:bCs w:val="0"/>
        </w:rPr>
      </w:pPr>
      <w:r>
        <w:rPr>
          <w:rFonts w:ascii="Times New Roman" w:hAnsi="Times New Roman" w:cs="Times New Roman"/>
          <w:b/>
          <w:bCs w:val="0"/>
          <w:color w:val="auto"/>
          <w:sz w:val="24"/>
          <w:szCs w:val="24"/>
        </w:rPr>
        <w:t xml:space="preserve">Table </w:t>
      </w:r>
      <w:r>
        <w:rPr>
          <w:rFonts w:hint="eastAsia" w:ascii="Times New Roman" w:hAnsi="Times New Roman" w:eastAsia="宋体" w:cs="Times New Roman"/>
          <w:b/>
          <w:bCs w:val="0"/>
          <w:color w:val="auto"/>
          <w:sz w:val="24"/>
          <w:szCs w:val="24"/>
          <w:lang w:val="en-US" w:eastAsia="zh-CN"/>
        </w:rPr>
        <w:t>S2</w:t>
      </w:r>
      <w:r>
        <w:rPr>
          <w:rFonts w:ascii="Times New Roman" w:hAnsi="Times New Roman" w:cs="Times New Roman"/>
          <w:b/>
          <w:bCs w:val="0"/>
          <w:kern w:val="0"/>
          <w:sz w:val="24"/>
          <w:szCs w:val="24"/>
        </w:rPr>
        <w:t xml:space="preserve"> </w:t>
      </w:r>
      <w:r>
        <w:rPr>
          <w:rFonts w:ascii="Times New Roman" w:hAnsi="Times New Roman"/>
          <w:b/>
          <w:bCs w:val="0"/>
          <w:sz w:val="24"/>
        </w:rPr>
        <w:t xml:space="preserve">Univariate and multivariate analysis of clinicopathological factors for </w:t>
      </w:r>
      <w:r>
        <w:rPr>
          <w:rFonts w:ascii="Times New Roman" w:hAnsi="Times New Roman" w:eastAsia="Advp497e4"/>
          <w:b/>
          <w:bCs w:val="0"/>
          <w:sz w:val="24"/>
        </w:rPr>
        <w:t>disease-</w:t>
      </w:r>
      <w:r>
        <w:rPr>
          <w:rFonts w:hint="eastAsia" w:ascii="Times New Roman" w:hAnsi="Times New Roman" w:eastAsia="Advp497e4"/>
          <w:b/>
          <w:bCs w:val="0"/>
          <w:sz w:val="24"/>
        </w:rPr>
        <w:t>specific</w:t>
      </w:r>
      <w:r>
        <w:rPr>
          <w:rFonts w:ascii="Times New Roman" w:hAnsi="Times New Roman" w:eastAsia="Advp497e4"/>
          <w:b/>
          <w:bCs w:val="0"/>
          <w:sz w:val="24"/>
        </w:rPr>
        <w:t xml:space="preserve"> survival</w:t>
      </w:r>
      <w:r>
        <w:rPr>
          <w:rFonts w:hint="eastAsia" w:ascii="Times New Roman" w:hAnsi="Times New Roman"/>
          <w:b/>
          <w:bCs w:val="0"/>
          <w:sz w:val="24"/>
        </w:rPr>
        <w:t xml:space="preserve"> in ovarian</w:t>
      </w:r>
      <w:r>
        <w:rPr>
          <w:rFonts w:ascii="Times New Roman" w:hAnsi="Times New Roman"/>
          <w:b/>
          <w:bCs w:val="0"/>
          <w:sz w:val="24"/>
        </w:rPr>
        <w:t xml:space="preserve"> cancer</w:t>
      </w:r>
    </w:p>
    <w:tbl>
      <w:tblPr>
        <w:tblStyle w:val="4"/>
        <w:tblW w:w="0" w:type="auto"/>
        <w:tblInd w:w="0" w:type="dxa"/>
        <w:tblLayout w:type="fixed"/>
        <w:tblCellMar>
          <w:top w:w="0" w:type="dxa"/>
          <w:left w:w="108" w:type="dxa"/>
          <w:bottom w:w="0" w:type="dxa"/>
          <w:right w:w="108" w:type="dxa"/>
        </w:tblCellMar>
      </w:tblPr>
      <w:tblGrid>
        <w:gridCol w:w="1811"/>
        <w:gridCol w:w="2694"/>
        <w:gridCol w:w="991"/>
        <w:gridCol w:w="494"/>
        <w:gridCol w:w="1632"/>
        <w:gridCol w:w="850"/>
        <w:gridCol w:w="44"/>
      </w:tblGrid>
      <w:tr>
        <w:tblPrEx>
          <w:tblCellMar>
            <w:top w:w="0" w:type="dxa"/>
            <w:left w:w="108" w:type="dxa"/>
            <w:bottom w:w="0" w:type="dxa"/>
            <w:right w:w="108" w:type="dxa"/>
          </w:tblCellMar>
        </w:tblPrEx>
        <w:trPr>
          <w:cantSplit/>
          <w:trHeight w:val="300" w:hRule="atLeast"/>
        </w:trPr>
        <w:tc>
          <w:tcPr>
            <w:tcW w:w="1811" w:type="dxa"/>
            <w:vMerge w:val="restart"/>
            <w:tcBorders>
              <w:top w:val="single" w:color="auto" w:sz="4" w:space="0"/>
              <w:left w:val="nil"/>
              <w:bottom w:val="single" w:color="000000" w:sz="4" w:space="0"/>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Variable</w:t>
            </w:r>
          </w:p>
        </w:tc>
        <w:tc>
          <w:tcPr>
            <w:tcW w:w="4179" w:type="dxa"/>
            <w:gridSpan w:val="3"/>
            <w:tcBorders>
              <w:top w:val="single" w:color="auto" w:sz="4" w:space="0"/>
              <w:left w:val="nil"/>
              <w:bottom w:val="single" w:color="auto" w:sz="4" w:space="0"/>
              <w:right w:val="nil"/>
            </w:tcBorders>
            <w:noWrap/>
            <w:vAlign w:val="top"/>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Univariate analysis</w:t>
            </w:r>
          </w:p>
        </w:tc>
        <w:tc>
          <w:tcPr>
            <w:tcW w:w="2526" w:type="dxa"/>
            <w:gridSpan w:val="3"/>
            <w:tcBorders>
              <w:top w:val="single" w:color="auto" w:sz="4" w:space="0"/>
              <w:left w:val="nil"/>
              <w:bottom w:val="single" w:color="auto" w:sz="4" w:space="0"/>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Multivariate  analysis</w:t>
            </w:r>
          </w:p>
        </w:tc>
      </w:tr>
      <w:tr>
        <w:tblPrEx>
          <w:tblCellMar>
            <w:top w:w="0" w:type="dxa"/>
            <w:left w:w="108" w:type="dxa"/>
            <w:bottom w:w="0" w:type="dxa"/>
            <w:right w:w="108" w:type="dxa"/>
          </w:tblCellMar>
        </w:tblPrEx>
        <w:trPr>
          <w:gridAfter w:val="1"/>
          <w:wAfter w:w="26" w:type="pct"/>
          <w:cantSplit/>
          <w:trHeight w:val="300" w:hRule="atLeast"/>
        </w:trPr>
        <w:tc>
          <w:tcPr>
            <w:tcW w:w="1811" w:type="dxa"/>
            <w:vMerge w:val="continue"/>
            <w:tcBorders>
              <w:top w:val="single" w:color="auto" w:sz="4" w:space="0"/>
              <w:left w:val="nil"/>
              <w:bottom w:val="single" w:color="000000" w:sz="4" w:space="0"/>
              <w:right w:val="nil"/>
            </w:tcBorders>
            <w:noWrap w:val="0"/>
            <w:vAlign w:val="top"/>
          </w:tcPr>
          <w:p>
            <w:pPr>
              <w:widowControl/>
              <w:rPr>
                <w:rFonts w:ascii="Times New Roman" w:hAnsi="Times New Roman"/>
                <w:kern w:val="0"/>
                <w:sz w:val="21"/>
                <w:szCs w:val="21"/>
              </w:rPr>
            </w:pPr>
          </w:p>
        </w:tc>
        <w:tc>
          <w:tcPr>
            <w:tcW w:w="2694" w:type="dxa"/>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ascii="Times New Roman" w:hAnsi="Times New Roman"/>
                <w:kern w:val="0"/>
                <w:sz w:val="21"/>
                <w:szCs w:val="21"/>
              </w:rPr>
              <w:t>HR</w:t>
            </w:r>
            <w:r>
              <w:rPr>
                <w:rFonts w:hint="eastAsia" w:ascii="Times New Roman" w:hAnsi="Times New Roman"/>
                <w:kern w:val="0"/>
                <w:sz w:val="21"/>
                <w:szCs w:val="21"/>
              </w:rPr>
              <w:t xml:space="preserve"> </w:t>
            </w:r>
            <w:r>
              <w:rPr>
                <w:rFonts w:ascii="Times New Roman" w:hAnsi="Times New Roman"/>
                <w:kern w:val="0"/>
                <w:sz w:val="21"/>
                <w:szCs w:val="21"/>
              </w:rPr>
              <w:t>(95 % CI)</w:t>
            </w:r>
          </w:p>
        </w:tc>
        <w:tc>
          <w:tcPr>
            <w:tcW w:w="991" w:type="dxa"/>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hint="eastAsia" w:ascii="Times New Roman" w:hAnsi="Times New Roman" w:eastAsia="宋体"/>
                <w:i/>
                <w:iCs w:val="0"/>
                <w:kern w:val="0"/>
                <w:sz w:val="21"/>
                <w:szCs w:val="21"/>
                <w:lang w:val="en-US" w:eastAsia="zh-CN"/>
              </w:rPr>
              <w:t>P</w:t>
            </w:r>
            <w:r>
              <w:rPr>
                <w:rFonts w:hint="eastAsia" w:ascii="Times New Roman" w:hAnsi="Times New Roman"/>
                <w:kern w:val="0"/>
                <w:sz w:val="21"/>
                <w:szCs w:val="21"/>
                <w:vertAlign w:val="superscript"/>
              </w:rPr>
              <w:t>a</w:t>
            </w:r>
          </w:p>
        </w:tc>
        <w:tc>
          <w:tcPr>
            <w:tcW w:w="2126" w:type="dxa"/>
            <w:gridSpan w:val="2"/>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ascii="Times New Roman" w:hAnsi="Times New Roman"/>
                <w:kern w:val="0"/>
                <w:sz w:val="21"/>
                <w:szCs w:val="21"/>
              </w:rPr>
              <w:t>HR</w:t>
            </w:r>
            <w:r>
              <w:rPr>
                <w:rFonts w:hint="eastAsia" w:ascii="Times New Roman" w:hAnsi="Times New Roman"/>
                <w:kern w:val="0"/>
                <w:sz w:val="21"/>
                <w:szCs w:val="21"/>
              </w:rPr>
              <w:t xml:space="preserve"> </w:t>
            </w:r>
            <w:r>
              <w:rPr>
                <w:rFonts w:ascii="Times New Roman" w:hAnsi="Times New Roman"/>
                <w:kern w:val="0"/>
                <w:sz w:val="21"/>
                <w:szCs w:val="21"/>
              </w:rPr>
              <w:t>(95 % CI)</w:t>
            </w:r>
          </w:p>
        </w:tc>
        <w:tc>
          <w:tcPr>
            <w:tcW w:w="850" w:type="dxa"/>
            <w:tcBorders>
              <w:top w:val="nil"/>
              <w:left w:val="nil"/>
              <w:bottom w:val="single" w:color="auto" w:sz="4" w:space="0"/>
              <w:right w:val="nil"/>
            </w:tcBorders>
            <w:noWrap/>
            <w:vAlign w:val="top"/>
          </w:tcPr>
          <w:p>
            <w:pPr>
              <w:widowControl/>
              <w:jc w:val="center"/>
              <w:rPr>
                <w:rFonts w:ascii="Times New Roman" w:hAnsi="Times New Roman"/>
                <w:kern w:val="0"/>
                <w:sz w:val="21"/>
                <w:szCs w:val="21"/>
              </w:rPr>
            </w:pPr>
            <w:r>
              <w:rPr>
                <w:rFonts w:ascii="Times New Roman" w:hAnsi="Times New Roman"/>
                <w:i/>
                <w:iCs w:val="0"/>
                <w:kern w:val="0"/>
                <w:sz w:val="21"/>
                <w:szCs w:val="21"/>
              </w:rPr>
              <w:t>P</w:t>
            </w:r>
            <w:r>
              <w:rPr>
                <w:rFonts w:hint="eastAsia" w:ascii="Times New Roman" w:hAnsi="Times New Roman"/>
                <w:kern w:val="0"/>
                <w:sz w:val="21"/>
                <w:szCs w:val="21"/>
                <w:vertAlign w:val="superscript"/>
              </w:rPr>
              <w:t>a</w:t>
            </w:r>
          </w:p>
        </w:tc>
      </w:tr>
      <w:tr>
        <w:tblPrEx>
          <w:tblCellMar>
            <w:top w:w="0" w:type="dxa"/>
            <w:left w:w="108" w:type="dxa"/>
            <w:bottom w:w="0" w:type="dxa"/>
            <w:right w:w="108" w:type="dxa"/>
          </w:tblCellMar>
        </w:tblPrEx>
        <w:trPr>
          <w:gridAfter w:val="1"/>
          <w:wAfter w:w="26"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 xml:space="preserve">Age </w:t>
            </w:r>
          </w:p>
          <w:p>
            <w:pPr>
              <w:widowControl/>
              <w:rPr>
                <w:rFonts w:ascii="Times New Roman" w:hAnsi="Times New Roman"/>
                <w:kern w:val="0"/>
                <w:sz w:val="21"/>
                <w:szCs w:val="21"/>
              </w:rPr>
            </w:pPr>
            <w:r>
              <w:rPr>
                <w:rFonts w:ascii="Times New Roman" w:hAnsi="Times New Roman"/>
                <w:kern w:val="0"/>
                <w:sz w:val="21"/>
                <w:szCs w:val="21"/>
              </w:rPr>
              <w:t>(&lt;</w:t>
            </w:r>
            <w:r>
              <w:rPr>
                <w:rFonts w:hint="eastAsia" w:ascii="Times New Roman" w:hAnsi="Times New Roman"/>
                <w:kern w:val="0"/>
                <w:sz w:val="21"/>
                <w:szCs w:val="21"/>
              </w:rPr>
              <w:t>5</w:t>
            </w:r>
            <w:r>
              <w:rPr>
                <w:rFonts w:ascii="Times New Roman" w:hAnsi="Times New Roman"/>
                <w:kern w:val="0"/>
                <w:sz w:val="21"/>
                <w:szCs w:val="21"/>
              </w:rPr>
              <w:t>0/≥</w:t>
            </w:r>
            <w:r>
              <w:rPr>
                <w:rFonts w:hint="eastAsia" w:ascii="Times New Roman" w:hAnsi="Times New Roman"/>
                <w:kern w:val="0"/>
                <w:sz w:val="21"/>
                <w:szCs w:val="21"/>
              </w:rPr>
              <w:t>5</w:t>
            </w:r>
            <w:r>
              <w:rPr>
                <w:rFonts w:ascii="Times New Roman" w:hAnsi="Times New Roman"/>
                <w:kern w:val="0"/>
                <w:sz w:val="21"/>
                <w:szCs w:val="21"/>
              </w:rPr>
              <w:t>0)</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1.510 (0.742-3.073)</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0.256</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 xml:space="preserve">Tumor size </w:t>
            </w:r>
          </w:p>
          <w:p>
            <w:pPr>
              <w:widowControl/>
              <w:rPr>
                <w:rFonts w:ascii="Times New Roman" w:hAnsi="Times New Roman"/>
                <w:kern w:val="0"/>
                <w:sz w:val="21"/>
                <w:szCs w:val="21"/>
              </w:rPr>
            </w:pPr>
            <w:r>
              <w:rPr>
                <w:rFonts w:ascii="Times New Roman" w:hAnsi="Times New Roman"/>
                <w:kern w:val="0"/>
                <w:sz w:val="21"/>
                <w:szCs w:val="21"/>
              </w:rPr>
              <w:t>(&lt;</w:t>
            </w:r>
            <w:r>
              <w:rPr>
                <w:rFonts w:hint="eastAsia" w:ascii="Times New Roman" w:hAnsi="Times New Roman"/>
                <w:kern w:val="0"/>
                <w:sz w:val="21"/>
                <w:szCs w:val="21"/>
              </w:rPr>
              <w:t>5cm</w:t>
            </w:r>
            <w:r>
              <w:rPr>
                <w:rFonts w:ascii="Times New Roman" w:hAnsi="Times New Roman"/>
                <w:kern w:val="0"/>
                <w:sz w:val="21"/>
                <w:szCs w:val="21"/>
              </w:rPr>
              <w:t>/≥</w:t>
            </w:r>
            <w:r>
              <w:rPr>
                <w:rFonts w:hint="eastAsia" w:ascii="Times New Roman" w:hAnsi="Times New Roman"/>
                <w:kern w:val="0"/>
                <w:sz w:val="21"/>
                <w:szCs w:val="21"/>
              </w:rPr>
              <w:t>5cm</w:t>
            </w:r>
            <w:r>
              <w:rPr>
                <w:rFonts w:ascii="Times New Roman" w:hAnsi="Times New Roman"/>
                <w:kern w:val="0"/>
                <w:sz w:val="21"/>
                <w:szCs w:val="21"/>
              </w:rPr>
              <w:t>)</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2.156 (0.824-5.641)</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w:t>
            </w:r>
            <w:r>
              <w:rPr>
                <w:rFonts w:hint="eastAsia" w:ascii="Times New Roman" w:hAnsi="Times New Roman"/>
                <w:kern w:val="0"/>
                <w:sz w:val="21"/>
                <w:szCs w:val="21"/>
              </w:rPr>
              <w:t>117</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Vascular invasion</w:t>
            </w:r>
          </w:p>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 xml:space="preserve"> </w:t>
            </w:r>
            <w:r>
              <w:rPr>
                <w:rFonts w:hint="eastAsia" w:ascii="Times New Roman" w:hAnsi="Times New Roman"/>
                <w:kern w:val="0"/>
                <w:sz w:val="21"/>
                <w:szCs w:val="21"/>
              </w:rPr>
              <w:t xml:space="preserve"> </w:t>
            </w:r>
            <w:r>
              <w:rPr>
                <w:rFonts w:ascii="Times New Roman" w:hAnsi="Times New Roman"/>
                <w:kern w:val="0"/>
                <w:sz w:val="21"/>
                <w:szCs w:val="21"/>
              </w:rPr>
              <w:t>1.927 (0.889-4.178)</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0.097</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33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hint="eastAsia" w:ascii="Times New Roman" w:hAnsi="Times New Roman"/>
                <w:kern w:val="0"/>
                <w:sz w:val="21"/>
                <w:szCs w:val="21"/>
              </w:rPr>
              <w:t>The</w:t>
            </w:r>
            <w:r>
              <w:rPr>
                <w:rFonts w:ascii="Times New Roman" w:hAnsi="Times New Roman"/>
                <w:kern w:val="0"/>
                <w:sz w:val="21"/>
                <w:szCs w:val="21"/>
              </w:rPr>
              <w:t xml:space="preserve"> greater omentu</w:t>
            </w:r>
            <w:r>
              <w:rPr>
                <w:rFonts w:hint="eastAsia" w:ascii="Times New Roman" w:hAnsi="Times New Roman"/>
                <w:kern w:val="0"/>
                <w:sz w:val="21"/>
                <w:szCs w:val="21"/>
              </w:rPr>
              <w:t>m</w:t>
            </w:r>
            <w:r>
              <w:rPr>
                <w:rFonts w:ascii="Times New Roman" w:hAnsi="Times New Roman"/>
                <w:kern w:val="0"/>
                <w:sz w:val="21"/>
                <w:szCs w:val="21"/>
              </w:rPr>
              <w:t xml:space="preserve"> invasion</w:t>
            </w:r>
          </w:p>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 xml:space="preserve"> 1.030 (0.494-2.145)</w:t>
            </w:r>
          </w:p>
        </w:tc>
        <w:tc>
          <w:tcPr>
            <w:tcW w:w="991" w:type="dxa"/>
            <w:tcBorders>
              <w:top w:val="nil"/>
              <w:left w:val="nil"/>
              <w:bottom w:val="nil"/>
              <w:right w:val="nil"/>
            </w:tcBorders>
            <w:noWrap/>
            <w:vAlign w:val="bottom"/>
          </w:tcPr>
          <w:p>
            <w:pPr>
              <w:widowControl/>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0.</w:t>
            </w:r>
            <w:r>
              <w:rPr>
                <w:rFonts w:hint="eastAsia" w:ascii="Times New Roman" w:hAnsi="Times New Roman"/>
                <w:kern w:val="0"/>
                <w:sz w:val="21"/>
                <w:szCs w:val="21"/>
              </w:rPr>
              <w:t>938</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726" w:hRule="atLeast"/>
        </w:trPr>
        <w:tc>
          <w:tcPr>
            <w:tcW w:w="1811" w:type="dxa"/>
            <w:tcBorders>
              <w:top w:val="nil"/>
              <w:left w:val="nil"/>
              <w:bottom w:val="nil"/>
              <w:right w:val="nil"/>
            </w:tcBorders>
            <w:noWrap/>
            <w:vAlign w:val="top"/>
          </w:tcPr>
          <w:p>
            <w:pPr>
              <w:widowControl/>
              <w:rPr>
                <w:rFonts w:hint="eastAsia" w:ascii="Times New Roman" w:hAnsi="Times New Roman"/>
                <w:kern w:val="0"/>
                <w:sz w:val="21"/>
                <w:szCs w:val="21"/>
              </w:rPr>
            </w:pPr>
            <w:r>
              <w:rPr>
                <w:rFonts w:hint="eastAsia" w:ascii="Times New Roman" w:hAnsi="Times New Roman"/>
                <w:kern w:val="0"/>
                <w:sz w:val="21"/>
                <w:szCs w:val="21"/>
              </w:rPr>
              <w:t>Lymph node metastasis</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4.026 (1.691-9.588)</w:t>
            </w:r>
          </w:p>
        </w:tc>
        <w:tc>
          <w:tcPr>
            <w:tcW w:w="991" w:type="dxa"/>
            <w:tcBorders>
              <w:top w:val="nil"/>
              <w:left w:val="nil"/>
              <w:bottom w:val="nil"/>
              <w:right w:val="nil"/>
            </w:tcBorders>
            <w:noWrap/>
            <w:vAlign w:val="bottom"/>
          </w:tcPr>
          <w:p>
            <w:pPr>
              <w:widowControl/>
              <w:rPr>
                <w:rFonts w:hint="eastAsia" w:ascii="Times New Roman" w:hAnsi="Times New Roman"/>
                <w:kern w:val="0"/>
                <w:sz w:val="21"/>
                <w:szCs w:val="21"/>
              </w:rPr>
            </w:pPr>
            <w:r>
              <w:rPr>
                <w:rFonts w:hint="eastAsia" w:ascii="Times New Roman" w:hAnsi="Times New Roman"/>
                <w:kern w:val="0"/>
                <w:sz w:val="21"/>
                <w:szCs w:val="21"/>
              </w:rPr>
              <w:t xml:space="preserve"> 0.001*</w:t>
            </w: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30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(Present/Absent)</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p>
        </w:tc>
        <w:tc>
          <w:tcPr>
            <w:tcW w:w="991" w:type="dxa"/>
            <w:tcBorders>
              <w:top w:val="nil"/>
              <w:left w:val="nil"/>
              <w:bottom w:val="nil"/>
              <w:right w:val="nil"/>
            </w:tcBorders>
            <w:noWrap/>
            <w:vAlign w:val="bottom"/>
          </w:tcPr>
          <w:p>
            <w:pPr>
              <w:widowControl/>
              <w:rPr>
                <w:rFonts w:hint="eastAsia" w:ascii="Times New Roman" w:hAnsi="Times New Roman"/>
                <w:kern w:val="0"/>
                <w:sz w:val="21"/>
                <w:szCs w:val="21"/>
              </w:rPr>
            </w:pPr>
          </w:p>
        </w:tc>
        <w:tc>
          <w:tcPr>
            <w:tcW w:w="2126" w:type="dxa"/>
            <w:gridSpan w:val="2"/>
            <w:tcBorders>
              <w:top w:val="nil"/>
              <w:left w:val="nil"/>
              <w:bottom w:val="nil"/>
              <w:right w:val="nil"/>
            </w:tcBorders>
            <w:noWrap/>
            <w:vAlign w:val="bottom"/>
          </w:tcPr>
          <w:p>
            <w:pPr>
              <w:widowControl/>
              <w:jc w:val="center"/>
              <w:rPr>
                <w:rFonts w:ascii="Times New Roman" w:hAnsi="Times New Roman"/>
                <w:kern w:val="0"/>
                <w:sz w:val="21"/>
                <w:szCs w:val="21"/>
              </w:rPr>
            </w:pP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p>
        </w:tc>
      </w:tr>
      <w:tr>
        <w:tblPrEx>
          <w:tblCellMar>
            <w:top w:w="0" w:type="dxa"/>
            <w:left w:w="108" w:type="dxa"/>
            <w:bottom w:w="0" w:type="dxa"/>
            <w:right w:w="108" w:type="dxa"/>
          </w:tblCellMar>
        </w:tblPrEx>
        <w:trPr>
          <w:gridAfter w:val="1"/>
          <w:wAfter w:w="26" w:type="pct"/>
          <w:trHeight w:val="300" w:hRule="atLeast"/>
        </w:trPr>
        <w:tc>
          <w:tcPr>
            <w:tcW w:w="1811" w:type="dxa"/>
            <w:tcBorders>
              <w:top w:val="nil"/>
              <w:left w:val="nil"/>
              <w:bottom w:val="nil"/>
              <w:right w:val="nil"/>
            </w:tcBorders>
            <w:noWrap/>
            <w:vAlign w:val="top"/>
          </w:tcPr>
          <w:p>
            <w:pPr>
              <w:widowControl/>
              <w:rPr>
                <w:rFonts w:ascii="Times New Roman" w:hAnsi="Times New Roman"/>
                <w:kern w:val="0"/>
                <w:sz w:val="21"/>
                <w:szCs w:val="21"/>
              </w:rPr>
            </w:pPr>
            <w:r>
              <w:rPr>
                <w:rFonts w:ascii="Times New Roman" w:hAnsi="Times New Roman"/>
                <w:kern w:val="0"/>
                <w:sz w:val="21"/>
                <w:szCs w:val="21"/>
              </w:rPr>
              <w:t>FIGO stage</w:t>
            </w:r>
          </w:p>
          <w:p>
            <w:pPr>
              <w:widowControl/>
              <w:rPr>
                <w:rFonts w:ascii="Times New Roman" w:hAnsi="Times New Roman"/>
                <w:kern w:val="0"/>
                <w:sz w:val="21"/>
                <w:szCs w:val="21"/>
              </w:rPr>
            </w:pPr>
            <w:r>
              <w:rPr>
                <w:rFonts w:ascii="Times New Roman" w:hAnsi="Times New Roman"/>
                <w:kern w:val="0"/>
                <w:sz w:val="21"/>
                <w:szCs w:val="21"/>
              </w:rPr>
              <w:t>(III+IV/I+II)</w:t>
            </w:r>
          </w:p>
        </w:tc>
        <w:tc>
          <w:tcPr>
            <w:tcW w:w="2694"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hint="eastAsia" w:ascii="Times New Roman" w:hAnsi="Times New Roman"/>
                <w:kern w:val="0"/>
                <w:sz w:val="21"/>
                <w:szCs w:val="21"/>
              </w:rPr>
              <w:t xml:space="preserve"> </w:t>
            </w:r>
            <w:r>
              <w:rPr>
                <w:rFonts w:ascii="Times New Roman" w:hAnsi="Times New Roman"/>
                <w:kern w:val="0"/>
                <w:sz w:val="21"/>
                <w:szCs w:val="21"/>
              </w:rPr>
              <w:t>1.884 (1.148-3.091)</w:t>
            </w:r>
          </w:p>
        </w:tc>
        <w:tc>
          <w:tcPr>
            <w:tcW w:w="991"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0.005*</w:t>
            </w:r>
          </w:p>
        </w:tc>
        <w:tc>
          <w:tcPr>
            <w:tcW w:w="2126" w:type="dxa"/>
            <w:gridSpan w:val="2"/>
            <w:tcBorders>
              <w:top w:val="nil"/>
              <w:left w:val="nil"/>
              <w:bottom w:val="nil"/>
              <w:right w:val="nil"/>
            </w:tcBorders>
            <w:noWrap/>
            <w:vAlign w:val="bottom"/>
          </w:tcPr>
          <w:p>
            <w:pPr>
              <w:widowControl/>
              <w:rPr>
                <w:rFonts w:ascii="Times New Roman" w:hAnsi="Times New Roman"/>
                <w:kern w:val="0"/>
                <w:sz w:val="21"/>
                <w:szCs w:val="21"/>
              </w:rPr>
            </w:pPr>
            <w:r>
              <w:rPr>
                <w:rFonts w:ascii="Times New Roman" w:hAnsi="Times New Roman"/>
                <w:kern w:val="0"/>
                <w:sz w:val="21"/>
                <w:szCs w:val="21"/>
              </w:rPr>
              <w:t>1.854 (1.120-3.069)</w:t>
            </w:r>
          </w:p>
        </w:tc>
        <w:tc>
          <w:tcPr>
            <w:tcW w:w="850" w:type="dxa"/>
            <w:tcBorders>
              <w:top w:val="nil"/>
              <w:left w:val="nil"/>
              <w:bottom w:val="nil"/>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w:t>
            </w:r>
            <w:r>
              <w:rPr>
                <w:rFonts w:hint="eastAsia" w:ascii="Times New Roman" w:hAnsi="Times New Roman"/>
                <w:kern w:val="0"/>
                <w:sz w:val="21"/>
                <w:szCs w:val="21"/>
              </w:rPr>
              <w:t>48</w:t>
            </w:r>
            <w:r>
              <w:rPr>
                <w:rFonts w:ascii="Times New Roman" w:hAnsi="Times New Roman"/>
                <w:kern w:val="0"/>
                <w:sz w:val="21"/>
                <w:szCs w:val="21"/>
              </w:rPr>
              <w:t>*</w:t>
            </w:r>
          </w:p>
        </w:tc>
      </w:tr>
      <w:tr>
        <w:tblPrEx>
          <w:tblCellMar>
            <w:top w:w="0" w:type="dxa"/>
            <w:left w:w="108" w:type="dxa"/>
            <w:bottom w:w="0" w:type="dxa"/>
            <w:right w:w="108" w:type="dxa"/>
          </w:tblCellMar>
        </w:tblPrEx>
        <w:trPr>
          <w:gridAfter w:val="1"/>
          <w:wAfter w:w="26" w:type="pct"/>
          <w:trHeight w:val="587" w:hRule="atLeast"/>
        </w:trPr>
        <w:tc>
          <w:tcPr>
            <w:tcW w:w="1811" w:type="dxa"/>
            <w:tcBorders>
              <w:top w:val="nil"/>
              <w:left w:val="nil"/>
              <w:bottom w:val="single" w:color="auto" w:sz="4" w:space="0"/>
              <w:right w:val="nil"/>
            </w:tcBorders>
            <w:noWrap/>
            <w:vAlign w:val="top"/>
          </w:tcPr>
          <w:p>
            <w:pPr>
              <w:widowControl/>
              <w:rPr>
                <w:rFonts w:ascii="Times New Roman" w:hAnsi="Times New Roman"/>
                <w:i/>
                <w:kern w:val="0"/>
                <w:sz w:val="21"/>
                <w:szCs w:val="21"/>
              </w:rPr>
            </w:pPr>
            <w:r>
              <w:rPr>
                <w:rFonts w:ascii="Times New Roman" w:hAnsi="Times New Roman"/>
                <w:i/>
                <w:kern w:val="0"/>
                <w:sz w:val="21"/>
                <w:szCs w:val="21"/>
              </w:rPr>
              <w:t>LINC00152</w:t>
            </w:r>
          </w:p>
          <w:p>
            <w:pPr>
              <w:widowControl/>
              <w:rPr>
                <w:rFonts w:ascii="Times New Roman" w:hAnsi="Times New Roman"/>
                <w:kern w:val="0"/>
                <w:sz w:val="21"/>
                <w:szCs w:val="21"/>
              </w:rPr>
            </w:pPr>
            <w:r>
              <w:rPr>
                <w:rFonts w:ascii="Times New Roman" w:hAnsi="Times New Roman"/>
                <w:kern w:val="0"/>
                <w:sz w:val="21"/>
                <w:szCs w:val="21"/>
              </w:rPr>
              <w:t>(High /Low)</w:t>
            </w:r>
          </w:p>
        </w:tc>
        <w:tc>
          <w:tcPr>
            <w:tcW w:w="2694"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3.108(1.448-6.671)</w:t>
            </w:r>
          </w:p>
        </w:tc>
        <w:tc>
          <w:tcPr>
            <w:tcW w:w="991"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w:t>
            </w:r>
            <w:r>
              <w:rPr>
                <w:rFonts w:hint="eastAsia" w:ascii="Times New Roman" w:hAnsi="Times New Roman"/>
                <w:kern w:val="0"/>
                <w:sz w:val="21"/>
                <w:szCs w:val="21"/>
              </w:rPr>
              <w:t>02</w:t>
            </w:r>
            <w:r>
              <w:rPr>
                <w:rFonts w:ascii="Times New Roman" w:hAnsi="Times New Roman"/>
                <w:kern w:val="0"/>
                <w:sz w:val="21"/>
                <w:szCs w:val="21"/>
              </w:rPr>
              <w:t>*</w:t>
            </w:r>
          </w:p>
        </w:tc>
        <w:tc>
          <w:tcPr>
            <w:tcW w:w="2126" w:type="dxa"/>
            <w:gridSpan w:val="2"/>
            <w:tcBorders>
              <w:top w:val="nil"/>
              <w:left w:val="nil"/>
              <w:bottom w:val="single" w:color="auto" w:sz="4" w:space="0"/>
              <w:right w:val="nil"/>
            </w:tcBorders>
            <w:noWrap/>
            <w:vAlign w:val="bottom"/>
          </w:tcPr>
          <w:p>
            <w:pPr>
              <w:widowControl/>
              <w:rPr>
                <w:rFonts w:ascii="Times New Roman" w:hAnsi="Times New Roman"/>
                <w:kern w:val="0"/>
                <w:sz w:val="21"/>
                <w:szCs w:val="21"/>
              </w:rPr>
            </w:pPr>
            <w:r>
              <w:rPr>
                <w:rFonts w:ascii="Times New Roman" w:hAnsi="Times New Roman"/>
                <w:kern w:val="0"/>
                <w:sz w:val="21"/>
                <w:szCs w:val="21"/>
              </w:rPr>
              <w:t>4.544(1.034-19.969)</w:t>
            </w:r>
          </w:p>
        </w:tc>
        <w:tc>
          <w:tcPr>
            <w:tcW w:w="850" w:type="dxa"/>
            <w:tcBorders>
              <w:top w:val="nil"/>
              <w:left w:val="nil"/>
              <w:bottom w:val="single" w:color="auto" w:sz="4" w:space="0"/>
              <w:right w:val="nil"/>
            </w:tcBorders>
            <w:noWrap/>
            <w:vAlign w:val="bottom"/>
          </w:tcPr>
          <w:p>
            <w:pPr>
              <w:widowControl/>
              <w:jc w:val="center"/>
              <w:rPr>
                <w:rFonts w:ascii="Times New Roman" w:hAnsi="Times New Roman"/>
                <w:kern w:val="0"/>
                <w:sz w:val="21"/>
                <w:szCs w:val="21"/>
              </w:rPr>
            </w:pPr>
            <w:r>
              <w:rPr>
                <w:rFonts w:ascii="Times New Roman" w:hAnsi="Times New Roman"/>
                <w:kern w:val="0"/>
                <w:sz w:val="21"/>
                <w:szCs w:val="21"/>
              </w:rPr>
              <w:t>0.040*</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r>
        <w:rPr>
          <w:rFonts w:ascii="Times New Roman" w:hAnsi="Times New Roman"/>
          <w:sz w:val="20"/>
        </w:rPr>
        <w:t xml:space="preserve">HR </w:t>
      </w:r>
      <w:r>
        <w:rPr>
          <w:rFonts w:ascii="Times New Roman" w:hAnsi="Times New Roman"/>
          <w:kern w:val="0"/>
          <w:sz w:val="20"/>
        </w:rPr>
        <w:t>Hazard ratio,</w:t>
      </w:r>
      <w:r>
        <w:rPr>
          <w:rFonts w:ascii="Times New Roman" w:hAnsi="Times New Roman"/>
          <w:sz w:val="20"/>
        </w:rPr>
        <w:t xml:space="preserve"> CI confidence interval</w:t>
      </w:r>
      <w:r>
        <w:rPr>
          <w:rFonts w:hint="eastAsia" w:ascii="Times New Roman" w:hAnsi="Times New Roman" w:eastAsia="宋体"/>
          <w:sz w:val="20"/>
          <w:lang w:val="en-US" w:eastAsia="zh-CN"/>
        </w:rPr>
        <w:t>.</w:t>
      </w:r>
      <w:r>
        <w:rPr>
          <w:rFonts w:ascii="Times New Roman" w:hAnsi="Times New Roman"/>
          <w:sz w:val="20"/>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sz w:val="20"/>
        </w:rPr>
      </w:pPr>
      <w:r>
        <w:rPr>
          <w:rFonts w:ascii="Times New Roman" w:hAnsi="Times New Roman"/>
          <w:sz w:val="20"/>
          <w:vertAlign w:val="superscript"/>
        </w:rPr>
        <w:t>a</w:t>
      </w:r>
      <w:r>
        <w:rPr>
          <w:rFonts w:hint="eastAsia" w:ascii="Times New Roman" w:hAnsi="Times New Roman"/>
          <w:sz w:val="20"/>
        </w:rPr>
        <w:t xml:space="preserve"> </w:t>
      </w:r>
      <w:r>
        <w:rPr>
          <w:rFonts w:ascii="Times New Roman" w:hAnsi="Times New Roman"/>
          <w:sz w:val="20"/>
        </w:rPr>
        <w:t xml:space="preserve">All statistical tests were 2-sided. Significance level: </w:t>
      </w:r>
      <w:r>
        <w:rPr>
          <w:rFonts w:ascii="Times New Roman" w:hAnsi="Times New Roman"/>
          <w:i/>
          <w:iCs/>
          <w:sz w:val="20"/>
        </w:rPr>
        <w:t>P</w:t>
      </w:r>
      <w:r>
        <w:rPr>
          <w:rFonts w:ascii="Times New Roman" w:hAnsi="Times New Roman"/>
          <w:sz w:val="20"/>
        </w:rPr>
        <w:t>&lt;0.05.</w:t>
      </w:r>
    </w:p>
    <w:p/>
    <w:p/>
    <w:p/>
    <w:p/>
    <w:p/>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rPr>
      </w:pPr>
      <w:r>
        <w:rPr>
          <w:rFonts w:ascii="Times New Roman" w:hAnsi="Times New Roman"/>
          <w:b/>
        </w:rPr>
        <w:t>Table S</w:t>
      </w:r>
      <w:r>
        <w:rPr>
          <w:rFonts w:hint="eastAsia" w:ascii="Times New Roman" w:hAnsi="Times New Roman"/>
          <w:b/>
          <w:lang w:val="en-US" w:eastAsia="zh-CN"/>
        </w:rPr>
        <w:t>3</w:t>
      </w:r>
      <w:r>
        <w:rPr>
          <w:rFonts w:ascii="Times New Roman" w:hAnsi="Times New Roman"/>
          <w:b/>
        </w:rPr>
        <w:t xml:space="preserve">. Mass spectrometry of the proteins pulled down by </w:t>
      </w:r>
      <w:r>
        <w:rPr>
          <w:rFonts w:ascii="Times New Roman" w:hAnsi="Times New Roman"/>
          <w:b/>
          <w:i w:val="0"/>
          <w:iCs/>
        </w:rPr>
        <w:t>LINC00152</w:t>
      </w:r>
      <w:r>
        <w:rPr>
          <w:rFonts w:ascii="Times New Roman" w:hAnsi="Times New Roman"/>
          <w:b/>
        </w:rPr>
        <w:t xml:space="preserve"> in CAOV3 cells</w:t>
      </w:r>
    </w:p>
    <w:tbl>
      <w:tblPr>
        <w:tblStyle w:val="4"/>
        <w:tblW w:w="8300"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47"/>
        <w:gridCol w:w="2749"/>
        <w:gridCol w:w="2804"/>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2747" w:type="dxa"/>
            <w:tcBorders>
              <w:top w:val="single" w:color="auto" w:sz="4" w:space="0"/>
              <w:bottom w:val="single" w:color="auto" w:sz="4" w:space="0"/>
            </w:tcBorders>
            <w:shd w:val="clear" w:color="auto" w:fill="auto"/>
            <w:noWrap/>
          </w:tcPr>
          <w:p>
            <w:pPr>
              <w:widowControl/>
              <w:rPr>
                <w:rFonts w:ascii="Times New Roman" w:hAnsi="Times New Roman"/>
                <w:sz w:val="20"/>
                <w:szCs w:val="20"/>
              </w:rPr>
            </w:pPr>
            <w:r>
              <w:rPr>
                <w:rFonts w:ascii="Times New Roman" w:hAnsi="Times New Roman"/>
                <w:sz w:val="20"/>
                <w:szCs w:val="20"/>
              </w:rPr>
              <w:t>Number</w:t>
            </w:r>
          </w:p>
        </w:tc>
        <w:tc>
          <w:tcPr>
            <w:tcW w:w="2749" w:type="dxa"/>
            <w:tcBorders>
              <w:top w:val="single" w:color="auto" w:sz="4" w:space="0"/>
              <w:bottom w:val="single" w:color="auto" w:sz="4" w:space="0"/>
            </w:tcBorders>
            <w:shd w:val="clear" w:color="auto" w:fill="auto"/>
          </w:tcPr>
          <w:p>
            <w:pPr>
              <w:widowControl/>
              <w:rPr>
                <w:rFonts w:ascii="Times New Roman" w:hAnsi="Times New Roman"/>
                <w:sz w:val="20"/>
                <w:szCs w:val="20"/>
              </w:rPr>
            </w:pPr>
            <w:r>
              <w:rPr>
                <w:rFonts w:ascii="Times New Roman" w:hAnsi="Times New Roman"/>
                <w:sz w:val="20"/>
                <w:szCs w:val="20"/>
              </w:rPr>
              <w:t>Protein name</w:t>
            </w:r>
          </w:p>
        </w:tc>
        <w:tc>
          <w:tcPr>
            <w:tcW w:w="2804" w:type="dxa"/>
            <w:tcBorders>
              <w:top w:val="single" w:color="auto" w:sz="4" w:space="0"/>
              <w:bottom w:val="single" w:color="auto" w:sz="4" w:space="0"/>
            </w:tcBorders>
            <w:shd w:val="clear" w:color="auto" w:fill="auto"/>
          </w:tcPr>
          <w:p>
            <w:pPr>
              <w:widowControl/>
              <w:rPr>
                <w:rFonts w:ascii="Times New Roman" w:hAnsi="Times New Roman"/>
                <w:sz w:val="20"/>
                <w:szCs w:val="20"/>
              </w:rPr>
            </w:pPr>
            <w:r>
              <w:rPr>
                <w:rFonts w:ascii="Times New Roman" w:hAnsi="Times New Roman"/>
                <w:sz w:val="20"/>
                <w:szCs w:val="20"/>
              </w:rPr>
              <w:t>CoverPercent</w:t>
            </w:r>
          </w:p>
          <w:p>
            <w:pPr>
              <w:widowControl/>
              <w:rPr>
                <w:rFonts w:ascii="Times New Roman" w:hAnsi="Times New Roman"/>
                <w:sz w:val="20"/>
                <w:szCs w:val="20"/>
              </w:rPr>
            </w:pPr>
            <w:r>
              <w:rPr>
                <w:rFonts w:ascii="Times New Roman" w:hAnsi="Times New Roman"/>
                <w:sz w:val="20"/>
                <w:szCs w:val="20"/>
              </w:rPr>
              <w:t>Diff  (MH+)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2747" w:type="dxa"/>
            <w:tcBorders>
              <w:top w:val="single" w:color="auto" w:sz="4" w:space="0"/>
            </w:tcBorders>
            <w:shd w:val="clear" w:color="auto" w:fill="auto"/>
            <w:noWrap/>
          </w:tcPr>
          <w:p>
            <w:pPr>
              <w:widowControl/>
              <w:rPr>
                <w:rFonts w:ascii="Times New Roman" w:hAnsi="Times New Roman"/>
                <w:sz w:val="20"/>
                <w:szCs w:val="20"/>
              </w:rPr>
            </w:pPr>
            <w:r>
              <w:rPr>
                <w:rFonts w:ascii="Times New Roman" w:hAnsi="Times New Roman"/>
                <w:sz w:val="20"/>
                <w:szCs w:val="20"/>
              </w:rPr>
              <w:t>1</w:t>
            </w:r>
          </w:p>
        </w:tc>
        <w:tc>
          <w:tcPr>
            <w:tcW w:w="2749" w:type="dxa"/>
            <w:tcBorders>
              <w:top w:val="single" w:color="auto" w:sz="4" w:space="0"/>
            </w:tcBorders>
            <w:shd w:val="clear" w:color="auto" w:fill="auto"/>
          </w:tcPr>
          <w:p>
            <w:pPr>
              <w:widowControl/>
              <w:rPr>
                <w:rFonts w:ascii="Times New Roman" w:hAnsi="Times New Roman"/>
                <w:sz w:val="20"/>
                <w:szCs w:val="20"/>
              </w:rPr>
            </w:pPr>
            <w:r>
              <w:rPr>
                <w:rFonts w:ascii="Times New Roman" w:hAnsi="Times New Roman"/>
                <w:sz w:val="20"/>
                <w:szCs w:val="20"/>
              </w:rPr>
              <w:t>BCL6</w:t>
            </w:r>
          </w:p>
        </w:tc>
        <w:tc>
          <w:tcPr>
            <w:tcW w:w="2804" w:type="dxa"/>
            <w:tcBorders>
              <w:top w:val="single" w:color="auto" w:sz="4" w:space="0"/>
            </w:tcBorders>
            <w:shd w:val="clear" w:color="auto" w:fill="auto"/>
          </w:tcPr>
          <w:p>
            <w:pPr>
              <w:widowControl/>
              <w:rPr>
                <w:rFonts w:ascii="Times New Roman" w:hAnsi="Times New Roman"/>
                <w:sz w:val="20"/>
                <w:szCs w:val="20"/>
              </w:rPr>
            </w:pPr>
            <w:r>
              <w:rPr>
                <w:rFonts w:hint="eastAsia" w:ascii="Times New Roman" w:hAnsi="Times New Roman"/>
                <w:sz w:val="20"/>
                <w:szCs w:val="20"/>
              </w:rPr>
              <w:t>39.83</w:t>
            </w:r>
            <w:r>
              <w:rPr>
                <w:rFonts w:ascii="Times New Roman" w:hAnsi="Times New Roman"/>
                <w:sz w:val="20"/>
                <w:szCs w:val="20"/>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2</w:t>
            </w:r>
          </w:p>
        </w:tc>
        <w:tc>
          <w:tcPr>
            <w:tcW w:w="2749" w:type="dxa"/>
            <w:shd w:val="clear" w:color="auto" w:fill="auto"/>
          </w:tcPr>
          <w:p>
            <w:pPr>
              <w:widowControl/>
              <w:rPr>
                <w:rFonts w:ascii="Times New Roman" w:hAnsi="Times New Roman"/>
                <w:sz w:val="20"/>
                <w:szCs w:val="20"/>
              </w:rPr>
            </w:pPr>
            <w:r>
              <w:rPr>
                <w:rFonts w:hint="eastAsia" w:ascii="Times New Roman" w:hAnsi="Times New Roman"/>
                <w:sz w:val="20"/>
                <w:szCs w:val="20"/>
              </w:rPr>
              <w:t>R</w:t>
            </w:r>
            <w:r>
              <w:rPr>
                <w:rFonts w:ascii="Times New Roman" w:hAnsi="Times New Roman"/>
                <w:sz w:val="20"/>
                <w:szCs w:val="20"/>
              </w:rPr>
              <w:t>CC2</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24.88%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3</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EEF2</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23.08%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4</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HSPA1L</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20.99%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5</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DSG1</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24.34%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6</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HRNR</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14.39%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7</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DHX9</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7.09%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8</w:t>
            </w:r>
          </w:p>
        </w:tc>
        <w:tc>
          <w:tcPr>
            <w:tcW w:w="2749" w:type="dxa"/>
            <w:shd w:val="clear" w:color="auto" w:fill="auto"/>
          </w:tcPr>
          <w:p>
            <w:pPr>
              <w:widowControl/>
              <w:rPr>
                <w:rFonts w:ascii="Times New Roman" w:hAnsi="Times New Roman"/>
                <w:sz w:val="20"/>
                <w:szCs w:val="20"/>
              </w:rPr>
            </w:pPr>
            <w:r>
              <w:rPr>
                <w:rFonts w:ascii="Times New Roman" w:hAnsi="Times New Roman"/>
                <w:sz w:val="20"/>
                <w:szCs w:val="20"/>
              </w:rPr>
              <w:t>FASN</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5.73%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 w:hRule="atLeast"/>
        </w:trPr>
        <w:tc>
          <w:tcPr>
            <w:tcW w:w="2747" w:type="dxa"/>
            <w:shd w:val="clear" w:color="auto" w:fill="auto"/>
            <w:noWrap/>
          </w:tcPr>
          <w:p>
            <w:pPr>
              <w:widowControl/>
              <w:rPr>
                <w:rFonts w:ascii="Times New Roman" w:hAnsi="Times New Roman"/>
                <w:sz w:val="20"/>
                <w:szCs w:val="20"/>
              </w:rPr>
            </w:pPr>
            <w:r>
              <w:rPr>
                <w:rFonts w:ascii="Times New Roman" w:hAnsi="Times New Roman"/>
                <w:sz w:val="20"/>
                <w:szCs w:val="20"/>
              </w:rPr>
              <w:t>9</w:t>
            </w:r>
          </w:p>
        </w:tc>
        <w:tc>
          <w:tcPr>
            <w:tcW w:w="2749" w:type="dxa"/>
            <w:shd w:val="clear" w:color="auto" w:fill="auto"/>
          </w:tcPr>
          <w:p>
            <w:pPr>
              <w:widowControl/>
              <w:rPr>
                <w:rFonts w:ascii="Times New Roman" w:hAnsi="Times New Roman"/>
                <w:sz w:val="20"/>
                <w:szCs w:val="20"/>
              </w:rPr>
            </w:pPr>
            <w:r>
              <w:rPr>
                <w:rFonts w:hint="eastAsia" w:ascii="Times New Roman" w:hAnsi="Times New Roman"/>
                <w:sz w:val="20"/>
                <w:szCs w:val="20"/>
              </w:rPr>
              <w:t>EIF4G</w:t>
            </w:r>
            <w:r>
              <w:rPr>
                <w:rFonts w:ascii="Times New Roman" w:hAnsi="Times New Roman"/>
                <w:sz w:val="20"/>
                <w:szCs w:val="20"/>
              </w:rPr>
              <w:t>1</w:t>
            </w:r>
          </w:p>
        </w:tc>
        <w:tc>
          <w:tcPr>
            <w:tcW w:w="2804" w:type="dxa"/>
            <w:shd w:val="clear" w:color="auto" w:fill="auto"/>
          </w:tcPr>
          <w:p>
            <w:pPr>
              <w:widowControl/>
              <w:rPr>
                <w:rFonts w:ascii="Times New Roman" w:hAnsi="Times New Roman"/>
                <w:sz w:val="20"/>
                <w:szCs w:val="20"/>
              </w:rPr>
            </w:pPr>
            <w:r>
              <w:rPr>
                <w:rFonts w:ascii="Times New Roman" w:hAnsi="Times New Roman"/>
                <w:sz w:val="20"/>
                <w:szCs w:val="20"/>
              </w:rPr>
              <w:t>2.04%</w:t>
            </w:r>
          </w:p>
        </w:tc>
      </w:tr>
    </w:tbl>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rPr>
      </w:pPr>
      <w:r>
        <w:rPr>
          <w:rFonts w:ascii="Times New Roman" w:hAnsi="Times New Roman"/>
          <w:b/>
        </w:rPr>
        <w:t>Table S</w:t>
      </w:r>
      <w:r>
        <w:rPr>
          <w:rFonts w:hint="eastAsia" w:ascii="Times New Roman" w:hAnsi="Times New Roman"/>
          <w:b/>
          <w:lang w:val="en-US" w:eastAsia="zh-CN"/>
        </w:rPr>
        <w:t>4</w:t>
      </w:r>
      <w:r>
        <w:rPr>
          <w:rFonts w:ascii="Times New Roman" w:hAnsi="Times New Roman"/>
          <w:b/>
        </w:rPr>
        <w:t xml:space="preserve">. </w:t>
      </w:r>
      <w:r>
        <w:rPr>
          <w:rFonts w:hint="eastAsia" w:ascii="Times New Roman" w:hAnsi="Times New Roman"/>
          <w:b/>
          <w:bCs/>
          <w:kern w:val="0"/>
        </w:rPr>
        <w:t>Reagents</w:t>
      </w:r>
      <w:r>
        <w:rPr>
          <w:rFonts w:ascii="Times New Roman" w:hAnsi="Times New Roman"/>
          <w:b/>
          <w:bCs/>
          <w:kern w:val="0"/>
        </w:rPr>
        <w:t xml:space="preserve"> and antibodies</w:t>
      </w:r>
    </w:p>
    <w:tbl>
      <w:tblPr>
        <w:tblStyle w:val="5"/>
        <w:tblW w:w="842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96"/>
        <w:gridCol w:w="2203"/>
        <w:gridCol w:w="33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2896" w:type="dxa"/>
            <w:tcBorders>
              <w:top w:val="single" w:color="auto" w:sz="4" w:space="0"/>
              <w:bottom w:val="single" w:color="auto" w:sz="4" w:space="0"/>
            </w:tcBorders>
          </w:tcPr>
          <w:p>
            <w:pPr>
              <w:rPr>
                <w:rFonts w:ascii="Times New Roman" w:hAnsi="Times New Roman"/>
                <w:bCs/>
                <w:kern w:val="0"/>
                <w:sz w:val="22"/>
                <w:szCs w:val="22"/>
              </w:rPr>
            </w:pPr>
          </w:p>
        </w:tc>
        <w:tc>
          <w:tcPr>
            <w:tcW w:w="2203" w:type="dxa"/>
            <w:tcBorders>
              <w:top w:val="single" w:color="auto" w:sz="4" w:space="0"/>
              <w:bottom w:val="single" w:color="auto" w:sz="4" w:space="0"/>
            </w:tcBorders>
          </w:tcPr>
          <w:p>
            <w:pPr>
              <w:rPr>
                <w:rFonts w:ascii="Times New Roman" w:hAnsi="Times New Roman"/>
                <w:b/>
                <w:bCs/>
                <w:kern w:val="0"/>
                <w:sz w:val="22"/>
                <w:szCs w:val="22"/>
              </w:rPr>
            </w:pPr>
            <w:r>
              <w:rPr>
                <w:rFonts w:ascii="Times New Roman" w:hAnsi="Times New Roman"/>
                <w:b/>
                <w:bCs/>
                <w:kern w:val="0"/>
                <w:sz w:val="22"/>
                <w:szCs w:val="22"/>
              </w:rPr>
              <w:t xml:space="preserve">Cal. </w:t>
            </w:r>
          </w:p>
        </w:tc>
        <w:tc>
          <w:tcPr>
            <w:tcW w:w="3324" w:type="dxa"/>
            <w:tcBorders>
              <w:top w:val="single" w:color="auto" w:sz="4" w:space="0"/>
              <w:bottom w:val="single" w:color="auto" w:sz="4" w:space="0"/>
            </w:tcBorders>
          </w:tcPr>
          <w:p>
            <w:pPr>
              <w:rPr>
                <w:rFonts w:ascii="Times New Roman" w:hAnsi="Times New Roman"/>
                <w:b/>
                <w:bCs/>
                <w:kern w:val="0"/>
                <w:sz w:val="22"/>
                <w:szCs w:val="22"/>
              </w:rPr>
            </w:pPr>
            <w:r>
              <w:rPr>
                <w:rFonts w:ascii="Times New Roman" w:hAnsi="Times New Roman"/>
                <w:b/>
                <w:bCs/>
                <w:kern w:val="0"/>
                <w:sz w:val="22"/>
                <w:szCs w:val="22"/>
              </w:rPr>
              <w:t>Manufacturer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2896" w:type="dxa"/>
            <w:tcBorders>
              <w:top w:val="single" w:color="auto" w:sz="4" w:space="0"/>
            </w:tcBorders>
          </w:tcPr>
          <w:p>
            <w:pPr>
              <w:rPr>
                <w:rFonts w:ascii="Times New Roman" w:hAnsi="Times New Roman"/>
                <w:bCs/>
                <w:kern w:val="0"/>
                <w:sz w:val="22"/>
                <w:szCs w:val="22"/>
              </w:rPr>
            </w:pPr>
            <w:r>
              <w:rPr>
                <w:rFonts w:ascii="Times New Roman" w:hAnsi="Times New Roman"/>
                <w:bCs/>
                <w:kern w:val="0"/>
                <w:sz w:val="22"/>
                <w:szCs w:val="22"/>
              </w:rPr>
              <w:t>BCL6</w:t>
            </w:r>
          </w:p>
        </w:tc>
        <w:tc>
          <w:tcPr>
            <w:tcW w:w="2203" w:type="dxa"/>
            <w:tcBorders>
              <w:top w:val="single" w:color="auto" w:sz="4" w:space="0"/>
            </w:tcBorders>
          </w:tcPr>
          <w:p>
            <w:pPr>
              <w:rPr>
                <w:rFonts w:ascii="Times New Roman" w:hAnsi="Times New Roman"/>
                <w:bCs/>
                <w:kern w:val="0"/>
                <w:sz w:val="22"/>
                <w:szCs w:val="22"/>
              </w:rPr>
            </w:pPr>
            <w:r>
              <w:rPr>
                <w:rFonts w:ascii="Times New Roman" w:hAnsi="Times New Roman"/>
                <w:bCs/>
                <w:kern w:val="0"/>
                <w:sz w:val="22"/>
                <w:szCs w:val="22"/>
              </w:rPr>
              <w:t>#14895</w:t>
            </w:r>
          </w:p>
        </w:tc>
        <w:tc>
          <w:tcPr>
            <w:tcW w:w="3324" w:type="dxa"/>
            <w:tcBorders>
              <w:top w:val="single" w:color="auto" w:sz="4" w:space="0"/>
            </w:tcBorders>
          </w:tcPr>
          <w:p>
            <w:pPr>
              <w:rPr>
                <w:rFonts w:ascii="Times New Roman" w:hAnsi="Times New Roman"/>
                <w:bCs/>
                <w:kern w:val="0"/>
                <w:sz w:val="22"/>
                <w:szCs w:val="22"/>
              </w:rPr>
            </w:pPr>
            <w:r>
              <w:rPr>
                <w:rFonts w:ascii="Times New Roman" w:hAnsi="Times New Roman"/>
                <w:bCs/>
                <w:kern w:val="0"/>
                <w:sz w:val="22"/>
                <w:szCs w:val="22"/>
              </w:rPr>
              <w:t>Cell Signaling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96" w:type="dxa"/>
          </w:tcPr>
          <w:p>
            <w:pPr>
              <w:rPr>
                <w:rFonts w:ascii="Times New Roman" w:hAnsi="Times New Roman"/>
                <w:bCs/>
                <w:kern w:val="0"/>
                <w:sz w:val="22"/>
                <w:szCs w:val="22"/>
              </w:rPr>
            </w:pPr>
            <w:r>
              <w:rPr>
                <w:rFonts w:ascii="Times New Roman" w:hAnsi="Times New Roman"/>
                <w:bCs/>
                <w:kern w:val="0"/>
                <w:sz w:val="22"/>
                <w:szCs w:val="22"/>
              </w:rPr>
              <w:t>UBIQUITIN</w:t>
            </w:r>
          </w:p>
        </w:tc>
        <w:tc>
          <w:tcPr>
            <w:tcW w:w="2203" w:type="dxa"/>
          </w:tcPr>
          <w:p>
            <w:pPr>
              <w:rPr>
                <w:rFonts w:ascii="Times New Roman" w:hAnsi="Times New Roman"/>
                <w:bCs/>
                <w:kern w:val="0"/>
                <w:sz w:val="22"/>
                <w:szCs w:val="22"/>
              </w:rPr>
            </w:pPr>
            <w:r>
              <w:rPr>
                <w:rFonts w:ascii="Times New Roman" w:hAnsi="Times New Roman"/>
                <w:sz w:val="22"/>
                <w:szCs w:val="22"/>
              </w:rPr>
              <w:t>#3933S</w:t>
            </w:r>
          </w:p>
        </w:tc>
        <w:tc>
          <w:tcPr>
            <w:tcW w:w="3324" w:type="dxa"/>
          </w:tcPr>
          <w:p>
            <w:pPr>
              <w:rPr>
                <w:rFonts w:ascii="Times New Roman" w:hAnsi="Times New Roman"/>
                <w:bCs/>
                <w:kern w:val="0"/>
                <w:sz w:val="22"/>
                <w:szCs w:val="22"/>
              </w:rPr>
            </w:pPr>
            <w:r>
              <w:rPr>
                <w:rFonts w:ascii="Times New Roman" w:hAnsi="Times New Roman"/>
                <w:bCs/>
                <w:kern w:val="0"/>
                <w:sz w:val="22"/>
                <w:szCs w:val="22"/>
              </w:rPr>
              <w:t>Cell Signaling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896" w:type="dxa"/>
          </w:tcPr>
          <w:p>
            <w:pPr>
              <w:rPr>
                <w:rFonts w:ascii="Times New Roman" w:hAnsi="Times New Roman"/>
                <w:bCs/>
                <w:kern w:val="0"/>
                <w:sz w:val="22"/>
                <w:szCs w:val="22"/>
              </w:rPr>
            </w:pPr>
            <w:r>
              <w:rPr>
                <w:rFonts w:ascii="Times New Roman" w:hAnsi="Times New Roman"/>
                <w:bCs/>
                <w:kern w:val="0"/>
                <w:sz w:val="22"/>
                <w:szCs w:val="22"/>
              </w:rPr>
              <w:t>FLAG</w:t>
            </w:r>
          </w:p>
        </w:tc>
        <w:tc>
          <w:tcPr>
            <w:tcW w:w="2203" w:type="dxa"/>
          </w:tcPr>
          <w:p>
            <w:pPr>
              <w:rPr>
                <w:rFonts w:ascii="Times New Roman" w:hAnsi="Times New Roman"/>
                <w:bCs/>
                <w:kern w:val="0"/>
                <w:sz w:val="22"/>
                <w:szCs w:val="22"/>
              </w:rPr>
            </w:pPr>
            <w:r>
              <w:rPr>
                <w:rFonts w:ascii="Times New Roman" w:hAnsi="Times New Roman"/>
                <w:sz w:val="22"/>
                <w:szCs w:val="22"/>
              </w:rPr>
              <w:t>M2 monoclonal</w:t>
            </w:r>
          </w:p>
        </w:tc>
        <w:tc>
          <w:tcPr>
            <w:tcW w:w="3324" w:type="dxa"/>
          </w:tcPr>
          <w:p>
            <w:pPr>
              <w:rPr>
                <w:rFonts w:ascii="Times New Roman" w:hAnsi="Times New Roman"/>
                <w:bCs/>
                <w:kern w:val="0"/>
                <w:sz w:val="22"/>
                <w:szCs w:val="22"/>
              </w:rPr>
            </w:pPr>
            <w:r>
              <w:rPr>
                <w:rFonts w:ascii="Times New Roman" w:hAnsi="Times New Roman"/>
                <w:bCs/>
                <w:kern w:val="0"/>
                <w:sz w:val="22"/>
                <w:szCs w:val="22"/>
              </w:rPr>
              <w:t>Sigma Alderich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896" w:type="dxa"/>
          </w:tcPr>
          <w:p>
            <w:pPr>
              <w:widowControl/>
              <w:jc w:val="left"/>
              <w:rPr>
                <w:rFonts w:ascii="Times New Roman" w:hAnsi="Times New Roman" w:eastAsia="Times New Roman"/>
                <w:kern w:val="0"/>
                <w:sz w:val="22"/>
                <w:szCs w:val="22"/>
              </w:rPr>
            </w:pPr>
            <w:r>
              <w:rPr>
                <w:rFonts w:ascii="Times New Roman" w:hAnsi="Times New Roman" w:eastAsia="Times New Roman"/>
                <w:color w:val="333333"/>
                <w:kern w:val="0"/>
                <w:sz w:val="22"/>
                <w:szCs w:val="22"/>
                <w:shd w:val="clear" w:color="auto" w:fill="FFFFFF"/>
              </w:rPr>
              <w:t>β-ACTIN</w:t>
            </w:r>
          </w:p>
        </w:tc>
        <w:tc>
          <w:tcPr>
            <w:tcW w:w="2203" w:type="dxa"/>
          </w:tcPr>
          <w:p>
            <w:pPr>
              <w:rPr>
                <w:rFonts w:ascii="Times New Roman" w:hAnsi="Times New Roman"/>
                <w:bCs/>
                <w:kern w:val="0"/>
                <w:sz w:val="22"/>
                <w:szCs w:val="22"/>
              </w:rPr>
            </w:pPr>
            <w:r>
              <w:rPr>
                <w:rFonts w:ascii="Times New Roman" w:hAnsi="Times New Roman"/>
                <w:sz w:val="22"/>
                <w:szCs w:val="22"/>
              </w:rPr>
              <w:t>#4970</w:t>
            </w:r>
          </w:p>
        </w:tc>
        <w:tc>
          <w:tcPr>
            <w:tcW w:w="3324" w:type="dxa"/>
          </w:tcPr>
          <w:p>
            <w:pPr>
              <w:rPr>
                <w:rFonts w:ascii="Times New Roman" w:hAnsi="Times New Roman"/>
                <w:bCs/>
                <w:kern w:val="0"/>
                <w:sz w:val="22"/>
                <w:szCs w:val="22"/>
              </w:rPr>
            </w:pPr>
            <w:r>
              <w:rPr>
                <w:rFonts w:ascii="Times New Roman" w:hAnsi="Times New Roman"/>
                <w:bCs/>
                <w:kern w:val="0"/>
                <w:sz w:val="22"/>
                <w:szCs w:val="22"/>
              </w:rPr>
              <w:t>Cell Signaling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896" w:type="dxa"/>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eastAsia="Times New Roman"/>
                <w:color w:val="333333"/>
                <w:kern w:val="0"/>
                <w:sz w:val="22"/>
                <w:szCs w:val="22"/>
                <w:shd w:val="clear" w:color="auto" w:fill="FFFFFF"/>
              </w:rPr>
              <w:t>MG132</w:t>
            </w:r>
          </w:p>
        </w:tc>
        <w:tc>
          <w:tcPr>
            <w:tcW w:w="2203" w:type="dxa"/>
          </w:tcPr>
          <w:p>
            <w:pPr>
              <w:rPr>
                <w:rFonts w:ascii="Times New Roman" w:hAnsi="Times New Roman"/>
                <w:bCs/>
                <w:kern w:val="0"/>
                <w:sz w:val="22"/>
                <w:szCs w:val="22"/>
              </w:rPr>
            </w:pPr>
            <w:r>
              <w:rPr>
                <w:rFonts w:ascii="Times New Roman" w:hAnsi="Times New Roman"/>
                <w:sz w:val="22"/>
                <w:szCs w:val="22"/>
              </w:rPr>
              <w:t>Lot. C2211</w:t>
            </w:r>
          </w:p>
        </w:tc>
        <w:tc>
          <w:tcPr>
            <w:tcW w:w="3324" w:type="dxa"/>
          </w:tcPr>
          <w:p>
            <w:pPr>
              <w:rPr>
                <w:rFonts w:ascii="Times New Roman" w:hAnsi="Times New Roman"/>
                <w:bCs/>
                <w:kern w:val="0"/>
                <w:sz w:val="22"/>
                <w:szCs w:val="22"/>
              </w:rPr>
            </w:pPr>
            <w:r>
              <w:rPr>
                <w:rFonts w:ascii="Times New Roman" w:hAnsi="Times New Roman"/>
                <w:bCs/>
                <w:kern w:val="0"/>
                <w:sz w:val="22"/>
                <w:szCs w:val="22"/>
              </w:rPr>
              <w:t>Sigma Alderich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96" w:type="dxa"/>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eastAsia="Times New Roman"/>
                <w:color w:val="333333"/>
                <w:kern w:val="0"/>
                <w:sz w:val="22"/>
                <w:szCs w:val="22"/>
                <w:shd w:val="clear" w:color="auto" w:fill="FFFFFF"/>
              </w:rPr>
              <w:t>CHX</w:t>
            </w:r>
          </w:p>
        </w:tc>
        <w:tc>
          <w:tcPr>
            <w:tcW w:w="2203" w:type="dxa"/>
          </w:tcPr>
          <w:p>
            <w:pPr>
              <w:rPr>
                <w:rFonts w:ascii="Times New Roman" w:hAnsi="Times New Roman"/>
                <w:bCs/>
                <w:kern w:val="0"/>
                <w:sz w:val="22"/>
                <w:szCs w:val="22"/>
              </w:rPr>
            </w:pPr>
            <w:r>
              <w:rPr>
                <w:rFonts w:ascii="Times New Roman" w:hAnsi="Times New Roman"/>
                <w:sz w:val="22"/>
                <w:szCs w:val="22"/>
              </w:rPr>
              <w:t>Lot. C7698</w:t>
            </w:r>
          </w:p>
        </w:tc>
        <w:tc>
          <w:tcPr>
            <w:tcW w:w="3324" w:type="dxa"/>
          </w:tcPr>
          <w:p>
            <w:pPr>
              <w:rPr>
                <w:rFonts w:ascii="Times New Roman" w:hAnsi="Times New Roman"/>
                <w:bCs/>
                <w:kern w:val="0"/>
                <w:sz w:val="22"/>
                <w:szCs w:val="22"/>
              </w:rPr>
            </w:pPr>
            <w:r>
              <w:rPr>
                <w:rFonts w:ascii="Times New Roman" w:hAnsi="Times New Roman"/>
                <w:bCs/>
                <w:kern w:val="0"/>
                <w:sz w:val="22"/>
                <w:szCs w:val="22"/>
              </w:rPr>
              <w:t>Sigma Alderich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96" w:type="dxa"/>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eastAsia="Times New Roman"/>
                <w:color w:val="333333"/>
                <w:kern w:val="0"/>
                <w:sz w:val="22"/>
                <w:szCs w:val="22"/>
                <w:shd w:val="clear" w:color="auto" w:fill="FFFFFF"/>
              </w:rPr>
              <w:t>RNAScope 2.5HD</w:t>
            </w:r>
          </w:p>
        </w:tc>
        <w:tc>
          <w:tcPr>
            <w:tcW w:w="2203" w:type="dxa"/>
          </w:tcPr>
          <w:p>
            <w:pPr>
              <w:rPr>
                <w:rFonts w:ascii="Times New Roman" w:hAnsi="Times New Roman"/>
                <w:bCs/>
                <w:kern w:val="0"/>
                <w:sz w:val="22"/>
                <w:szCs w:val="22"/>
              </w:rPr>
            </w:pPr>
            <w:r>
              <w:rPr>
                <w:rFonts w:ascii="Times New Roman" w:hAnsi="Times New Roman"/>
                <w:sz w:val="22"/>
                <w:szCs w:val="22"/>
              </w:rPr>
              <w:t>#322310</w:t>
            </w:r>
          </w:p>
        </w:tc>
        <w:tc>
          <w:tcPr>
            <w:tcW w:w="3324" w:type="dxa"/>
          </w:tcPr>
          <w:p>
            <w:pPr>
              <w:rPr>
                <w:rFonts w:ascii="Times New Roman" w:hAnsi="Times New Roman"/>
                <w:bCs/>
                <w:kern w:val="0"/>
                <w:sz w:val="22"/>
                <w:szCs w:val="22"/>
              </w:rPr>
            </w:pPr>
            <w:r>
              <w:rPr>
                <w:rFonts w:ascii="Times New Roman" w:hAnsi="Times New Roman"/>
                <w:sz w:val="22"/>
                <w:szCs w:val="22"/>
              </w:rPr>
              <w:t>Advanced Cell Diagnostics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 w:hRule="atLeast"/>
        </w:trPr>
        <w:tc>
          <w:tcPr>
            <w:tcW w:w="2896" w:type="dxa"/>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sz w:val="22"/>
                <w:szCs w:val="22"/>
              </w:rPr>
              <w:t>RIPA lysis buffer</w:t>
            </w:r>
          </w:p>
        </w:tc>
        <w:tc>
          <w:tcPr>
            <w:tcW w:w="2203" w:type="dxa"/>
          </w:tcPr>
          <w:p>
            <w:pPr>
              <w:rPr>
                <w:rFonts w:ascii="Times New Roman" w:hAnsi="Times New Roman"/>
                <w:bCs/>
                <w:kern w:val="0"/>
                <w:sz w:val="22"/>
                <w:szCs w:val="22"/>
              </w:rPr>
            </w:pPr>
            <w:r>
              <w:rPr>
                <w:rFonts w:ascii="Times New Roman" w:hAnsi="Times New Roman"/>
                <w:sz w:val="22"/>
                <w:szCs w:val="22"/>
              </w:rPr>
              <w:t>Lot. 89901</w:t>
            </w:r>
          </w:p>
        </w:tc>
        <w:tc>
          <w:tcPr>
            <w:tcW w:w="3324" w:type="dxa"/>
          </w:tcPr>
          <w:p>
            <w:pPr>
              <w:rPr>
                <w:rFonts w:ascii="Times New Roman" w:hAnsi="Times New Roman"/>
                <w:bCs/>
                <w:kern w:val="0"/>
                <w:sz w:val="22"/>
                <w:szCs w:val="22"/>
              </w:rPr>
            </w:pPr>
            <w:r>
              <w:rPr>
                <w:rFonts w:ascii="Times New Roman" w:hAnsi="Times New Roman"/>
                <w:sz w:val="22"/>
                <w:szCs w:val="22"/>
              </w:rPr>
              <w:t>Thermo Scientific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896" w:type="dxa"/>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sz w:val="22"/>
                <w:szCs w:val="22"/>
              </w:rPr>
              <w:t>Puromycin</w:t>
            </w:r>
          </w:p>
        </w:tc>
        <w:tc>
          <w:tcPr>
            <w:tcW w:w="2203" w:type="dxa"/>
          </w:tcPr>
          <w:p>
            <w:pPr>
              <w:rPr>
                <w:rFonts w:ascii="Times New Roman" w:hAnsi="Times New Roman"/>
                <w:bCs/>
                <w:kern w:val="0"/>
                <w:sz w:val="22"/>
                <w:szCs w:val="22"/>
              </w:rPr>
            </w:pPr>
            <w:r>
              <w:rPr>
                <w:rFonts w:ascii="Times New Roman" w:hAnsi="Times New Roman"/>
                <w:sz w:val="22"/>
                <w:szCs w:val="22"/>
              </w:rPr>
              <w:t>P7130-1G</w:t>
            </w:r>
          </w:p>
        </w:tc>
        <w:tc>
          <w:tcPr>
            <w:tcW w:w="3324" w:type="dxa"/>
          </w:tcPr>
          <w:p>
            <w:pPr>
              <w:rPr>
                <w:rFonts w:ascii="Times New Roman" w:hAnsi="Times New Roman"/>
                <w:bCs/>
                <w:kern w:val="0"/>
                <w:sz w:val="22"/>
                <w:szCs w:val="22"/>
              </w:rPr>
            </w:pPr>
            <w:r>
              <w:rPr>
                <w:rFonts w:ascii="Times New Roman" w:hAnsi="Times New Roman"/>
                <w:bCs/>
                <w:kern w:val="0"/>
                <w:sz w:val="22"/>
                <w:szCs w:val="22"/>
              </w:rPr>
              <w:t>Sigma Alderich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2896" w:type="dxa"/>
            <w:tcBorders>
              <w:bottom w:val="single" w:color="auto" w:sz="4" w:space="0"/>
            </w:tcBorders>
          </w:tcPr>
          <w:p>
            <w:pPr>
              <w:widowControl/>
              <w:jc w:val="left"/>
              <w:rPr>
                <w:rFonts w:ascii="Times New Roman" w:hAnsi="Times New Roman" w:eastAsia="Times New Roman"/>
                <w:color w:val="333333"/>
                <w:kern w:val="0"/>
                <w:sz w:val="22"/>
                <w:szCs w:val="22"/>
                <w:shd w:val="clear" w:color="auto" w:fill="FFFFFF"/>
              </w:rPr>
            </w:pPr>
            <w:r>
              <w:rPr>
                <w:rFonts w:ascii="Times New Roman" w:hAnsi="Times New Roman"/>
                <w:sz w:val="22"/>
                <w:szCs w:val="22"/>
              </w:rPr>
              <w:t>Lipofectamine 2000</w:t>
            </w:r>
          </w:p>
        </w:tc>
        <w:tc>
          <w:tcPr>
            <w:tcW w:w="2203" w:type="dxa"/>
            <w:tcBorders>
              <w:bottom w:val="single" w:color="auto" w:sz="4" w:space="0"/>
            </w:tcBorders>
          </w:tcPr>
          <w:p>
            <w:pPr>
              <w:rPr>
                <w:rFonts w:ascii="Times New Roman" w:hAnsi="Times New Roman"/>
                <w:bCs/>
                <w:kern w:val="0"/>
                <w:sz w:val="22"/>
                <w:szCs w:val="22"/>
              </w:rPr>
            </w:pPr>
            <w:r>
              <w:rPr>
                <w:rFonts w:ascii="Times New Roman" w:hAnsi="Times New Roman"/>
                <w:sz w:val="22"/>
                <w:szCs w:val="22"/>
              </w:rPr>
              <w:t>Lot. 11668-027</w:t>
            </w:r>
          </w:p>
        </w:tc>
        <w:tc>
          <w:tcPr>
            <w:tcW w:w="3324" w:type="dxa"/>
            <w:tcBorders>
              <w:bottom w:val="single" w:color="auto" w:sz="4" w:space="0"/>
            </w:tcBorders>
          </w:tcPr>
          <w:p>
            <w:pPr>
              <w:rPr>
                <w:rFonts w:ascii="Times New Roman" w:hAnsi="Times New Roman"/>
                <w:bCs/>
                <w:kern w:val="0"/>
                <w:sz w:val="22"/>
                <w:szCs w:val="22"/>
              </w:rPr>
            </w:pPr>
            <w:r>
              <w:rPr>
                <w:rFonts w:ascii="Times New Roman" w:hAnsi="Times New Roman"/>
                <w:bCs/>
                <w:kern w:val="0"/>
                <w:sz w:val="22"/>
                <w:szCs w:val="22"/>
              </w:rPr>
              <w:t>Life Technology</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b/>
          <w:bCs/>
          <w:kern w:val="0"/>
        </w:rPr>
      </w:pPr>
      <w:r>
        <w:rPr>
          <w:rFonts w:ascii="Times New Roman" w:hAnsi="Times New Roman"/>
          <w:b/>
        </w:rPr>
        <w:t>Table S</w:t>
      </w:r>
      <w:r>
        <w:rPr>
          <w:rFonts w:hint="eastAsia" w:ascii="Times New Roman" w:hAnsi="Times New Roman"/>
          <w:b/>
          <w:lang w:val="en-US" w:eastAsia="zh-CN"/>
        </w:rPr>
        <w:t>5</w:t>
      </w:r>
      <w:r>
        <w:rPr>
          <w:rFonts w:ascii="Times New Roman" w:hAnsi="Times New Roman"/>
          <w:b/>
        </w:rPr>
        <w:t xml:space="preserve">. </w:t>
      </w:r>
      <w:r>
        <w:rPr>
          <w:rFonts w:ascii="Times New Roman" w:hAnsi="Times New Roman"/>
          <w:b/>
          <w:bCs/>
          <w:kern w:val="0"/>
        </w:rPr>
        <w:t>Primers used in the study</w:t>
      </w:r>
    </w:p>
    <w:tbl>
      <w:tblPr>
        <w:tblStyle w:val="4"/>
        <w:tblW w:w="8405" w:type="dxa"/>
        <w:tblInd w:w="0" w:type="dxa"/>
        <w:tblLayout w:type="fixed"/>
        <w:tblCellMar>
          <w:top w:w="0" w:type="dxa"/>
          <w:left w:w="108" w:type="dxa"/>
          <w:bottom w:w="0" w:type="dxa"/>
          <w:right w:w="108" w:type="dxa"/>
        </w:tblCellMar>
      </w:tblPr>
      <w:tblGrid>
        <w:gridCol w:w="2008"/>
        <w:gridCol w:w="6397"/>
      </w:tblGrid>
      <w:tr>
        <w:tblPrEx>
          <w:tblCellMar>
            <w:top w:w="0" w:type="dxa"/>
            <w:left w:w="108" w:type="dxa"/>
            <w:bottom w:w="0" w:type="dxa"/>
            <w:right w:w="108" w:type="dxa"/>
          </w:tblCellMar>
        </w:tblPrEx>
        <w:trPr>
          <w:trHeight w:val="330" w:hRule="atLeast"/>
        </w:trPr>
        <w:tc>
          <w:tcPr>
            <w:tcW w:w="2008" w:type="dxa"/>
            <w:tcBorders>
              <w:top w:val="single" w:color="auto" w:sz="4" w:space="0"/>
              <w:left w:val="nil"/>
              <w:bottom w:val="single" w:color="auto" w:sz="4" w:space="0"/>
              <w:right w:val="nil"/>
            </w:tcBorders>
            <w:shd w:val="clear" w:color="auto" w:fill="auto"/>
            <w:vAlign w:val="center"/>
          </w:tcPr>
          <w:p>
            <w:pPr>
              <w:widowControl/>
              <w:rPr>
                <w:rFonts w:ascii="Times New Roman" w:hAnsi="Times New Roman" w:eastAsia="宋体"/>
                <w:b/>
                <w:bCs/>
                <w:kern w:val="0"/>
                <w:sz w:val="22"/>
                <w:szCs w:val="22"/>
              </w:rPr>
            </w:pPr>
            <w:r>
              <w:rPr>
                <w:rFonts w:ascii="Times New Roman" w:hAnsi="Times New Roman" w:eastAsia="宋体"/>
                <w:b/>
                <w:bCs/>
                <w:kern w:val="0"/>
                <w:sz w:val="22"/>
                <w:szCs w:val="22"/>
              </w:rPr>
              <w:t>Gene</w:t>
            </w:r>
          </w:p>
        </w:tc>
        <w:tc>
          <w:tcPr>
            <w:tcW w:w="6397" w:type="dxa"/>
            <w:tcBorders>
              <w:top w:val="single" w:color="auto" w:sz="4" w:space="0"/>
              <w:left w:val="nil"/>
              <w:bottom w:val="single" w:color="auto" w:sz="4" w:space="0"/>
              <w:right w:val="nil"/>
            </w:tcBorders>
            <w:shd w:val="clear" w:color="auto" w:fill="auto"/>
            <w:vAlign w:val="center"/>
          </w:tcPr>
          <w:p>
            <w:pPr>
              <w:widowControl/>
              <w:rPr>
                <w:rFonts w:ascii="Times New Roman" w:hAnsi="Times New Roman" w:eastAsia="宋体"/>
                <w:b/>
                <w:bCs/>
                <w:kern w:val="0"/>
                <w:sz w:val="22"/>
                <w:szCs w:val="22"/>
              </w:rPr>
            </w:pPr>
            <w:r>
              <w:rPr>
                <w:rFonts w:ascii="Times New Roman" w:hAnsi="Times New Roman" w:eastAsia="宋体"/>
                <w:b/>
                <w:bCs/>
                <w:kern w:val="0"/>
                <w:sz w:val="22"/>
                <w:szCs w:val="22"/>
              </w:rPr>
              <w:t>Primer Sequences and Targeting Sequences for siRNA or shRNA</w:t>
            </w:r>
          </w:p>
        </w:tc>
      </w:tr>
      <w:tr>
        <w:tblPrEx>
          <w:tblCellMar>
            <w:top w:w="0" w:type="dxa"/>
            <w:left w:w="108" w:type="dxa"/>
            <w:bottom w:w="0" w:type="dxa"/>
            <w:right w:w="108" w:type="dxa"/>
          </w:tblCellMar>
        </w:tblPrEx>
        <w:trPr>
          <w:trHeight w:val="330" w:hRule="atLeast"/>
        </w:trPr>
        <w:tc>
          <w:tcPr>
            <w:tcW w:w="2008" w:type="dxa"/>
            <w:vMerge w:val="restart"/>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BCL6</w:t>
            </w: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5’-AACAAGCTTATGAAAACTAGCCCCCGTCGG-3’ (forward)</w:t>
            </w:r>
          </w:p>
        </w:tc>
      </w:tr>
      <w:tr>
        <w:tblPrEx>
          <w:tblCellMar>
            <w:top w:w="0" w:type="dxa"/>
            <w:left w:w="108" w:type="dxa"/>
            <w:bottom w:w="0" w:type="dxa"/>
            <w:right w:w="108" w:type="dxa"/>
          </w:tblCellMar>
        </w:tblPrEx>
        <w:trPr>
          <w:trHeight w:val="330" w:hRule="atLeast"/>
        </w:trPr>
        <w:tc>
          <w:tcPr>
            <w:tcW w:w="2008" w:type="dxa"/>
            <w:vMerge w:val="continue"/>
            <w:tcBorders>
              <w:top w:val="nil"/>
              <w:left w:val="nil"/>
              <w:bottom w:val="nil"/>
              <w:right w:val="nil"/>
            </w:tcBorders>
            <w:vAlign w:val="center"/>
          </w:tcPr>
          <w:p>
            <w:pPr>
              <w:widowControl/>
              <w:rPr>
                <w:rFonts w:ascii="Times New Roman" w:hAnsi="Times New Roman" w:eastAsia="宋体"/>
                <w:kern w:val="0"/>
                <w:sz w:val="22"/>
                <w:szCs w:val="22"/>
              </w:rPr>
            </w:pP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5’-AAAGGATCCCTACTGTAGCTCAGGAATAAAC-3’ (reverse)</w:t>
            </w:r>
          </w:p>
        </w:tc>
      </w:tr>
      <w:tr>
        <w:tblPrEx>
          <w:tblCellMar>
            <w:top w:w="0" w:type="dxa"/>
            <w:left w:w="108" w:type="dxa"/>
            <w:bottom w:w="0" w:type="dxa"/>
            <w:right w:w="108" w:type="dxa"/>
          </w:tblCellMar>
        </w:tblPrEx>
        <w:trPr>
          <w:trHeight w:val="330" w:hRule="atLeast"/>
        </w:trPr>
        <w:tc>
          <w:tcPr>
            <w:tcW w:w="2008" w:type="dxa"/>
            <w:vMerge w:val="restart"/>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LINC00152</w:t>
            </w: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5’-</w:t>
            </w:r>
            <w:r>
              <w:rPr>
                <w:rFonts w:ascii="Times New Roman" w:hAnsi="Times New Roman"/>
                <w:sz w:val="22"/>
                <w:szCs w:val="22"/>
              </w:rPr>
              <w:t xml:space="preserve"> </w:t>
            </w:r>
            <w:r>
              <w:rPr>
                <w:rFonts w:ascii="Times New Roman" w:hAnsi="Times New Roman"/>
                <w:color w:val="000000"/>
                <w:sz w:val="22"/>
                <w:szCs w:val="22"/>
              </w:rPr>
              <w:t>TGAGAATGAAGGCTGAGGTGT</w:t>
            </w:r>
            <w:r>
              <w:rPr>
                <w:rFonts w:ascii="Times New Roman" w:hAnsi="Times New Roman" w:eastAsia="宋体"/>
                <w:kern w:val="0"/>
                <w:sz w:val="22"/>
                <w:szCs w:val="22"/>
              </w:rPr>
              <w:t xml:space="preserve"> -3’(forward)</w:t>
            </w:r>
          </w:p>
        </w:tc>
      </w:tr>
      <w:tr>
        <w:tblPrEx>
          <w:tblCellMar>
            <w:top w:w="0" w:type="dxa"/>
            <w:left w:w="108" w:type="dxa"/>
            <w:bottom w:w="0" w:type="dxa"/>
            <w:right w:w="108" w:type="dxa"/>
          </w:tblCellMar>
        </w:tblPrEx>
        <w:trPr>
          <w:trHeight w:val="330" w:hRule="atLeast"/>
        </w:trPr>
        <w:tc>
          <w:tcPr>
            <w:tcW w:w="2008" w:type="dxa"/>
            <w:vMerge w:val="continue"/>
            <w:tcBorders>
              <w:top w:val="nil"/>
              <w:left w:val="nil"/>
              <w:bottom w:val="nil"/>
              <w:right w:val="nil"/>
            </w:tcBorders>
            <w:vAlign w:val="center"/>
          </w:tcPr>
          <w:p>
            <w:pPr>
              <w:widowControl/>
              <w:rPr>
                <w:rFonts w:ascii="Times New Roman" w:hAnsi="Times New Roman" w:eastAsia="宋体"/>
                <w:kern w:val="0"/>
                <w:sz w:val="22"/>
                <w:szCs w:val="22"/>
              </w:rPr>
            </w:pP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5’-</w:t>
            </w:r>
            <w:r>
              <w:rPr>
                <w:rFonts w:ascii="Times New Roman" w:hAnsi="Times New Roman"/>
                <w:sz w:val="22"/>
                <w:szCs w:val="22"/>
              </w:rPr>
              <w:t xml:space="preserve"> </w:t>
            </w:r>
            <w:r>
              <w:rPr>
                <w:rFonts w:ascii="Times New Roman" w:hAnsi="Times New Roman"/>
                <w:color w:val="000000"/>
                <w:sz w:val="22"/>
                <w:szCs w:val="22"/>
              </w:rPr>
              <w:t>GCAGCGACCATCCAGTCATT</w:t>
            </w:r>
            <w:r>
              <w:rPr>
                <w:rFonts w:ascii="Times New Roman" w:hAnsi="Times New Roman" w:eastAsia="宋体"/>
                <w:kern w:val="0"/>
                <w:sz w:val="22"/>
                <w:szCs w:val="22"/>
              </w:rPr>
              <w:t>-3’(reverse)</w:t>
            </w:r>
          </w:p>
        </w:tc>
      </w:tr>
      <w:tr>
        <w:tblPrEx>
          <w:tblCellMar>
            <w:top w:w="0" w:type="dxa"/>
            <w:left w:w="108" w:type="dxa"/>
            <w:bottom w:w="0" w:type="dxa"/>
            <w:right w:w="108" w:type="dxa"/>
          </w:tblCellMar>
        </w:tblPrEx>
        <w:trPr>
          <w:trHeight w:val="460" w:hRule="atLeast"/>
        </w:trPr>
        <w:tc>
          <w:tcPr>
            <w:tcW w:w="2008"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shLINC00152-1</w:t>
            </w: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color w:val="000000"/>
                <w:sz w:val="22"/>
                <w:szCs w:val="22"/>
              </w:rPr>
              <w:t>GG</w:t>
            </w:r>
            <w:r>
              <w:rPr>
                <w:rFonts w:ascii="Times New Roman" w:hAnsi="Times New Roman"/>
                <w:sz w:val="22"/>
                <w:szCs w:val="22"/>
              </w:rPr>
              <w:t xml:space="preserve"> </w:t>
            </w:r>
            <w:r>
              <w:rPr>
                <w:rFonts w:ascii="Times New Roman" w:hAnsi="Times New Roman"/>
                <w:color w:val="000000"/>
                <w:sz w:val="22"/>
                <w:szCs w:val="22"/>
              </w:rPr>
              <w:t>TCTGGTCGGTTTCCCATTTdTdT</w:t>
            </w:r>
          </w:p>
        </w:tc>
      </w:tr>
      <w:tr>
        <w:tblPrEx>
          <w:tblCellMar>
            <w:top w:w="0" w:type="dxa"/>
            <w:left w:w="108" w:type="dxa"/>
            <w:bottom w:w="0" w:type="dxa"/>
            <w:right w:w="108" w:type="dxa"/>
          </w:tblCellMar>
        </w:tblPrEx>
        <w:trPr>
          <w:trHeight w:val="330" w:hRule="atLeast"/>
        </w:trPr>
        <w:tc>
          <w:tcPr>
            <w:tcW w:w="2008"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(siLINC00152-2)</w:t>
            </w: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p>
        </w:tc>
      </w:tr>
      <w:tr>
        <w:tblPrEx>
          <w:tblCellMar>
            <w:top w:w="0" w:type="dxa"/>
            <w:left w:w="108" w:type="dxa"/>
            <w:bottom w:w="0" w:type="dxa"/>
            <w:right w:w="108" w:type="dxa"/>
          </w:tblCellMar>
        </w:tblPrEx>
        <w:trPr>
          <w:trHeight w:val="330" w:hRule="atLeast"/>
        </w:trPr>
        <w:tc>
          <w:tcPr>
            <w:tcW w:w="2008" w:type="dxa"/>
            <w:tcBorders>
              <w:top w:val="nil"/>
              <w:left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shLINC00152-2</w:t>
            </w:r>
          </w:p>
        </w:tc>
        <w:tc>
          <w:tcPr>
            <w:tcW w:w="6397" w:type="dxa"/>
            <w:tcBorders>
              <w:top w:val="nil"/>
              <w:left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color w:val="000000"/>
                <w:sz w:val="22"/>
                <w:szCs w:val="22"/>
              </w:rPr>
              <w:t>GGAGAUGAAACAGGAAGCUdTdT</w:t>
            </w:r>
          </w:p>
        </w:tc>
      </w:tr>
      <w:tr>
        <w:tblPrEx>
          <w:tblCellMar>
            <w:top w:w="0" w:type="dxa"/>
            <w:left w:w="108" w:type="dxa"/>
            <w:bottom w:w="0" w:type="dxa"/>
            <w:right w:w="108" w:type="dxa"/>
          </w:tblCellMar>
        </w:tblPrEx>
        <w:trPr>
          <w:trHeight w:val="330" w:hRule="atLeast"/>
        </w:trPr>
        <w:tc>
          <w:tcPr>
            <w:tcW w:w="2008"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(siLINC00152-3)</w:t>
            </w:r>
          </w:p>
        </w:tc>
        <w:tc>
          <w:tcPr>
            <w:tcW w:w="6397" w:type="dxa"/>
            <w:tcBorders>
              <w:top w:val="nil"/>
              <w:left w:val="nil"/>
              <w:bottom w:val="nil"/>
              <w:right w:val="nil"/>
            </w:tcBorders>
            <w:shd w:val="clear" w:color="auto" w:fill="auto"/>
            <w:vAlign w:val="center"/>
          </w:tcPr>
          <w:p>
            <w:pPr>
              <w:widowControl/>
              <w:rPr>
                <w:rFonts w:ascii="Times New Roman" w:hAnsi="Times New Roman" w:eastAsia="宋体"/>
                <w:kern w:val="0"/>
                <w:sz w:val="22"/>
                <w:szCs w:val="22"/>
              </w:rPr>
            </w:pPr>
          </w:p>
        </w:tc>
      </w:tr>
      <w:tr>
        <w:tblPrEx>
          <w:tblCellMar>
            <w:top w:w="0" w:type="dxa"/>
            <w:left w:w="108" w:type="dxa"/>
            <w:bottom w:w="0" w:type="dxa"/>
            <w:right w:w="108" w:type="dxa"/>
          </w:tblCellMar>
        </w:tblPrEx>
        <w:trPr>
          <w:trHeight w:val="330" w:hRule="atLeast"/>
        </w:trPr>
        <w:tc>
          <w:tcPr>
            <w:tcW w:w="2008" w:type="dxa"/>
            <w:tcBorders>
              <w:top w:val="nil"/>
              <w:left w:val="nil"/>
              <w:bottom w:val="single" w:color="auto" w:sz="4" w:space="0"/>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eastAsia="宋体"/>
                <w:kern w:val="0"/>
                <w:sz w:val="22"/>
                <w:szCs w:val="22"/>
              </w:rPr>
              <w:t>Scramble</w:t>
            </w:r>
          </w:p>
        </w:tc>
        <w:tc>
          <w:tcPr>
            <w:tcW w:w="6397" w:type="dxa"/>
            <w:tcBorders>
              <w:top w:val="nil"/>
              <w:left w:val="nil"/>
              <w:bottom w:val="single" w:color="auto" w:sz="4" w:space="0"/>
              <w:right w:val="nil"/>
            </w:tcBorders>
            <w:shd w:val="clear" w:color="auto" w:fill="auto"/>
            <w:vAlign w:val="center"/>
          </w:tcPr>
          <w:p>
            <w:pPr>
              <w:widowControl/>
              <w:rPr>
                <w:rFonts w:ascii="Times New Roman" w:hAnsi="Times New Roman" w:eastAsia="宋体"/>
                <w:kern w:val="0"/>
                <w:sz w:val="22"/>
                <w:szCs w:val="22"/>
              </w:rPr>
            </w:pPr>
            <w:r>
              <w:rPr>
                <w:rFonts w:ascii="Times New Roman" w:hAnsi="Times New Roman"/>
                <w:sz w:val="22"/>
                <w:szCs w:val="22"/>
              </w:rPr>
              <w:t>UUCU</w:t>
            </w:r>
            <w:r>
              <w:rPr>
                <w:rFonts w:ascii="Times New Roman" w:hAnsi="Times New Roman"/>
                <w:color w:val="000000"/>
                <w:sz w:val="22"/>
                <w:szCs w:val="22"/>
              </w:rPr>
              <w:t>CCGAACGUGUCACGUdTdT</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Times New Roman" w:hAnsi="Times New Roman" w:eastAsia="宋体"/>
          <w:b/>
          <w:sz w:val="24"/>
        </w:rPr>
      </w:pPr>
      <w:bookmarkStart w:id="7" w:name="_GoBack"/>
      <w:bookmarkEnd w:id="7"/>
      <w:r>
        <w:rPr>
          <w:rFonts w:ascii="Times New Roman" w:hAnsi="Times New Roman" w:eastAsia="宋体"/>
          <w:b/>
          <w:sz w:val="24"/>
        </w:rPr>
        <w:t xml:space="preserve">Supplementary Figure legends </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b/>
          <w:sz w:val="24"/>
        </w:rPr>
      </w:pPr>
      <w:r>
        <w:rPr>
          <w:rFonts w:ascii="Times New Roman" w:hAnsi="Times New Roman" w:eastAsia="宋体"/>
          <w:b/>
          <w:sz w:val="24"/>
        </w:rPr>
        <w:t>Figure S1. The statistical analysis of LINC00152 expression in TCGA data  (</w:t>
      </w:r>
      <w:r>
        <w:rPr>
          <w:rFonts w:ascii="Times New Roman" w:hAnsi="Times New Roman" w:eastAsia="宋体"/>
          <w:sz w:val="24"/>
        </w:rPr>
        <w:fldChar w:fldCharType="begin"/>
      </w:r>
      <w:r>
        <w:rPr>
          <w:rFonts w:ascii="Times New Roman" w:hAnsi="Times New Roman" w:eastAsia="宋体"/>
          <w:sz w:val="24"/>
        </w:rPr>
        <w:instrText xml:space="preserve"> HYPERLINK "http://www.cbioportal.com)" </w:instrText>
      </w:r>
      <w:r>
        <w:rPr>
          <w:rFonts w:ascii="Times New Roman" w:hAnsi="Times New Roman" w:eastAsia="宋体"/>
          <w:sz w:val="24"/>
        </w:rPr>
        <w:fldChar w:fldCharType="separate"/>
      </w:r>
      <w:r>
        <w:rPr>
          <w:rStyle w:val="7"/>
          <w:rFonts w:ascii="Times New Roman" w:hAnsi="Times New Roman" w:eastAsia="宋体"/>
          <w:b/>
          <w:sz w:val="24"/>
        </w:rPr>
        <w:t>www.cbioportal.com)</w:t>
      </w:r>
      <w:r>
        <w:rPr>
          <w:rStyle w:val="7"/>
          <w:rFonts w:ascii="Times New Roman" w:hAnsi="Times New Roman" w:eastAsia="宋体"/>
          <w:b/>
          <w:sz w:val="24"/>
        </w:rPr>
        <w:fldChar w:fldCharType="end"/>
      </w:r>
      <w:r>
        <w:rPr>
          <w:rFonts w:hint="eastAsia" w:ascii="Times New Roman" w:hAnsi="Times New Roman" w:cs="Times New Roman"/>
          <w:b/>
          <w:color w:val="000000" w:themeColor="text1"/>
          <w:kern w:val="0"/>
          <w:sz w:val="24"/>
          <w:lang w:val="en-US" w:eastAsia="zh-CN"/>
          <w14:textFill>
            <w14:solidFill>
              <w14:schemeClr w14:val="tx1"/>
            </w14:solidFill>
          </w14:textFill>
        </w:rPr>
        <w:t>(Repeat the experiment no less than three times)</w:t>
      </w:r>
      <w:r>
        <w:rPr>
          <w:rFonts w:ascii="Times New Roman" w:hAnsi="Times New Roman" w:eastAsia="宋体"/>
          <w:b/>
          <w:sz w:val="24"/>
        </w:rPr>
        <w:t xml:space="preserve">  </w:t>
      </w:r>
    </w:p>
    <w:p>
      <w:pPr>
        <w:pStyle w:val="8"/>
        <w:keepNext w:val="0"/>
        <w:keepLines w:val="0"/>
        <w:pageBreakBefore w:val="0"/>
        <w:numPr>
          <w:ilvl w:val="0"/>
          <w:numId w:val="1"/>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summary of LINC00152 status in 2 independent cohorts from TCGA analyzed by </w:t>
      </w:r>
      <w:r>
        <w:rPr>
          <w:rFonts w:ascii="Times New Roman" w:hAnsi="Times New Roman" w:eastAsia="宋体"/>
          <w:sz w:val="24"/>
        </w:rPr>
        <w:fldChar w:fldCharType="begin"/>
      </w:r>
      <w:r>
        <w:rPr>
          <w:rFonts w:ascii="Times New Roman" w:hAnsi="Times New Roman" w:eastAsia="宋体"/>
          <w:sz w:val="24"/>
        </w:rPr>
        <w:instrText xml:space="preserve"> HYPERLINK "http://www.cbioportal.com" </w:instrText>
      </w:r>
      <w:r>
        <w:rPr>
          <w:rFonts w:ascii="Times New Roman" w:hAnsi="Times New Roman" w:eastAsia="宋体"/>
          <w:sz w:val="24"/>
        </w:rPr>
        <w:fldChar w:fldCharType="separate"/>
      </w:r>
      <w:r>
        <w:rPr>
          <w:rStyle w:val="7"/>
          <w:rFonts w:ascii="Times New Roman" w:hAnsi="Times New Roman" w:eastAsia="宋体"/>
          <w:sz w:val="24"/>
        </w:rPr>
        <w:t>www.cbioportal.com</w:t>
      </w:r>
      <w:r>
        <w:rPr>
          <w:rStyle w:val="7"/>
          <w:rFonts w:ascii="Times New Roman" w:hAnsi="Times New Roman" w:eastAsia="宋体"/>
          <w:sz w:val="24"/>
        </w:rPr>
        <w:fldChar w:fldCharType="end"/>
      </w:r>
      <w:r>
        <w:rPr>
          <w:rFonts w:ascii="Times New Roman" w:hAnsi="Times New Roman" w:eastAsia="宋体"/>
          <w:sz w:val="24"/>
        </w:rPr>
        <w:t xml:space="preserve">. The gene status included mutation, amplification and deep deletion. The expression of LINC00152 in ovarian cancer tissues and adjacent normal tissues (ANTs) in cohorts from TCGA (n=440). </w:t>
      </w:r>
      <w:r>
        <w:rPr>
          <w:rFonts w:ascii="Times New Roman" w:hAnsi="Times New Roman" w:eastAsia="宋体"/>
          <w:i/>
          <w:sz w:val="24"/>
        </w:rPr>
        <w:t>P</w:t>
      </w:r>
      <w:r>
        <w:rPr>
          <w:rFonts w:ascii="Times New Roman" w:hAnsi="Times New Roman" w:eastAsia="宋体"/>
          <w:sz w:val="24"/>
        </w:rPr>
        <w:t>&lt;0.01.</w:t>
      </w:r>
    </w:p>
    <w:p>
      <w:pPr>
        <w:pStyle w:val="8"/>
        <w:keepNext w:val="0"/>
        <w:keepLines w:val="0"/>
        <w:pageBreakBefore w:val="0"/>
        <w:numPr>
          <w:ilvl w:val="0"/>
          <w:numId w:val="1"/>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expression of LINC00152 in the cases at different FIGO stages (n=440) from TCGA. </w:t>
      </w:r>
      <w:r>
        <w:rPr>
          <w:rFonts w:ascii="Times New Roman" w:hAnsi="Times New Roman" w:eastAsia="宋体"/>
          <w:i/>
          <w:sz w:val="24"/>
        </w:rPr>
        <w:t>P</w:t>
      </w:r>
      <w:r>
        <w:rPr>
          <w:rFonts w:ascii="Times New Roman" w:hAnsi="Times New Roman" w:eastAsia="宋体"/>
          <w:sz w:val="24"/>
        </w:rPr>
        <w:t>&lt;0.05.</w:t>
      </w:r>
    </w:p>
    <w:p>
      <w:pPr>
        <w:pStyle w:val="8"/>
        <w:keepNext w:val="0"/>
        <w:keepLines w:val="0"/>
        <w:pageBreakBefore w:val="0"/>
        <w:numPr>
          <w:ilvl w:val="0"/>
          <w:numId w:val="1"/>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comparison of LINC00152 expression in 152 cases with ovarian cancer divided by tumor sizes (&lt;5cm and ≥5cm). </w:t>
      </w:r>
      <w:r>
        <w:rPr>
          <w:rFonts w:ascii="Times New Roman" w:hAnsi="Times New Roman" w:eastAsia="宋体"/>
          <w:i/>
          <w:sz w:val="24"/>
        </w:rPr>
        <w:t>P</w:t>
      </w:r>
      <w:r>
        <w:rPr>
          <w:rFonts w:ascii="Times New Roman" w:hAnsi="Times New Roman" w:eastAsia="宋体"/>
          <w:sz w:val="24"/>
        </w:rPr>
        <w:t>&lt;0.01.</w:t>
      </w:r>
    </w:p>
    <w:p>
      <w:pPr>
        <w:pStyle w:val="8"/>
        <w:keepNext w:val="0"/>
        <w:keepLines w:val="0"/>
        <w:pageBreakBefore w:val="0"/>
        <w:numPr>
          <w:ilvl w:val="0"/>
          <w:numId w:val="1"/>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The comparison of LINC00152 expression in 152 cases</w:t>
      </w:r>
      <w:r>
        <w:rPr>
          <w:rFonts w:hint="eastAsia" w:ascii="Times New Roman" w:hAnsi="Times New Roman" w:eastAsia="宋体"/>
          <w:sz w:val="24"/>
        </w:rPr>
        <w:t xml:space="preserve"> </w:t>
      </w:r>
      <w:r>
        <w:rPr>
          <w:rFonts w:ascii="Times New Roman" w:hAnsi="Times New Roman" w:eastAsia="宋体"/>
          <w:sz w:val="24"/>
        </w:rPr>
        <w:t xml:space="preserve">with ovarian cancer divided by the metastatic status of lymph nodes. </w:t>
      </w:r>
      <w:r>
        <w:rPr>
          <w:rFonts w:ascii="Times New Roman" w:hAnsi="Times New Roman" w:eastAsia="宋体"/>
          <w:i/>
          <w:sz w:val="24"/>
        </w:rPr>
        <w:t>P</w:t>
      </w:r>
      <w:r>
        <w:rPr>
          <w:rFonts w:ascii="Times New Roman" w:hAnsi="Times New Roman" w:eastAsia="宋体"/>
          <w:sz w:val="24"/>
        </w:rPr>
        <w:t>&lt;0.01.</w:t>
      </w:r>
    </w:p>
    <w:p>
      <w:pPr>
        <w:pStyle w:val="8"/>
        <w:keepNext w:val="0"/>
        <w:keepLines w:val="0"/>
        <w:pageBreakBefore w:val="0"/>
        <w:numPr>
          <w:ilvl w:val="0"/>
          <w:numId w:val="1"/>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overall survivals (OS) of cases divided with the expression of LINC00152 in the cohorts from TCGA. </w:t>
      </w:r>
      <w:r>
        <w:rPr>
          <w:rFonts w:ascii="Times New Roman" w:hAnsi="Times New Roman" w:eastAsia="宋体"/>
          <w:i/>
          <w:sz w:val="24"/>
        </w:rPr>
        <w:t>P</w:t>
      </w:r>
      <w:r>
        <w:rPr>
          <w:rFonts w:ascii="Times New Roman" w:hAnsi="Times New Roman" w:eastAsia="宋体"/>
          <w:sz w:val="24"/>
        </w:rPr>
        <w:t xml:space="preserve">&lt;0.05. </w:t>
      </w:r>
    </w:p>
    <w:p>
      <w:pPr>
        <w:keepNext w:val="0"/>
        <w:keepLines w:val="0"/>
        <w:pageBreakBefore w:val="0"/>
        <w:kinsoku/>
        <w:wordWrap/>
        <w:overflowPunct/>
        <w:topLinePunct w:val="0"/>
        <w:bidi w:val="0"/>
        <w:snapToGrid/>
        <w:spacing w:line="480" w:lineRule="auto"/>
        <w:textAlignment w:val="auto"/>
        <w:rPr>
          <w:rFonts w:ascii="Times New Roman" w:hAnsi="Times New Roman" w:eastAsia="宋体"/>
          <w:b/>
          <w:sz w:val="24"/>
        </w:rPr>
      </w:pPr>
      <w:r>
        <w:rPr>
          <w:rFonts w:ascii="Times New Roman" w:hAnsi="Times New Roman" w:eastAsia="宋体"/>
          <w:b/>
          <w:sz w:val="24"/>
        </w:rPr>
        <w:t>Figure S2. The expression of LINC00152 in ovarian cells</w:t>
      </w:r>
      <w:r>
        <w:rPr>
          <w:rFonts w:hint="eastAsia" w:ascii="Times New Roman" w:hAnsi="Times New Roman" w:cs="Times New Roman"/>
          <w:b/>
          <w:color w:val="000000" w:themeColor="text1"/>
          <w:kern w:val="0"/>
          <w:sz w:val="24"/>
          <w:lang w:val="en-US" w:eastAsia="zh-CN"/>
          <w14:textFill>
            <w14:solidFill>
              <w14:schemeClr w14:val="tx1"/>
            </w14:solidFill>
          </w14:textFill>
        </w:rPr>
        <w:t>(Repeat the experiment no less than three times)</w:t>
      </w:r>
    </w:p>
    <w:p>
      <w:pPr>
        <w:pStyle w:val="8"/>
        <w:keepNext w:val="0"/>
        <w:keepLines w:val="0"/>
        <w:pageBreakBefore w:val="0"/>
        <w:numPr>
          <w:ilvl w:val="0"/>
          <w:numId w:val="2"/>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endogenous mRNA levels of LINC00152 in ovarian cell lines collected in this study detected by RT-qPCR. </w:t>
      </w:r>
    </w:p>
    <w:p>
      <w:pPr>
        <w:pStyle w:val="8"/>
        <w:keepNext w:val="0"/>
        <w:keepLines w:val="0"/>
        <w:pageBreakBefore w:val="0"/>
        <w:numPr>
          <w:ilvl w:val="0"/>
          <w:numId w:val="2"/>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mRNA levels of LINC00152 detected by RT-qPCR in A2780 and SKOV3 cells transfected with or without pcDNA3.1-LINC00152. *: </w:t>
      </w:r>
      <w:r>
        <w:rPr>
          <w:rFonts w:ascii="Times New Roman" w:hAnsi="Times New Roman" w:eastAsia="宋体"/>
          <w:i/>
          <w:sz w:val="24"/>
        </w:rPr>
        <w:t>P</w:t>
      </w:r>
      <w:r>
        <w:rPr>
          <w:rFonts w:ascii="Times New Roman" w:hAnsi="Times New Roman" w:eastAsia="宋体"/>
          <w:sz w:val="24"/>
        </w:rPr>
        <w:t xml:space="preserve">&lt;0.01. </w:t>
      </w:r>
    </w:p>
    <w:p>
      <w:pPr>
        <w:pStyle w:val="8"/>
        <w:keepNext w:val="0"/>
        <w:keepLines w:val="0"/>
        <w:pageBreakBefore w:val="0"/>
        <w:numPr>
          <w:ilvl w:val="0"/>
          <w:numId w:val="2"/>
        </w:numPr>
        <w:kinsoku/>
        <w:wordWrap/>
        <w:overflowPunct/>
        <w:topLinePunct w:val="0"/>
        <w:bidi w:val="0"/>
        <w:snapToGrid/>
        <w:spacing w:line="480" w:lineRule="auto"/>
        <w:ind w:firstLineChars="0"/>
        <w:textAlignment w:val="auto"/>
        <w:rPr>
          <w:rFonts w:ascii="Times New Roman" w:hAnsi="Times New Roman" w:eastAsia="宋体"/>
          <w:sz w:val="24"/>
        </w:rPr>
      </w:pPr>
      <w:r>
        <w:rPr>
          <w:rFonts w:ascii="Times New Roman" w:hAnsi="Times New Roman" w:eastAsia="宋体"/>
          <w:sz w:val="24"/>
        </w:rPr>
        <w:t xml:space="preserve">The mRNA levels of LINC00152 detected by RT-qPCR in CAOV3 and ES-3 cells transfected with siC or siRNAs of LINC00152. *: </w:t>
      </w:r>
      <w:r>
        <w:rPr>
          <w:rFonts w:ascii="Times New Roman" w:hAnsi="Times New Roman" w:eastAsia="宋体"/>
          <w:i/>
          <w:sz w:val="24"/>
        </w:rPr>
        <w:t>P</w:t>
      </w:r>
      <w:r>
        <w:rPr>
          <w:rFonts w:ascii="Times New Roman" w:hAnsi="Times New Roman" w:eastAsia="宋体"/>
          <w:sz w:val="24"/>
        </w:rPr>
        <w:t xml:space="preserve">&lt;0.01. </w:t>
      </w:r>
    </w:p>
    <w:p>
      <w:pPr>
        <w:keepNext w:val="0"/>
        <w:keepLines w:val="0"/>
        <w:pageBreakBefore w:val="0"/>
        <w:widowControl/>
        <w:kinsoku/>
        <w:wordWrap/>
        <w:overflowPunct/>
        <w:topLinePunct w:val="0"/>
        <w:autoSpaceDE w:val="0"/>
        <w:autoSpaceDN w:val="0"/>
        <w:bidi w:val="0"/>
        <w:adjustRightInd w:val="0"/>
        <w:snapToGrid/>
        <w:spacing w:after="240" w:line="480" w:lineRule="auto"/>
        <w:jc w:val="left"/>
        <w:textAlignment w:val="auto"/>
        <w:rPr>
          <w:rFonts w:ascii="Times New Roman" w:hAnsi="Times New Roman" w:eastAsia="宋体" w:cs="Times"/>
          <w:b/>
          <w:bCs/>
          <w:color w:val="000000" w:themeColor="text1"/>
          <w:sz w:val="24"/>
          <w14:textFill>
            <w14:solidFill>
              <w14:schemeClr w14:val="tx1"/>
            </w14:solidFill>
          </w14:textFill>
        </w:rPr>
      </w:pPr>
      <w:r>
        <w:rPr>
          <w:rFonts w:ascii="Times New Roman" w:hAnsi="Times New Roman" w:eastAsia="宋体"/>
          <w:b/>
          <w:sz w:val="24"/>
        </w:rPr>
        <w:t xml:space="preserve">Figure S3. </w:t>
      </w:r>
      <w:r>
        <w:rPr>
          <w:rFonts w:ascii="Times New Roman" w:hAnsi="Times New Roman" w:eastAsia="宋体" w:cs="Times"/>
          <w:b/>
          <w:bCs/>
          <w:color w:val="000000" w:themeColor="text1"/>
          <w:sz w:val="24"/>
          <w14:textFill>
            <w14:solidFill>
              <w14:schemeClr w14:val="tx1"/>
            </w14:solidFill>
          </w14:textFill>
        </w:rPr>
        <w:t>LINC00152 interacts with the co-localized BCL6 protein and elevates its level</w:t>
      </w:r>
      <w:r>
        <w:rPr>
          <w:rFonts w:hint="eastAsia" w:ascii="Times New Roman" w:hAnsi="Times New Roman" w:cs="Times New Roman"/>
          <w:b/>
          <w:color w:val="000000" w:themeColor="text1"/>
          <w:kern w:val="0"/>
          <w:sz w:val="24"/>
          <w:lang w:val="en-US" w:eastAsia="zh-CN"/>
          <w14:textFill>
            <w14:solidFill>
              <w14:schemeClr w14:val="tx1"/>
            </w14:solidFill>
          </w14:textFill>
        </w:rPr>
        <w:t>(Repeat the experiment no less than three times)</w:t>
      </w:r>
    </w:p>
    <w:p>
      <w:pPr>
        <w:keepNext w:val="0"/>
        <w:keepLines w:val="0"/>
        <w:pageBreakBefore w:val="0"/>
        <w:kinsoku/>
        <w:wordWrap/>
        <w:overflowPunct/>
        <w:topLinePunct w:val="0"/>
        <w:bidi w:val="0"/>
        <w:snapToGrid/>
        <w:spacing w:line="480" w:lineRule="auto"/>
        <w:ind w:left="243" w:leftChars="0" w:hanging="243" w:hangingChars="101"/>
        <w:textAlignment w:val="auto"/>
        <w:rPr>
          <w:rFonts w:ascii="Times New Roman" w:hAnsi="Times New Roman" w:eastAsia="宋体"/>
          <w:b/>
          <w:sz w:val="24"/>
        </w:rPr>
      </w:pPr>
      <w:r>
        <w:rPr>
          <w:rFonts w:ascii="Times New Roman" w:hAnsi="Times New Roman" w:eastAsia="宋体"/>
          <w:b/>
          <w:sz w:val="24"/>
        </w:rPr>
        <w:t xml:space="preserve">A. </w:t>
      </w:r>
      <w:r>
        <w:rPr>
          <w:rFonts w:ascii="Times New Roman" w:hAnsi="Times New Roman" w:eastAsia="宋体"/>
          <w:kern w:val="0"/>
          <w:sz w:val="24"/>
        </w:rPr>
        <w:t>LINC00152-protein complex immunoprecipitated using the RNA-protein pulldown kit from the H293T cells. The protein bands of SDS-PAGE were cut and digested and subjected to MS LC-MS/MS analysis. The base peak spectra of all the binding targets of BCL6 were shown.</w:t>
      </w:r>
    </w:p>
    <w:p>
      <w:pPr>
        <w:keepNext w:val="0"/>
        <w:keepLines w:val="0"/>
        <w:pageBreakBefore w:val="0"/>
        <w:kinsoku/>
        <w:wordWrap/>
        <w:overflowPunct/>
        <w:topLinePunct w:val="0"/>
        <w:bidi w:val="0"/>
        <w:snapToGrid/>
        <w:spacing w:line="480" w:lineRule="auto"/>
        <w:ind w:left="243" w:leftChars="0" w:hanging="243" w:hangingChars="101"/>
        <w:textAlignment w:val="auto"/>
        <w:rPr>
          <w:rFonts w:ascii="Times New Roman" w:hAnsi="Times New Roman" w:eastAsia="宋体"/>
          <w:b/>
          <w:sz w:val="24"/>
        </w:rPr>
      </w:pPr>
      <w:r>
        <w:rPr>
          <w:rFonts w:ascii="Times New Roman" w:hAnsi="Times New Roman" w:eastAsia="宋体"/>
          <w:b/>
          <w:sz w:val="24"/>
        </w:rPr>
        <w:t xml:space="preserve">B. </w:t>
      </w:r>
      <w:r>
        <w:rPr>
          <w:rFonts w:ascii="Times New Roman" w:hAnsi="Times New Roman" w:eastAsia="宋体"/>
          <w:sz w:val="24"/>
        </w:rPr>
        <w:t xml:space="preserve">The status summary of LINC00152 and BCL6 in 2 independent cohorts from TCGA analyzed by </w:t>
      </w:r>
      <w:r>
        <w:rPr>
          <w:rFonts w:ascii="Times New Roman" w:hAnsi="Times New Roman" w:eastAsia="宋体"/>
          <w:sz w:val="24"/>
        </w:rPr>
        <w:fldChar w:fldCharType="begin"/>
      </w:r>
      <w:r>
        <w:rPr>
          <w:rFonts w:ascii="Times New Roman" w:hAnsi="Times New Roman" w:eastAsia="宋体"/>
          <w:sz w:val="24"/>
        </w:rPr>
        <w:instrText xml:space="preserve"> HYPERLINK "http://www.cbioportal.com" </w:instrText>
      </w:r>
      <w:r>
        <w:rPr>
          <w:rFonts w:ascii="Times New Roman" w:hAnsi="Times New Roman" w:eastAsia="宋体"/>
          <w:sz w:val="24"/>
        </w:rPr>
        <w:fldChar w:fldCharType="separate"/>
      </w:r>
      <w:r>
        <w:rPr>
          <w:rStyle w:val="7"/>
          <w:rFonts w:ascii="Times New Roman" w:hAnsi="Times New Roman" w:eastAsia="宋体"/>
          <w:sz w:val="24"/>
        </w:rPr>
        <w:t>www.cbioportal.com</w:t>
      </w:r>
      <w:r>
        <w:rPr>
          <w:rStyle w:val="7"/>
          <w:rFonts w:ascii="Times New Roman" w:hAnsi="Times New Roman" w:eastAsia="宋体"/>
          <w:sz w:val="24"/>
        </w:rPr>
        <w:fldChar w:fldCharType="end"/>
      </w:r>
      <w:r>
        <w:rPr>
          <w:rFonts w:ascii="Times New Roman" w:hAnsi="Times New Roman" w:eastAsia="宋体"/>
          <w:sz w:val="24"/>
        </w:rPr>
        <w:t xml:space="preserve">. The gene status included mutation, amplification and deep deletion. </w:t>
      </w:r>
    </w:p>
    <w:p>
      <w:pPr>
        <w:keepNext w:val="0"/>
        <w:keepLines w:val="0"/>
        <w:pageBreakBefore w:val="0"/>
        <w:kinsoku/>
        <w:wordWrap/>
        <w:overflowPunct/>
        <w:topLinePunct w:val="0"/>
        <w:bidi w:val="0"/>
        <w:snapToGrid/>
        <w:spacing w:line="480" w:lineRule="auto"/>
        <w:ind w:left="243" w:leftChars="0" w:hanging="243" w:hangingChars="101"/>
        <w:textAlignment w:val="auto"/>
        <w:rPr>
          <w:rFonts w:ascii="Times New Roman" w:hAnsi="Times New Roman" w:eastAsia="宋体"/>
          <w:sz w:val="24"/>
        </w:rPr>
      </w:pPr>
      <w:r>
        <w:rPr>
          <w:rFonts w:ascii="Times New Roman" w:hAnsi="Times New Roman" w:eastAsia="宋体"/>
          <w:b/>
          <w:sz w:val="24"/>
        </w:rPr>
        <w:t xml:space="preserve">C. </w:t>
      </w:r>
      <w:r>
        <w:rPr>
          <w:rFonts w:ascii="Times New Roman" w:hAnsi="Times New Roman" w:eastAsia="宋体"/>
          <w:sz w:val="24"/>
        </w:rPr>
        <w:t xml:space="preserve">The mutual exclusivity analysis of LINC00152 and BCL6 in 2 independent cohorts of ovarian cancer in TCGA. The Tendency was calculated by </w:t>
      </w:r>
      <w:r>
        <w:rPr>
          <w:rFonts w:ascii="Times New Roman" w:hAnsi="Times New Roman" w:eastAsia="宋体"/>
          <w:sz w:val="24"/>
        </w:rPr>
        <w:fldChar w:fldCharType="begin"/>
      </w:r>
      <w:r>
        <w:rPr>
          <w:rFonts w:ascii="Times New Roman" w:hAnsi="Times New Roman" w:eastAsia="宋体"/>
          <w:sz w:val="24"/>
        </w:rPr>
        <w:instrText xml:space="preserve"> HYPERLINK "http://www.cbioportal.com" </w:instrText>
      </w:r>
      <w:r>
        <w:rPr>
          <w:rFonts w:ascii="Times New Roman" w:hAnsi="Times New Roman" w:eastAsia="宋体"/>
          <w:sz w:val="24"/>
        </w:rPr>
        <w:fldChar w:fldCharType="separate"/>
      </w:r>
      <w:r>
        <w:rPr>
          <w:rStyle w:val="7"/>
          <w:rFonts w:ascii="Times New Roman" w:hAnsi="Times New Roman" w:eastAsia="宋体"/>
          <w:sz w:val="24"/>
        </w:rPr>
        <w:t>www.cbioportal.com</w:t>
      </w:r>
      <w:r>
        <w:rPr>
          <w:rStyle w:val="7"/>
          <w:rFonts w:ascii="Times New Roman" w:hAnsi="Times New Roman" w:eastAsia="宋体"/>
          <w:sz w:val="24"/>
        </w:rPr>
        <w:fldChar w:fldCharType="end"/>
      </w:r>
      <w:r>
        <w:rPr>
          <w:rFonts w:ascii="Times New Roman" w:hAnsi="Times New Roman" w:eastAsia="宋体"/>
          <w:sz w:val="24"/>
        </w:rPr>
        <w:t xml:space="preserve">. </w:t>
      </w:r>
      <w:r>
        <w:rPr>
          <w:rFonts w:ascii="Times New Roman" w:hAnsi="Times New Roman" w:eastAsia="宋体"/>
          <w:i/>
          <w:sz w:val="24"/>
        </w:rPr>
        <w:t>P</w:t>
      </w:r>
      <w:r>
        <w:rPr>
          <w:rFonts w:ascii="Times New Roman" w:hAnsi="Times New Roman" w:eastAsia="宋体"/>
          <w:sz w:val="24"/>
        </w:rPr>
        <w:t xml:space="preserve">&lt;0.05. </w:t>
      </w:r>
    </w:p>
    <w:p>
      <w:pPr>
        <w:keepNext w:val="0"/>
        <w:keepLines w:val="0"/>
        <w:pageBreakBefore w:val="0"/>
        <w:kinsoku/>
        <w:wordWrap/>
        <w:overflowPunct/>
        <w:topLinePunct w:val="0"/>
        <w:bidi w:val="0"/>
        <w:snapToGrid/>
        <w:spacing w:line="480" w:lineRule="auto"/>
        <w:ind w:left="243" w:leftChars="0" w:hanging="243" w:hangingChars="101"/>
        <w:textAlignment w:val="auto"/>
        <w:rPr>
          <w:rFonts w:ascii="Times New Roman" w:hAnsi="Times New Roman" w:eastAsia="宋体"/>
          <w:sz w:val="24"/>
        </w:rPr>
      </w:pPr>
      <w:r>
        <w:rPr>
          <w:rFonts w:ascii="Times New Roman" w:hAnsi="Times New Roman" w:eastAsia="宋体"/>
          <w:b/>
          <w:sz w:val="24"/>
        </w:rPr>
        <w:t xml:space="preserve">D. </w:t>
      </w:r>
      <w:r>
        <w:rPr>
          <w:rFonts w:ascii="Times New Roman" w:hAnsi="Times New Roman" w:eastAsia="宋体"/>
          <w:sz w:val="24"/>
        </w:rPr>
        <w:t xml:space="preserve">The nucleus-cytoplasm split RNA/protein extraction and detection of LINC00152 and BCL6 protein in ES-2 and CAOV3 cells. The RNA was detected by RT-qPCR and the protein was detected by western blot. GAPDH, U6 and MTMR1 were used as the controls of total RNA, nuclear RNA and </w:t>
      </w:r>
      <w:r>
        <w:rPr>
          <w:rFonts w:hint="eastAsia" w:ascii="Times New Roman" w:hAnsi="Times New Roman" w:eastAsia="宋体"/>
          <w:sz w:val="24"/>
        </w:rPr>
        <w:t>cytoplasmic RNA</w:t>
      </w:r>
      <w:r>
        <w:rPr>
          <w:rFonts w:ascii="Times New Roman" w:hAnsi="Times New Roman" w:eastAsia="宋体"/>
          <w:sz w:val="24"/>
        </w:rPr>
        <w:t xml:space="preserve">. </w:t>
      </w:r>
      <m:oMath>
        <m:r>
          <m:rPr>
            <m:sty m:val="p"/>
          </m:rPr>
          <w:rPr>
            <w:rFonts w:ascii="Cambria Math" w:hAnsi="Cambria Math" w:eastAsia="宋体"/>
            <w:sz w:val="24"/>
          </w:rPr>
          <m:t>β</m:t>
        </m:r>
      </m:oMath>
      <w:r>
        <w:rPr>
          <w:rFonts w:ascii="Times New Roman" w:hAnsi="Times New Roman" w:eastAsia="宋体"/>
          <w:sz w:val="24"/>
        </w:rPr>
        <w:t xml:space="preserve">-ACTIN was used as the control for western blot. </w:t>
      </w:r>
    </w:p>
    <w:p>
      <w:pPr>
        <w:keepNext w:val="0"/>
        <w:keepLines w:val="0"/>
        <w:pageBreakBefore w:val="0"/>
        <w:kinsoku/>
        <w:wordWrap/>
        <w:overflowPunct/>
        <w:topLinePunct w:val="0"/>
        <w:bidi w:val="0"/>
        <w:snapToGrid/>
        <w:spacing w:line="480" w:lineRule="auto"/>
        <w:ind w:left="243" w:leftChars="0" w:hanging="243" w:hangingChars="101"/>
        <w:textAlignment w:val="auto"/>
        <w:rPr>
          <w:rFonts w:ascii="Times New Roman" w:hAnsi="Times New Roman" w:eastAsia="宋体"/>
          <w:sz w:val="24"/>
        </w:rPr>
      </w:pPr>
      <w:r>
        <w:rPr>
          <w:rFonts w:ascii="Times New Roman" w:hAnsi="Times New Roman" w:eastAsia="宋体"/>
          <w:b/>
          <w:sz w:val="24"/>
        </w:rPr>
        <w:t xml:space="preserve">E. </w:t>
      </w:r>
      <w:r>
        <w:rPr>
          <w:rFonts w:ascii="Times New Roman" w:hAnsi="Times New Roman" w:eastAsia="宋体"/>
          <w:sz w:val="24"/>
        </w:rPr>
        <w:t xml:space="preserve">The subcellular localizations of LINC00152 and BCL6 dual staining in ES-2 cells and CAOV3 cells detected by RNA-protein dual immunofluorescence. The LINC00152 mRNA probe (green) and anti-BCL6 antibody (red) were used. DAPI (blue) was used for the nucleus. </w:t>
      </w:r>
    </w:p>
    <w:p>
      <w:pPr>
        <w:keepNext w:val="0"/>
        <w:keepLines w:val="0"/>
        <w:pageBreakBefore w:val="0"/>
        <w:widowControl/>
        <w:kinsoku/>
        <w:wordWrap/>
        <w:overflowPunct/>
        <w:topLinePunct w:val="0"/>
        <w:autoSpaceDE w:val="0"/>
        <w:autoSpaceDN w:val="0"/>
        <w:bidi w:val="0"/>
        <w:adjustRightInd w:val="0"/>
        <w:snapToGrid/>
        <w:spacing w:after="240" w:line="480" w:lineRule="auto"/>
        <w:jc w:val="left"/>
        <w:textAlignment w:val="auto"/>
        <w:rPr>
          <w:rFonts w:ascii="Times New Roman" w:hAnsi="Times New Roman" w:eastAsia="宋体"/>
          <w:b/>
          <w:color w:val="000000" w:themeColor="text1"/>
          <w:kern w:val="0"/>
          <w:sz w:val="24"/>
          <w14:textFill>
            <w14:solidFill>
              <w14:schemeClr w14:val="tx1"/>
            </w14:solidFill>
          </w14:textFill>
        </w:rPr>
      </w:pPr>
      <w:r>
        <w:rPr>
          <w:rFonts w:ascii="Times New Roman" w:hAnsi="Times New Roman" w:eastAsia="宋体"/>
          <w:b/>
          <w:sz w:val="24"/>
        </w:rPr>
        <w:t xml:space="preserve">Figure S4. </w:t>
      </w:r>
      <w:r>
        <w:rPr>
          <w:rFonts w:ascii="Times New Roman" w:hAnsi="Times New Roman" w:eastAsia="宋体"/>
          <w:b/>
          <w:color w:val="000000" w:themeColor="text1"/>
          <w:kern w:val="0"/>
          <w:sz w:val="24"/>
          <w14:textFill>
            <w14:solidFill>
              <w14:schemeClr w14:val="tx1"/>
            </w14:solidFill>
          </w14:textFill>
        </w:rPr>
        <w:t>LINC00152 elevates the level of BCL6 protein by binding its specific sites and suppressing its ubiquitination</w:t>
      </w:r>
      <w:r>
        <w:rPr>
          <w:rFonts w:hint="eastAsia" w:ascii="Times New Roman" w:hAnsi="Times New Roman" w:cs="Times New Roman"/>
          <w:b/>
          <w:color w:val="000000" w:themeColor="text1"/>
          <w:kern w:val="0"/>
          <w:sz w:val="24"/>
          <w:lang w:val="en-US" w:eastAsia="zh-CN"/>
          <w14:textFill>
            <w14:solidFill>
              <w14:schemeClr w14:val="tx1"/>
            </w14:solidFill>
          </w14:textFill>
        </w:rPr>
        <w:t>(Repeat the experiment no less than three times)</w:t>
      </w:r>
    </w:p>
    <w:p>
      <w:pPr>
        <w:pStyle w:val="8"/>
        <w:keepNext w:val="0"/>
        <w:keepLines w:val="0"/>
        <w:pageBreakBefore w:val="0"/>
        <w:widowControl/>
        <w:numPr>
          <w:ilvl w:val="0"/>
          <w:numId w:val="3"/>
        </w:numPr>
        <w:kinsoku/>
        <w:wordWrap/>
        <w:overflowPunct/>
        <w:topLinePunct w:val="0"/>
        <w:autoSpaceDE w:val="0"/>
        <w:autoSpaceDN w:val="0"/>
        <w:bidi w:val="0"/>
        <w:adjustRightInd w:val="0"/>
        <w:snapToGrid/>
        <w:spacing w:after="240" w:line="480" w:lineRule="auto"/>
        <w:ind w:firstLineChars="0"/>
        <w:textAlignment w:val="auto"/>
        <w:rPr>
          <w:rFonts w:ascii="Times New Roman" w:hAnsi="Times New Roman" w:eastAsia="宋体"/>
          <w:sz w:val="24"/>
        </w:rPr>
      </w:pPr>
      <w:r>
        <w:rPr>
          <w:rFonts w:ascii="Times New Roman" w:hAnsi="Times New Roman" w:eastAsia="宋体"/>
          <w:sz w:val="24"/>
        </w:rPr>
        <w:t xml:space="preserve">The analytic graphs of percentage of BCL6 at the indicated time points in SKOV3 and A2780 cells transfected with pcDNA3.1 and LINC00152 under the influence of CHX. The Protein level of BCL6 was quantified by ImageJ. *: </w:t>
      </w:r>
      <w:r>
        <w:rPr>
          <w:rFonts w:ascii="Times New Roman" w:hAnsi="Times New Roman" w:eastAsia="宋体"/>
          <w:i/>
          <w:sz w:val="24"/>
        </w:rPr>
        <w:t>P</w:t>
      </w:r>
      <w:r>
        <w:rPr>
          <w:rFonts w:ascii="Times New Roman" w:hAnsi="Times New Roman" w:eastAsia="宋体"/>
          <w:sz w:val="24"/>
        </w:rPr>
        <w:t xml:space="preserve">&lt;0.05. **: </w:t>
      </w:r>
      <w:r>
        <w:rPr>
          <w:rFonts w:ascii="Times New Roman" w:hAnsi="Times New Roman" w:eastAsia="宋体"/>
          <w:i/>
          <w:sz w:val="24"/>
        </w:rPr>
        <w:t>P</w:t>
      </w:r>
      <w:r>
        <w:rPr>
          <w:rFonts w:ascii="Times New Roman" w:hAnsi="Times New Roman" w:eastAsia="宋体"/>
          <w:sz w:val="24"/>
        </w:rPr>
        <w:t xml:space="preserve">&lt;0.01. </w:t>
      </w:r>
    </w:p>
    <w:p>
      <w:pPr>
        <w:pStyle w:val="8"/>
        <w:keepNext w:val="0"/>
        <w:keepLines w:val="0"/>
        <w:pageBreakBefore w:val="0"/>
        <w:widowControl/>
        <w:numPr>
          <w:ilvl w:val="0"/>
          <w:numId w:val="3"/>
        </w:numPr>
        <w:kinsoku/>
        <w:wordWrap/>
        <w:overflowPunct/>
        <w:topLinePunct w:val="0"/>
        <w:autoSpaceDE w:val="0"/>
        <w:autoSpaceDN w:val="0"/>
        <w:bidi w:val="0"/>
        <w:adjustRightInd w:val="0"/>
        <w:snapToGrid/>
        <w:spacing w:after="240" w:line="480" w:lineRule="auto"/>
        <w:ind w:firstLineChars="0"/>
        <w:textAlignment w:val="auto"/>
        <w:rPr>
          <w:rFonts w:ascii="Times New Roman" w:hAnsi="Times New Roman" w:eastAsia="宋体"/>
          <w:sz w:val="24"/>
        </w:rPr>
      </w:pPr>
      <w:r>
        <w:rPr>
          <w:rFonts w:ascii="Times New Roman" w:hAnsi="Times New Roman" w:eastAsia="宋体"/>
          <w:sz w:val="24"/>
        </w:rPr>
        <w:t xml:space="preserve">The </w:t>
      </w:r>
      <w:r>
        <w:rPr>
          <w:rFonts w:ascii="Times New Roman" w:hAnsi="Times New Roman" w:eastAsia="宋体"/>
          <w:i/>
          <w:sz w:val="24"/>
        </w:rPr>
        <w:t>in vivo</w:t>
      </w:r>
      <w:r>
        <w:rPr>
          <w:rFonts w:ascii="Times New Roman" w:hAnsi="Times New Roman" w:eastAsia="宋体"/>
          <w:sz w:val="24"/>
        </w:rPr>
        <w:t xml:space="preserve"> ubiquitination assays showed the endogenous polyubiquinated-BCL6 protein in NC and LINC00152-overexpressing ES-2 cells. </w:t>
      </w:r>
    </w:p>
    <w:p>
      <w:pPr>
        <w:pStyle w:val="8"/>
        <w:keepNext w:val="0"/>
        <w:keepLines w:val="0"/>
        <w:pageBreakBefore w:val="0"/>
        <w:widowControl/>
        <w:numPr>
          <w:ilvl w:val="0"/>
          <w:numId w:val="3"/>
        </w:numPr>
        <w:kinsoku/>
        <w:wordWrap/>
        <w:overflowPunct/>
        <w:topLinePunct w:val="0"/>
        <w:autoSpaceDE w:val="0"/>
        <w:autoSpaceDN w:val="0"/>
        <w:bidi w:val="0"/>
        <w:adjustRightInd w:val="0"/>
        <w:snapToGrid/>
        <w:spacing w:after="240" w:line="480" w:lineRule="auto"/>
        <w:ind w:firstLineChars="0"/>
        <w:textAlignment w:val="auto"/>
        <w:rPr>
          <w:rFonts w:ascii="Times New Roman" w:hAnsi="Times New Roman" w:eastAsia="宋体"/>
          <w:sz w:val="24"/>
        </w:rPr>
      </w:pPr>
      <w:r>
        <w:rPr>
          <w:rFonts w:ascii="Times New Roman" w:hAnsi="Times New Roman" w:eastAsia="宋体"/>
          <w:sz w:val="24"/>
        </w:rPr>
        <w:t xml:space="preserve">The </w:t>
      </w:r>
      <w:r>
        <w:rPr>
          <w:rFonts w:ascii="Times New Roman" w:hAnsi="Times New Roman" w:eastAsia="宋体"/>
          <w:i/>
          <w:sz w:val="24"/>
        </w:rPr>
        <w:t>in vivo</w:t>
      </w:r>
      <w:r>
        <w:rPr>
          <w:rFonts w:ascii="Times New Roman" w:hAnsi="Times New Roman" w:eastAsia="宋体"/>
          <w:sz w:val="24"/>
        </w:rPr>
        <w:t xml:space="preserve"> ubiquitination assays showed the exogenous polyubiquinated-BCL6 protein in NC and LINC00152-overexpressing A2780 cells. </w:t>
      </w: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sz w:val="24"/>
        </w:rPr>
      </w:pPr>
    </w:p>
    <w:p>
      <w:pPr>
        <w:keepNext w:val="0"/>
        <w:keepLines w:val="0"/>
        <w:pageBreakBefore w:val="0"/>
        <w:kinsoku/>
        <w:wordWrap/>
        <w:overflowPunct/>
        <w:topLinePunct w:val="0"/>
        <w:bidi w:val="0"/>
        <w:snapToGrid/>
        <w:spacing w:line="240" w:lineRule="auto"/>
        <w:textAlignment w:val="auto"/>
        <w:rPr>
          <w:rFonts w:hint="eastAsia" w:ascii="Times New Roman" w:hAnsi="Times New Roman"/>
          <w:b/>
          <w:sz w:val="24"/>
          <w:lang w:val="en-US" w:eastAsia="zh-CN"/>
        </w:rPr>
      </w:pPr>
      <w:r>
        <w:rPr>
          <w:rFonts w:ascii="Times New Roman" w:hAnsi="Times New Roman" w:eastAsia="宋体"/>
          <w:b/>
          <w:sz w:val="24"/>
        </w:rPr>
        <w:t>Supplementary Figure</w:t>
      </w:r>
      <w:r>
        <w:rPr>
          <w:rFonts w:hint="eastAsia" w:ascii="Times New Roman" w:hAnsi="Times New Roman"/>
          <w:b/>
          <w:sz w:val="24"/>
          <w:lang w:val="en-US" w:eastAsia="zh-CN"/>
        </w:rPr>
        <w:t>s</w:t>
      </w:r>
    </w:p>
    <w:p>
      <w:pPr>
        <w:keepNext w:val="0"/>
        <w:keepLines w:val="0"/>
        <w:pageBreakBefore w:val="0"/>
        <w:kinsoku/>
        <w:wordWrap/>
        <w:overflowPunct/>
        <w:topLinePunct w:val="0"/>
        <w:bidi w:val="0"/>
        <w:snapToGrid/>
        <w:spacing w:line="240" w:lineRule="auto"/>
        <w:textAlignment w:val="auto"/>
        <w:rPr>
          <w:rFonts w:hint="eastAsia" w:ascii="Times New Roman" w:hAnsi="Times New Roman"/>
          <w:b w:val="0"/>
          <w:bCs/>
          <w:sz w:val="24"/>
          <w:lang w:val="en-US" w:eastAsia="zh-CN"/>
        </w:rPr>
      </w:pPr>
      <w:r>
        <w:rPr>
          <w:rFonts w:ascii="Times New Roman" w:hAnsi="Times New Roman" w:eastAsia="宋体"/>
          <w:b w:val="0"/>
          <w:bCs/>
          <w:sz w:val="24"/>
        </w:rPr>
        <w:t>Figure S1</w:t>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r>
        <w:rPr>
          <w:rFonts w:hint="eastAsia" w:ascii="Times New Roman" w:hAnsi="Times New Roman" w:eastAsia="宋体"/>
          <w:b/>
          <w:sz w:val="24"/>
          <w:lang w:val="en-US" w:eastAsia="zh-CN"/>
        </w:rPr>
        <w:drawing>
          <wp:inline distT="0" distB="0" distL="114300" distR="114300">
            <wp:extent cx="2160905" cy="2880360"/>
            <wp:effectExtent l="0" t="0" r="10795" b="15240"/>
            <wp:docPr id="7" name="图片 7"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 S1"/>
                    <pic:cNvPicPr>
                      <a:picLocks noChangeAspect="1"/>
                    </pic:cNvPicPr>
                  </pic:nvPicPr>
                  <pic:blipFill>
                    <a:blip r:embed="rId5"/>
                    <a:stretch>
                      <a:fillRect/>
                    </a:stretch>
                  </pic:blipFill>
                  <pic:spPr>
                    <a:xfrm>
                      <a:off x="0" y="0"/>
                      <a:ext cx="2160905" cy="2880360"/>
                    </a:xfrm>
                    <a:prstGeom prst="rect">
                      <a:avLst/>
                    </a:prstGeom>
                  </pic:spPr>
                </pic:pic>
              </a:graphicData>
            </a:graphic>
          </wp:inline>
        </w:drawing>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val="0"/>
          <w:bCs/>
          <w:sz w:val="24"/>
          <w:lang w:val="en-US" w:eastAsia="zh-CN"/>
        </w:rPr>
      </w:pPr>
      <w:r>
        <w:rPr>
          <w:rFonts w:ascii="Times New Roman" w:hAnsi="Times New Roman" w:eastAsia="宋体"/>
          <w:b w:val="0"/>
          <w:bCs/>
          <w:sz w:val="24"/>
        </w:rPr>
        <w:t>Figure S</w:t>
      </w:r>
      <w:r>
        <w:rPr>
          <w:rFonts w:hint="eastAsia" w:ascii="Times New Roman" w:hAnsi="Times New Roman"/>
          <w:b w:val="0"/>
          <w:bCs/>
          <w:sz w:val="24"/>
          <w:lang w:val="en-US" w:eastAsia="zh-CN"/>
        </w:rPr>
        <w:t>2</w:t>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r>
        <w:rPr>
          <w:rFonts w:hint="eastAsia" w:ascii="Times New Roman" w:hAnsi="Times New Roman" w:eastAsia="宋体"/>
          <w:b/>
          <w:sz w:val="24"/>
          <w:lang w:val="en-US" w:eastAsia="zh-CN"/>
        </w:rPr>
        <w:drawing>
          <wp:inline distT="0" distB="0" distL="114300" distR="114300">
            <wp:extent cx="2160905" cy="2872740"/>
            <wp:effectExtent l="0" t="0" r="10795" b="3810"/>
            <wp:docPr id="6" name="图片 6" descr="Fig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 S2"/>
                    <pic:cNvPicPr>
                      <a:picLocks noChangeAspect="1"/>
                    </pic:cNvPicPr>
                  </pic:nvPicPr>
                  <pic:blipFill>
                    <a:blip r:embed="rId6"/>
                    <a:stretch>
                      <a:fillRect/>
                    </a:stretch>
                  </pic:blipFill>
                  <pic:spPr>
                    <a:xfrm>
                      <a:off x="0" y="0"/>
                      <a:ext cx="2160905" cy="2872740"/>
                    </a:xfrm>
                    <a:prstGeom prst="rect">
                      <a:avLst/>
                    </a:prstGeom>
                  </pic:spPr>
                </pic:pic>
              </a:graphicData>
            </a:graphic>
          </wp:inline>
        </w:drawing>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ascii="Times New Roman" w:hAnsi="Times New Roman" w:eastAsia="宋体"/>
          <w:b w:val="0"/>
          <w:bCs/>
          <w:sz w:val="24"/>
        </w:rPr>
      </w:pP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val="0"/>
          <w:bCs/>
          <w:sz w:val="24"/>
          <w:lang w:val="en-US" w:eastAsia="zh-CN"/>
        </w:rPr>
      </w:pPr>
      <w:r>
        <w:rPr>
          <w:rFonts w:ascii="Times New Roman" w:hAnsi="Times New Roman" w:eastAsia="宋体"/>
          <w:b w:val="0"/>
          <w:bCs/>
          <w:sz w:val="24"/>
        </w:rPr>
        <w:t>Figure S</w:t>
      </w:r>
      <w:r>
        <w:rPr>
          <w:rFonts w:hint="eastAsia" w:ascii="Times New Roman" w:hAnsi="Times New Roman"/>
          <w:b w:val="0"/>
          <w:bCs/>
          <w:sz w:val="24"/>
          <w:lang w:val="en-US" w:eastAsia="zh-CN"/>
        </w:rPr>
        <w:t>3</w:t>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r>
        <w:rPr>
          <w:rFonts w:hint="eastAsia" w:ascii="Times New Roman" w:hAnsi="Times New Roman" w:eastAsia="宋体"/>
          <w:b/>
          <w:sz w:val="24"/>
          <w:lang w:val="en-US" w:eastAsia="zh-CN"/>
        </w:rPr>
        <w:drawing>
          <wp:inline distT="0" distB="0" distL="114300" distR="114300">
            <wp:extent cx="2160905" cy="2880360"/>
            <wp:effectExtent l="0" t="0" r="10795" b="15240"/>
            <wp:docPr id="9" name="图片 9" descr="Fig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ig S3"/>
                    <pic:cNvPicPr>
                      <a:picLocks noChangeAspect="1"/>
                    </pic:cNvPicPr>
                  </pic:nvPicPr>
                  <pic:blipFill>
                    <a:blip r:embed="rId7"/>
                    <a:stretch>
                      <a:fillRect/>
                    </a:stretch>
                  </pic:blipFill>
                  <pic:spPr>
                    <a:xfrm>
                      <a:off x="0" y="0"/>
                      <a:ext cx="2160905" cy="2880360"/>
                    </a:xfrm>
                    <a:prstGeom prst="rect">
                      <a:avLst/>
                    </a:prstGeom>
                  </pic:spPr>
                </pic:pic>
              </a:graphicData>
            </a:graphic>
          </wp:inline>
        </w:drawing>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r>
        <w:rPr>
          <w:rFonts w:ascii="Times New Roman" w:hAnsi="Times New Roman" w:eastAsia="宋体"/>
          <w:b w:val="0"/>
          <w:bCs/>
          <w:sz w:val="24"/>
        </w:rPr>
        <w:t>Figure S</w:t>
      </w:r>
      <w:r>
        <w:rPr>
          <w:rFonts w:hint="eastAsia" w:ascii="Times New Roman" w:hAnsi="Times New Roman"/>
          <w:b w:val="0"/>
          <w:bCs/>
          <w:sz w:val="24"/>
          <w:lang w:val="en-US" w:eastAsia="zh-CN"/>
        </w:rPr>
        <w:t>4</w:t>
      </w:r>
    </w:p>
    <w:p>
      <w:pPr>
        <w:keepNext w:val="0"/>
        <w:keepLines w:val="0"/>
        <w:pageBreakBefore w:val="0"/>
        <w:kinsoku/>
        <w:wordWrap/>
        <w:overflowPunct/>
        <w:topLinePunct w:val="0"/>
        <w:bidi w:val="0"/>
        <w:snapToGrid/>
        <w:spacing w:line="240" w:lineRule="auto"/>
        <w:textAlignment w:val="auto"/>
        <w:rPr>
          <w:rFonts w:hint="eastAsia" w:ascii="Times New Roman" w:hAnsi="Times New Roman" w:eastAsia="宋体"/>
          <w:b/>
          <w:sz w:val="24"/>
          <w:lang w:val="en-US" w:eastAsia="zh-CN"/>
        </w:rPr>
      </w:pPr>
      <w:r>
        <w:rPr>
          <w:rFonts w:hint="eastAsia" w:ascii="Times New Roman" w:hAnsi="Times New Roman" w:eastAsia="宋体"/>
          <w:b/>
          <w:sz w:val="24"/>
          <w:lang w:val="en-US" w:eastAsia="zh-CN"/>
        </w:rPr>
        <w:drawing>
          <wp:inline distT="0" distB="0" distL="114300" distR="114300">
            <wp:extent cx="2160905" cy="2880360"/>
            <wp:effectExtent l="0" t="0" r="10795" b="15240"/>
            <wp:docPr id="8" name="图片 8" descr="Fig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Fig S4"/>
                    <pic:cNvPicPr>
                      <a:picLocks noChangeAspect="1"/>
                    </pic:cNvPicPr>
                  </pic:nvPicPr>
                  <pic:blipFill>
                    <a:blip r:embed="rId8"/>
                    <a:stretch>
                      <a:fillRect/>
                    </a:stretch>
                  </pic:blipFill>
                  <pic:spPr>
                    <a:xfrm>
                      <a:off x="0" y="0"/>
                      <a:ext cx="2160905" cy="2880360"/>
                    </a:xfrm>
                    <a:prstGeom prst="rect">
                      <a:avLst/>
                    </a:prstGeom>
                  </pic:spPr>
                </pic:pic>
              </a:graphicData>
            </a:graphic>
          </wp:inline>
        </w:drawing>
      </w:r>
    </w:p>
    <w:sectPr>
      <w:footerReference r:id="rId3" w:type="default"/>
      <w:pgSz w:w="11900" w:h="16840"/>
      <w:pgMar w:top="1440" w:right="1916" w:bottom="1440" w:left="1560" w:header="851" w:footer="992" w:gutter="0"/>
      <w:lnNumType w:countBy="1"/>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Advp497e4">
    <w:altName w:val="黑体"/>
    <w:panose1 w:val="00000000000000000000"/>
    <w:charset w:val="86"/>
    <w:family w:val="auto"/>
    <w:pitch w:val="default"/>
    <w:sig w:usb0="00000000" w:usb1="00000000" w:usb2="00000010" w:usb3="00000000" w:csb0="00040000" w:csb1="00000000"/>
  </w:font>
  <w:font w:name="Times">
    <w:altName w:val="Times New Roman"/>
    <w:panose1 w:val="00000500000000020000"/>
    <w:charset w:val="00"/>
    <w:family w:val="auto"/>
    <w:pitch w:val="default"/>
    <w:sig w:usb0="00000000" w:usb1="00000000" w:usb2="00000000" w:usb3="00000000" w:csb0="00000001" w:csb1="00000000"/>
  </w:font>
  <w:font w:name="Cambria Math">
    <w:panose1 w:val="02040503050406030204"/>
    <w:charset w:val="00"/>
    <w:family w:val="auto"/>
    <w:pitch w:val="default"/>
    <w:sig w:usb0="E00002FF" w:usb1="420024FF" w:usb2="0000000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35046"/>
    <w:multiLevelType w:val="multilevel"/>
    <w:tmpl w:val="0E435046"/>
    <w:lvl w:ilvl="0" w:tentative="0">
      <w:start w:val="1"/>
      <w:numFmt w:val="upperLetter"/>
      <w:lvlText w:val="%1."/>
      <w:lvlJc w:val="left"/>
      <w:pPr>
        <w:ind w:left="360" w:hanging="360"/>
      </w:pPr>
      <w:rPr>
        <w:rFonts w:hint="default"/>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1">
    <w:nsid w:val="33A90F0F"/>
    <w:multiLevelType w:val="multilevel"/>
    <w:tmpl w:val="33A90F0F"/>
    <w:lvl w:ilvl="0" w:tentative="0">
      <w:start w:val="1"/>
      <w:numFmt w:val="upperLetter"/>
      <w:lvlText w:val="%1."/>
      <w:lvlJc w:val="left"/>
      <w:pPr>
        <w:ind w:left="360" w:hanging="360"/>
      </w:pPr>
      <w:rPr>
        <w:rFonts w:hint="default"/>
        <w:b/>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abstractNum w:abstractNumId="2">
    <w:nsid w:val="69E07CD7"/>
    <w:multiLevelType w:val="multilevel"/>
    <w:tmpl w:val="69E07CD7"/>
    <w:lvl w:ilvl="0" w:tentative="0">
      <w:start w:val="1"/>
      <w:numFmt w:val="upperLetter"/>
      <w:lvlText w:val="%1."/>
      <w:lvlJc w:val="left"/>
      <w:pPr>
        <w:ind w:left="360" w:hanging="360"/>
      </w:pPr>
      <w:rPr>
        <w:rFonts w:hint="default"/>
        <w:b/>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1D5C21"/>
    <w:rsid w:val="05756DE4"/>
    <w:rsid w:val="1137688A"/>
    <w:rsid w:val="148657E2"/>
    <w:rsid w:val="15597836"/>
    <w:rsid w:val="236D706C"/>
    <w:rsid w:val="26DA3E63"/>
    <w:rsid w:val="365826E3"/>
    <w:rsid w:val="36FD43AA"/>
    <w:rsid w:val="3840393C"/>
    <w:rsid w:val="38815F1D"/>
    <w:rsid w:val="4E207AE9"/>
    <w:rsid w:val="64650057"/>
    <w:rsid w:val="6C1D5C21"/>
    <w:rsid w:val="6D642A18"/>
    <w:rsid w:val="7E862F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mbria" w:hAnsi="Cambria"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Times New Roman"/>
      <w:kern w:val="2"/>
      <w:sz w:val="24"/>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2020-02-08T08:00:00Z</dcterms:created>
  <dc:creator>wangsn@126.com</dc:creator>
  <cp:lastModifiedBy>wangsn@126.com</cp:lastModifiedBy>
  <dcterms:modified xsi:type="dcterms:W3CDTF">2020-03-14T12:17:03Z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