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B4CCB" w14:textId="77777777" w:rsidR="00D43EDF" w:rsidRPr="00AC7006" w:rsidRDefault="00D43EDF" w:rsidP="00D43EDF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AC7006">
        <w:rPr>
          <w:rFonts w:asciiTheme="majorBidi" w:hAnsiTheme="majorBidi" w:cstheme="majorBidi"/>
          <w:b/>
          <w:bCs/>
          <w:sz w:val="24"/>
          <w:szCs w:val="24"/>
        </w:rPr>
        <w:t>eTable 1: Logistic regression analysis for risk factors of IVH:</w:t>
      </w:r>
    </w:p>
    <w:tbl>
      <w:tblPr>
        <w:tblW w:w="90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8"/>
        <w:gridCol w:w="1024"/>
        <w:gridCol w:w="1025"/>
        <w:gridCol w:w="1025"/>
        <w:gridCol w:w="1087"/>
        <w:gridCol w:w="1087"/>
        <w:gridCol w:w="1319"/>
      </w:tblGrid>
      <w:tr w:rsidR="00D43EDF" w:rsidRPr="00AC7006" w14:paraId="0733CF3D" w14:textId="77777777" w:rsidTr="002C7549">
        <w:trPr>
          <w:cantSplit/>
        </w:trPr>
        <w:tc>
          <w:tcPr>
            <w:tcW w:w="2518" w:type="dxa"/>
            <w:vMerge w:val="restart"/>
            <w:shd w:val="clear" w:color="auto" w:fill="FFFFFF"/>
            <w:vAlign w:val="center"/>
          </w:tcPr>
          <w:p w14:paraId="7D1DE8ED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4" w:type="dxa"/>
            <w:vMerge w:val="restart"/>
            <w:shd w:val="clear" w:color="auto" w:fill="FFFFFF"/>
            <w:vAlign w:val="center"/>
          </w:tcPr>
          <w:p w14:paraId="7F7DBC7D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1025" w:type="dxa"/>
            <w:vMerge w:val="restart"/>
            <w:shd w:val="clear" w:color="auto" w:fill="FFFFFF"/>
            <w:vAlign w:val="center"/>
          </w:tcPr>
          <w:p w14:paraId="15B4F2EF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S.E.</w:t>
            </w:r>
          </w:p>
        </w:tc>
        <w:tc>
          <w:tcPr>
            <w:tcW w:w="1025" w:type="dxa"/>
            <w:vMerge w:val="restart"/>
            <w:shd w:val="clear" w:color="auto" w:fill="FFFFFF"/>
            <w:vAlign w:val="center"/>
          </w:tcPr>
          <w:p w14:paraId="59D8877A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Sig.</w:t>
            </w:r>
          </w:p>
        </w:tc>
        <w:tc>
          <w:tcPr>
            <w:tcW w:w="1087" w:type="dxa"/>
            <w:vMerge w:val="restart"/>
            <w:shd w:val="clear" w:color="auto" w:fill="FFFFFF"/>
            <w:vAlign w:val="center"/>
          </w:tcPr>
          <w:p w14:paraId="62D22630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Odds ratio</w:t>
            </w:r>
          </w:p>
        </w:tc>
        <w:tc>
          <w:tcPr>
            <w:tcW w:w="2406" w:type="dxa"/>
            <w:gridSpan w:val="2"/>
            <w:shd w:val="clear" w:color="auto" w:fill="FFFFFF"/>
            <w:vAlign w:val="center"/>
          </w:tcPr>
          <w:p w14:paraId="330FFB98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95% CI for odds ratio</w:t>
            </w:r>
          </w:p>
        </w:tc>
      </w:tr>
      <w:tr w:rsidR="00D43EDF" w:rsidRPr="00AC7006" w14:paraId="632C6BF6" w14:textId="77777777" w:rsidTr="002C7549">
        <w:trPr>
          <w:cantSplit/>
        </w:trPr>
        <w:tc>
          <w:tcPr>
            <w:tcW w:w="2518" w:type="dxa"/>
            <w:vMerge/>
            <w:shd w:val="clear" w:color="auto" w:fill="FFFFFF"/>
            <w:vAlign w:val="center"/>
          </w:tcPr>
          <w:p w14:paraId="69A2028B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4" w:type="dxa"/>
            <w:vMerge/>
            <w:shd w:val="clear" w:color="auto" w:fill="FFFFFF"/>
            <w:vAlign w:val="center"/>
          </w:tcPr>
          <w:p w14:paraId="07486EDC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5" w:type="dxa"/>
            <w:vMerge/>
            <w:shd w:val="clear" w:color="auto" w:fill="FFFFFF"/>
            <w:vAlign w:val="center"/>
          </w:tcPr>
          <w:p w14:paraId="00D191AB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25" w:type="dxa"/>
            <w:vMerge/>
            <w:shd w:val="clear" w:color="auto" w:fill="FFFFFF"/>
            <w:vAlign w:val="center"/>
          </w:tcPr>
          <w:p w14:paraId="02CDF2E4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7" w:type="dxa"/>
            <w:vMerge/>
            <w:shd w:val="clear" w:color="auto" w:fill="FFFFFF"/>
            <w:vAlign w:val="center"/>
          </w:tcPr>
          <w:p w14:paraId="31EBB6EC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FFFFFF"/>
            <w:vAlign w:val="center"/>
          </w:tcPr>
          <w:p w14:paraId="3AD55383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Lower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24F196A1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Upper</w:t>
            </w:r>
          </w:p>
        </w:tc>
      </w:tr>
      <w:tr w:rsidR="00D43EDF" w:rsidRPr="00AC7006" w14:paraId="07F27DE3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3A36B587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Gestational age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5FDECAD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-.277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11983CA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.136</w:t>
            </w:r>
          </w:p>
        </w:tc>
        <w:tc>
          <w:tcPr>
            <w:tcW w:w="1025" w:type="dxa"/>
            <w:shd w:val="clear" w:color="auto" w:fill="auto"/>
            <w:vAlign w:val="center"/>
          </w:tcPr>
          <w:p w14:paraId="4AE18764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.042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4913EB35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.758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1C333A6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.581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74555032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.990</w:t>
            </w:r>
          </w:p>
        </w:tc>
      </w:tr>
      <w:tr w:rsidR="00D43EDF" w:rsidRPr="00AC7006" w14:paraId="690B2C1F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7CD41A58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Birth Weight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70039A9A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.001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54EF0D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.001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07B5648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.554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26A9D5A2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5C757AA5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.999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21EF0122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1.002</w:t>
            </w:r>
          </w:p>
        </w:tc>
      </w:tr>
      <w:tr w:rsidR="00D43EDF" w:rsidRPr="00AC7006" w14:paraId="3E9413C4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6CA898FF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Ventilation Days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1B025285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-.007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432470BD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.011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6805D3E1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.533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429E5B0B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.993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50179BF2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.972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34C682C8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1.015</w:t>
            </w:r>
          </w:p>
        </w:tc>
      </w:tr>
      <w:tr w:rsidR="00D43EDF" w:rsidRPr="00AC7006" w14:paraId="2B7E52FC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51C70943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MAP on admission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5BBB3EFB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-.012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96C15C0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.021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028B362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.579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31AA2481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.988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67473FA1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.948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3361015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1.030</w:t>
            </w:r>
          </w:p>
        </w:tc>
      </w:tr>
      <w:tr w:rsidR="00D43EDF" w:rsidRPr="00AC7006" w14:paraId="5D6B775D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28424D3D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Need for inotropes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1299DFC6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1.148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342A74C4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.500</w:t>
            </w:r>
          </w:p>
        </w:tc>
        <w:tc>
          <w:tcPr>
            <w:tcW w:w="1025" w:type="dxa"/>
            <w:shd w:val="clear" w:color="auto" w:fill="FFFFFF" w:themeFill="background1"/>
            <w:vAlign w:val="center"/>
          </w:tcPr>
          <w:p w14:paraId="5BCE41C4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.022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12BDEFBF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3.150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1BA32950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1.183</w:t>
            </w:r>
          </w:p>
        </w:tc>
        <w:tc>
          <w:tcPr>
            <w:tcW w:w="1319" w:type="dxa"/>
            <w:shd w:val="clear" w:color="auto" w:fill="FFFFFF"/>
            <w:vAlign w:val="center"/>
          </w:tcPr>
          <w:p w14:paraId="5D749B02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8.387</w:t>
            </w:r>
          </w:p>
        </w:tc>
      </w:tr>
      <w:tr w:rsidR="00D43EDF" w:rsidRPr="00AC7006" w14:paraId="5956DAAB" w14:textId="77777777" w:rsidTr="002C7549">
        <w:trPr>
          <w:cantSplit/>
        </w:trPr>
        <w:tc>
          <w:tcPr>
            <w:tcW w:w="2518" w:type="dxa"/>
            <w:shd w:val="clear" w:color="auto" w:fill="E0E0E0"/>
            <w:vAlign w:val="center"/>
          </w:tcPr>
          <w:p w14:paraId="7ECF0A3E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Constant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67C8D618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7.407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1ECA5460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3.194</w:t>
            </w:r>
          </w:p>
        </w:tc>
        <w:tc>
          <w:tcPr>
            <w:tcW w:w="1025" w:type="dxa"/>
            <w:shd w:val="clear" w:color="auto" w:fill="FFFFFF"/>
            <w:vAlign w:val="center"/>
          </w:tcPr>
          <w:p w14:paraId="5313B1CD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.020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3598F7E4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7006">
              <w:rPr>
                <w:rFonts w:asciiTheme="majorBidi" w:hAnsiTheme="majorBidi" w:cstheme="majorBidi"/>
                <w:sz w:val="24"/>
                <w:szCs w:val="24"/>
              </w:rPr>
              <w:t>1648.274</w:t>
            </w:r>
          </w:p>
        </w:tc>
        <w:tc>
          <w:tcPr>
            <w:tcW w:w="1087" w:type="dxa"/>
            <w:shd w:val="clear" w:color="auto" w:fill="FFFFFF"/>
            <w:vAlign w:val="center"/>
          </w:tcPr>
          <w:p w14:paraId="486AA751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19" w:type="dxa"/>
            <w:shd w:val="clear" w:color="auto" w:fill="FFFFFF"/>
            <w:vAlign w:val="center"/>
          </w:tcPr>
          <w:p w14:paraId="3EA19ED3" w14:textId="77777777" w:rsidR="00D43EDF" w:rsidRPr="00AC7006" w:rsidRDefault="00D43EDF" w:rsidP="002C7549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740FC00A" w14:textId="77777777" w:rsidR="00D43EDF" w:rsidRPr="00AC7006" w:rsidRDefault="00D43EDF" w:rsidP="00D43EDF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AC7006">
        <w:rPr>
          <w:rFonts w:asciiTheme="majorBidi" w:hAnsiTheme="majorBidi" w:cstheme="majorBidi"/>
          <w:sz w:val="24"/>
          <w:szCs w:val="24"/>
        </w:rPr>
        <w:t>Logistic regression analysis shows that decreased GA and inotropic support increase probability of IVH among preterm infants.</w:t>
      </w:r>
    </w:p>
    <w:p w14:paraId="562A2BCC" w14:textId="77777777" w:rsidR="00DE4946" w:rsidRDefault="00DE4946"/>
    <w:sectPr w:rsidR="00DE49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946"/>
    <w:rsid w:val="00AC7006"/>
    <w:rsid w:val="00D43EDF"/>
    <w:rsid w:val="00DE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EA9AAA-ED70-4EB6-A8C2-1C87F8236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E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7</Lines>
  <Paragraphs>2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KHALED ATEF HAMED ABDELMOATY ELSHAFEY</dc:creator>
  <cp:keywords/>
  <dc:description/>
  <cp:lastModifiedBy>KHALED ATEF HAMED ABDELMOATY ELSHAFEY</cp:lastModifiedBy>
  <cp:revision>3</cp:revision>
  <dcterms:created xsi:type="dcterms:W3CDTF">2022-05-19T17:56:00Z</dcterms:created>
  <dcterms:modified xsi:type="dcterms:W3CDTF">2022-06-03T21:03:00Z</dcterms:modified>
</cp:coreProperties>
</file>