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0"/>
      </w:pPr>
      <w:r>
        <w:rPr>
          <w:rFonts w:hint="eastAsia"/>
          <w:b/>
          <w:bCs/>
        </w:rPr>
        <w:t xml:space="preserve">Extended Data </w:t>
      </w:r>
      <w:r>
        <w:rPr>
          <w:b/>
          <w:bCs/>
        </w:rPr>
        <w:t>Table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Division of Tapio decoupling status</w:t>
      </w:r>
    </w:p>
    <w:tbl>
      <w:tblPr>
        <w:tblStyle w:val="7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5"/>
        <w:gridCol w:w="2143"/>
        <w:gridCol w:w="1661"/>
        <w:gridCol w:w="1738"/>
        <w:gridCol w:w="136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856" w:type="pct"/>
            <w:tcBorders>
              <w:top w:val="single" w:color="auto" w:sz="12" w:space="0"/>
              <w:bottom w:val="single" w:color="auto" w:sz="8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b/>
                <w:bCs/>
                <w:color w:val="231F20"/>
              </w:rPr>
              <w:t>State</w:t>
            </w:r>
          </w:p>
        </w:tc>
        <w:tc>
          <w:tcPr>
            <w:tcW w:w="1286" w:type="pct"/>
            <w:tcBorders>
              <w:top w:val="single" w:color="auto" w:sz="12" w:space="0"/>
              <w:bottom w:val="single" w:color="auto" w:sz="8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b/>
                <w:bCs/>
                <w:color w:val="231F20"/>
              </w:rPr>
              <w:t>Degree</w:t>
            </w:r>
          </w:p>
        </w:tc>
        <w:tc>
          <w:tcPr>
            <w:tcW w:w="997" w:type="pct"/>
            <w:tcBorders>
              <w:top w:val="single" w:color="auto" w:sz="12" w:space="0"/>
              <w:bottom w:val="single" w:color="auto" w:sz="8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b/>
                <w:bCs/>
                <w:color w:val="231F20"/>
              </w:rPr>
              <w:t>Environmental pressure</w:t>
            </w:r>
          </w:p>
        </w:tc>
        <w:tc>
          <w:tcPr>
            <w:tcW w:w="1043" w:type="pct"/>
            <w:tcBorders>
              <w:top w:val="single" w:color="auto" w:sz="12" w:space="0"/>
              <w:bottom w:val="single" w:color="auto" w:sz="8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b/>
                <w:bCs/>
                <w:color w:val="231F20"/>
              </w:rPr>
              <w:t>Economic driving force</w:t>
            </w:r>
          </w:p>
        </w:tc>
        <w:tc>
          <w:tcPr>
            <w:tcW w:w="818" w:type="pct"/>
            <w:tcBorders>
              <w:top w:val="single" w:color="auto" w:sz="12" w:space="0"/>
              <w:bottom w:val="single" w:color="auto" w:sz="8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b/>
                <w:bCs/>
                <w:color w:val="231F20"/>
              </w:rPr>
              <w:t>Decoupling index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856" w:type="pct"/>
            <w:vMerge w:val="restart"/>
            <w:tcBorders>
              <w:top w:val="nil"/>
              <w:bottom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Decoupling</w:t>
            </w:r>
          </w:p>
        </w:tc>
        <w:tc>
          <w:tcPr>
            <w:tcW w:w="1286" w:type="pct"/>
            <w:tcBorders>
              <w:top w:val="nil"/>
              <w:bottom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Recessive decoupling</w:t>
            </w:r>
          </w:p>
        </w:tc>
        <w:tc>
          <w:tcPr>
            <w:tcW w:w="997" w:type="pct"/>
            <w:tcBorders>
              <w:top w:val="nil"/>
              <w:bottom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818" w:type="pct"/>
            <w:tcBorders>
              <w:top w:val="nil"/>
              <w:bottom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  <w:rPr>
                <w:rStyle w:val="9"/>
                <w:color w:val="231F20"/>
              </w:rPr>
            </w:pPr>
            <w:r>
              <w:rPr>
                <w:color w:val="231F20"/>
              </w:rPr>
              <w:t>DI</w:t>
            </w:r>
            <w:r>
              <w:rPr>
                <w:rFonts w:hint="eastAsia"/>
                <w:color w:val="231F20"/>
              </w:rPr>
              <w:t xml:space="preserve"> &gt;</w:t>
            </w:r>
            <w:r>
              <w:rPr>
                <w:color w:val="231F20"/>
              </w:rPr>
              <w:t xml:space="preserve"> 1.2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856" w:type="pct"/>
            <w:vMerge w:val="continue"/>
            <w:tcBorders>
              <w:top w:val="nil"/>
              <w:bottom w:val="nil"/>
            </w:tcBorders>
          </w:tcPr>
          <w:p>
            <w:pPr>
              <w:spacing w:line="480" w:lineRule="auto"/>
              <w:ind w:firstLine="0"/>
              <w:jc w:val="center"/>
            </w:pPr>
          </w:p>
        </w:tc>
        <w:tc>
          <w:tcPr>
            <w:tcW w:w="1286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Strong decoupling</w:t>
            </w:r>
          </w:p>
        </w:tc>
        <w:tc>
          <w:tcPr>
            <w:tcW w:w="99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1043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&gt;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818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  <w:rPr>
                <w:rStyle w:val="9"/>
                <w:color w:val="231F20"/>
              </w:rPr>
            </w:pPr>
            <w:r>
              <w:rPr>
                <w:color w:val="231F20"/>
              </w:rPr>
              <w:t>DI</w:t>
            </w:r>
            <w:r>
              <w:rPr>
                <w:rFonts w:hint="eastAsia"/>
                <w:color w:val="231F20"/>
              </w:rPr>
              <w:t xml:space="preserve"> &lt;</w:t>
            </w:r>
            <w:r>
              <w:rPr>
                <w:color w:val="231F20"/>
              </w:rPr>
              <w:t xml:space="preserve"> 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856" w:type="pct"/>
            <w:vMerge w:val="continue"/>
            <w:tcBorders>
              <w:top w:val="nil"/>
              <w:bottom w:val="nil"/>
            </w:tcBorders>
          </w:tcPr>
          <w:p>
            <w:pPr>
              <w:spacing w:line="480" w:lineRule="auto"/>
              <w:ind w:firstLine="0"/>
              <w:jc w:val="center"/>
            </w:pPr>
          </w:p>
        </w:tc>
        <w:tc>
          <w:tcPr>
            <w:tcW w:w="1286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Weak decoupling</w:t>
            </w:r>
          </w:p>
        </w:tc>
        <w:tc>
          <w:tcPr>
            <w:tcW w:w="99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&gt;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1043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&gt;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818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  <w:rPr>
                <w:rStyle w:val="9"/>
                <w:color w:val="231F20"/>
              </w:rPr>
            </w:pPr>
            <w:r>
              <w:rPr>
                <w:color w:val="231F20"/>
              </w:rPr>
              <w:t xml:space="preserve">0 </w:t>
            </w: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DI </w:t>
            </w: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0.8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856" w:type="pct"/>
            <w:vMerge w:val="restar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Connect</w:t>
            </w:r>
          </w:p>
        </w:tc>
        <w:tc>
          <w:tcPr>
            <w:tcW w:w="1286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Growth connectivity</w:t>
            </w:r>
          </w:p>
        </w:tc>
        <w:tc>
          <w:tcPr>
            <w:tcW w:w="99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&gt;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1043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&gt;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818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  <w:rPr>
                <w:rStyle w:val="9"/>
                <w:color w:val="231F20"/>
              </w:rPr>
            </w:pPr>
            <w:r>
              <w:rPr>
                <w:color w:val="231F20"/>
              </w:rPr>
              <w:t xml:space="preserve">0.8 </w:t>
            </w: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DI </w:t>
            </w: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1.2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856" w:type="pct"/>
            <w:vMerge w:val="continue"/>
          </w:tcPr>
          <w:p>
            <w:pPr>
              <w:spacing w:line="480" w:lineRule="auto"/>
              <w:ind w:firstLine="0"/>
              <w:jc w:val="center"/>
            </w:pPr>
          </w:p>
        </w:tc>
        <w:tc>
          <w:tcPr>
            <w:tcW w:w="1286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Recession connection</w:t>
            </w:r>
          </w:p>
        </w:tc>
        <w:tc>
          <w:tcPr>
            <w:tcW w:w="99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1043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818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  <w:rPr>
                <w:rStyle w:val="9"/>
                <w:color w:val="231F20"/>
              </w:rPr>
            </w:pPr>
            <w:r>
              <w:rPr>
                <w:color w:val="231F20"/>
              </w:rPr>
              <w:t xml:space="preserve">0.8 </w:t>
            </w: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DI </w:t>
            </w: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1.2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856" w:type="pct"/>
            <w:vMerge w:val="restart"/>
            <w:tcBorders>
              <w:top w:val="nil"/>
              <w:bottom w:val="single" w:color="auto" w:sz="12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Negative decoupling</w:t>
            </w:r>
          </w:p>
        </w:tc>
        <w:tc>
          <w:tcPr>
            <w:tcW w:w="1286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Expansion negative decoupling</w:t>
            </w:r>
          </w:p>
        </w:tc>
        <w:tc>
          <w:tcPr>
            <w:tcW w:w="99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&gt;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1043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&gt;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818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  <w:rPr>
                <w:rStyle w:val="9"/>
                <w:color w:val="231F20"/>
              </w:rPr>
            </w:pPr>
            <w:r>
              <w:rPr>
                <w:color w:val="231F20"/>
              </w:rPr>
              <w:t>DI</w:t>
            </w:r>
            <w:r>
              <w:rPr>
                <w:rFonts w:hint="eastAsia"/>
                <w:color w:val="231F20"/>
              </w:rPr>
              <w:t xml:space="preserve"> &gt;</w:t>
            </w:r>
            <w:r>
              <w:rPr>
                <w:color w:val="231F20"/>
              </w:rPr>
              <w:t xml:space="preserve"> 1.2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856" w:type="pct"/>
            <w:vMerge w:val="continue"/>
            <w:tcBorders>
              <w:top w:val="nil"/>
              <w:bottom w:val="single" w:color="auto" w:sz="12" w:space="0"/>
            </w:tcBorders>
          </w:tcPr>
          <w:p>
            <w:pPr>
              <w:spacing w:line="480" w:lineRule="auto"/>
              <w:ind w:firstLine="0"/>
              <w:jc w:val="center"/>
            </w:pPr>
          </w:p>
        </w:tc>
        <w:tc>
          <w:tcPr>
            <w:tcW w:w="1286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Strong negative decoupling</w:t>
            </w:r>
          </w:p>
        </w:tc>
        <w:tc>
          <w:tcPr>
            <w:tcW w:w="99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&gt;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1043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000000"/>
              </w:rPr>
              <w:t>&lt;</w:t>
            </w:r>
            <w:r>
              <w:rPr>
                <w:color w:val="000000"/>
              </w:rPr>
              <w:t xml:space="preserve"> 0</w:t>
            </w:r>
          </w:p>
        </w:tc>
        <w:tc>
          <w:tcPr>
            <w:tcW w:w="818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  <w:rPr>
                <w:rStyle w:val="9"/>
                <w:color w:val="231F20"/>
              </w:rPr>
            </w:pPr>
            <w:r>
              <w:rPr>
                <w:color w:val="231F20"/>
              </w:rPr>
              <w:t>DI</w:t>
            </w:r>
            <w:r>
              <w:rPr>
                <w:rFonts w:hint="eastAsia"/>
                <w:color w:val="231F20"/>
              </w:rPr>
              <w:t xml:space="preserve"> &lt;</w:t>
            </w:r>
            <w:r>
              <w:rPr>
                <w:color w:val="231F20"/>
              </w:rPr>
              <w:t xml:space="preserve"> 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856" w:type="pct"/>
            <w:vMerge w:val="continue"/>
            <w:tcBorders>
              <w:top w:val="nil"/>
              <w:bottom w:val="single" w:color="auto" w:sz="12" w:space="0"/>
            </w:tcBorders>
          </w:tcPr>
          <w:p>
            <w:pPr>
              <w:spacing w:line="480" w:lineRule="auto"/>
              <w:ind w:firstLine="0"/>
              <w:jc w:val="center"/>
            </w:pPr>
          </w:p>
        </w:tc>
        <w:tc>
          <w:tcPr>
            <w:tcW w:w="1286" w:type="pct"/>
            <w:tcBorders>
              <w:top w:val="nil"/>
              <w:bottom w:val="single" w:color="auto" w:sz="12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color w:val="231F20"/>
              </w:rPr>
              <w:t>Weak negative decoupling</w:t>
            </w:r>
          </w:p>
        </w:tc>
        <w:tc>
          <w:tcPr>
            <w:tcW w:w="997" w:type="pct"/>
            <w:tcBorders>
              <w:top w:val="nil"/>
              <w:bottom w:val="single" w:color="auto" w:sz="12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1043" w:type="pct"/>
            <w:tcBorders>
              <w:top w:val="nil"/>
              <w:bottom w:val="single" w:color="auto" w:sz="12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</w:pP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0</w:t>
            </w:r>
          </w:p>
        </w:tc>
        <w:tc>
          <w:tcPr>
            <w:tcW w:w="818" w:type="pct"/>
            <w:tcBorders>
              <w:top w:val="nil"/>
              <w:bottom w:val="single" w:color="auto" w:sz="12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jc w:val="center"/>
              <w:textAlignment w:val="center"/>
              <w:rPr>
                <w:rStyle w:val="9"/>
                <w:color w:val="231F20"/>
              </w:rPr>
            </w:pPr>
            <w:r>
              <w:rPr>
                <w:color w:val="231F20"/>
              </w:rPr>
              <w:t xml:space="preserve">0 </w:t>
            </w: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DI </w:t>
            </w:r>
            <w:r>
              <w:rPr>
                <w:rFonts w:hint="eastAsia"/>
                <w:color w:val="231F20"/>
              </w:rPr>
              <w:t>&lt;</w:t>
            </w:r>
            <w:r>
              <w:rPr>
                <w:color w:val="231F20"/>
              </w:rPr>
              <w:t xml:space="preserve"> 0.8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ind w:firstLine="0"/>
      </w:pPr>
      <w:r>
        <w:rPr>
          <w:rFonts w:hint="eastAsia"/>
          <w:b/>
          <w:bCs/>
        </w:rPr>
        <w:t xml:space="preserve">Extended Data </w:t>
      </w:r>
      <w:r>
        <w:rPr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2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Carbon emission (absorption) coefficient of each land use</w:t>
      </w:r>
    </w:p>
    <w:tbl>
      <w:tblPr>
        <w:tblStyle w:val="7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9"/>
        <w:gridCol w:w="2823"/>
        <w:gridCol w:w="1582"/>
        <w:gridCol w:w="975"/>
        <w:gridCol w:w="13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bookmarkStart w:id="0" w:name="_GoBack" w:colFirst="4" w:colLast="4"/>
            <w:r>
              <w:rPr>
                <w:b/>
                <w:bCs/>
                <w:color w:val="000000"/>
              </w:rPr>
              <w:t>Land type</w:t>
            </w:r>
          </w:p>
        </w:tc>
        <w:tc>
          <w:tcPr>
            <w:tcW w:w="1530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b/>
                <w:bCs/>
                <w:color w:val="000000"/>
              </w:rPr>
              <w:t>Carbon emission (absorption)</w:t>
            </w:r>
          </w:p>
        </w:tc>
        <w:tc>
          <w:tcPr>
            <w:tcW w:w="857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b/>
                <w:bCs/>
                <w:color w:val="000000"/>
              </w:rPr>
              <w:t>Parameter value</w:t>
            </w:r>
          </w:p>
        </w:tc>
        <w:tc>
          <w:tcPr>
            <w:tcW w:w="85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b/>
                <w:bCs/>
                <w:color w:val="000000"/>
              </w:rPr>
              <w:t>Company</w:t>
            </w:r>
          </w:p>
        </w:tc>
        <w:tc>
          <w:tcPr>
            <w:tcW w:w="85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hint="eastAsia" w:eastAsia="宋体"/>
                <w:b/>
                <w:bCs/>
                <w:color w:val="000000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highlight w:val="yellow"/>
                <w:lang w:val="en-US" w:eastAsia="zh-CN"/>
              </w:rPr>
              <w:t>S</w:t>
            </w:r>
            <w:r>
              <w:rPr>
                <w:rFonts w:hint="eastAsia"/>
                <w:b/>
                <w:bCs/>
                <w:color w:val="000000"/>
                <w:highlight w:val="yellow"/>
              </w:rPr>
              <w:t>ource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93" w:type="pct"/>
            <w:vMerge w:val="restar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Cultivated land</w:t>
            </w:r>
          </w:p>
        </w:tc>
        <w:tc>
          <w:tcPr>
            <w:tcW w:w="1530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Carbon emission coefficient</w:t>
            </w:r>
          </w:p>
        </w:tc>
        <w:tc>
          <w:tcPr>
            <w:tcW w:w="85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0.0504</w:t>
            </w:r>
          </w:p>
        </w:tc>
        <w:tc>
          <w:tcPr>
            <w:tcW w:w="859" w:type="pct"/>
            <w:vMerge w:val="restar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rFonts w:hint="eastAsia"/>
                <w:color w:val="000000"/>
              </w:rPr>
              <w:t>k</w:t>
            </w:r>
            <w:r>
              <w:rPr>
                <w:color w:val="000000"/>
              </w:rPr>
              <w:t>g/(m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·a)</w:t>
            </w:r>
          </w:p>
        </w:tc>
        <w:tc>
          <w:tcPr>
            <w:tcW w:w="859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hint="eastAsia"/>
                <w:color w:val="000000"/>
                <w:highlight w:val="yellow"/>
              </w:rPr>
            </w:pPr>
            <w:r>
              <w:rPr>
                <w:rFonts w:hint="default"/>
                <w:color w:val="000000"/>
                <w:highlight w:val="yellow"/>
              </w:rPr>
              <w:t>Cai, Zucong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93" w:type="pct"/>
            <w:vMerge w:val="continue"/>
          </w:tcPr>
          <w:p>
            <w:pPr>
              <w:spacing w:line="480" w:lineRule="auto"/>
              <w:ind w:firstLine="0"/>
            </w:pPr>
          </w:p>
        </w:tc>
        <w:tc>
          <w:tcPr>
            <w:tcW w:w="1530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Carbon absorption coefficient</w:t>
            </w:r>
          </w:p>
        </w:tc>
        <w:tc>
          <w:tcPr>
            <w:tcW w:w="85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–0.0007</w:t>
            </w:r>
          </w:p>
        </w:tc>
        <w:tc>
          <w:tcPr>
            <w:tcW w:w="859" w:type="pct"/>
            <w:vMerge w:val="continue"/>
          </w:tcPr>
          <w:p>
            <w:pPr>
              <w:spacing w:line="480" w:lineRule="auto"/>
              <w:ind w:firstLine="0"/>
            </w:pPr>
          </w:p>
        </w:tc>
        <w:tc>
          <w:tcPr>
            <w:tcW w:w="859" w:type="pct"/>
          </w:tcPr>
          <w:p>
            <w:pPr>
              <w:spacing w:line="480" w:lineRule="auto"/>
              <w:ind w:firstLine="0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/>
                <w:color w:val="000000"/>
                <w:highlight w:val="yellow"/>
              </w:rPr>
              <w:t>Yong He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93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Woodland/Garden</w:t>
            </w:r>
          </w:p>
        </w:tc>
        <w:tc>
          <w:tcPr>
            <w:tcW w:w="1530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Carbon absorption coefficient</w:t>
            </w:r>
          </w:p>
        </w:tc>
        <w:tc>
          <w:tcPr>
            <w:tcW w:w="85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–0.0581</w:t>
            </w:r>
          </w:p>
        </w:tc>
        <w:tc>
          <w:tcPr>
            <w:tcW w:w="859" w:type="pct"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kg / (m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·a)</w:t>
            </w:r>
          </w:p>
        </w:tc>
        <w:tc>
          <w:tcPr>
            <w:tcW w:w="859" w:type="pct"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/>
                <w:color w:val="000000"/>
                <w:highlight w:val="yellow"/>
              </w:rPr>
              <w:t>Hongxin Shi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93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Pasture/grassland</w:t>
            </w:r>
          </w:p>
        </w:tc>
        <w:tc>
          <w:tcPr>
            <w:tcW w:w="1530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Carbon absorption coefficient</w:t>
            </w:r>
          </w:p>
        </w:tc>
        <w:tc>
          <w:tcPr>
            <w:tcW w:w="857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–0.0021</w:t>
            </w:r>
          </w:p>
        </w:tc>
        <w:tc>
          <w:tcPr>
            <w:tcW w:w="859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kg / (m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·a)</w:t>
            </w:r>
          </w:p>
        </w:tc>
        <w:tc>
          <w:tcPr>
            <w:tcW w:w="859" w:type="pct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/>
                <w:color w:val="000000"/>
                <w:highlight w:val="yellow"/>
              </w:rPr>
              <w:t>Hongxin Shi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9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rFonts w:hint="eastAsia"/>
                <w:highlight w:val="yellow"/>
              </w:rPr>
              <w:t>Rivers and lakes</w:t>
            </w:r>
          </w:p>
        </w:tc>
        <w:tc>
          <w:tcPr>
            <w:tcW w:w="153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Carbon emission coefficient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0.0248</w:t>
            </w:r>
          </w:p>
        </w:tc>
        <w:tc>
          <w:tcPr>
            <w:tcW w:w="85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000000"/>
              </w:rPr>
              <w:t>kg / (m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·a)</w:t>
            </w:r>
          </w:p>
        </w:tc>
        <w:tc>
          <w:tcPr>
            <w:tcW w:w="85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hint="default"/>
                <w:color w:val="000000"/>
                <w:highlight w:val="yellow"/>
                <w:lang w:val="en-US" w:eastAsia="zh-CN"/>
              </w:rPr>
            </w:pPr>
            <w:r>
              <w:rPr>
                <w:rFonts w:hint="default"/>
                <w:color w:val="000000"/>
                <w:highlight w:val="yellow"/>
              </w:rPr>
              <w:t>Xiaonan Duan</w:t>
            </w:r>
          </w:p>
        </w:tc>
      </w:tr>
      <w:bookmarkEnd w:id="0"/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ind w:firstLine="0"/>
      </w:pPr>
      <w:r>
        <w:rPr>
          <w:rFonts w:hint="eastAsia"/>
          <w:b/>
          <w:bCs/>
        </w:rPr>
        <w:t xml:space="preserve">Extended Data </w:t>
      </w:r>
      <w:r>
        <w:rPr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3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Carbon dioxide emission coefficients of various fossil energy sources</w:t>
      </w:r>
    </w:p>
    <w:tbl>
      <w:tblPr>
        <w:tblStyle w:val="7"/>
        <w:tblW w:w="524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696"/>
        <w:gridCol w:w="3860"/>
        <w:gridCol w:w="2798"/>
        <w:gridCol w:w="2152"/>
        <w:gridCol w:w="200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vMerge w:val="restar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Index</w:t>
            </w:r>
          </w:p>
        </w:tc>
        <w:tc>
          <w:tcPr>
            <w:tcW w:w="918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Average low calorific value</w:t>
            </w:r>
          </w:p>
        </w:tc>
        <w:tc>
          <w:tcPr>
            <w:tcW w:w="1315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Conversion coefficient of standard coal</w:t>
            </w:r>
          </w:p>
        </w:tc>
        <w:tc>
          <w:tcPr>
            <w:tcW w:w="95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Carbon content per unit heat</w:t>
            </w:r>
          </w:p>
        </w:tc>
        <w:tc>
          <w:tcPr>
            <w:tcW w:w="733" w:type="pct"/>
            <w:vMerge w:val="restar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Carbon oxidation rate</w:t>
            </w:r>
          </w:p>
        </w:tc>
        <w:tc>
          <w:tcPr>
            <w:tcW w:w="68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CO</w:t>
            </w:r>
            <w:r>
              <w:rPr>
                <w:rFonts w:eastAsia="Palatino Linotype"/>
                <w:color w:val="000000"/>
                <w:vertAlign w:val="subscript"/>
              </w:rPr>
              <w:t>2</w:t>
            </w:r>
            <w:r>
              <w:rPr>
                <w:rFonts w:eastAsia="Palatino Linotype"/>
                <w:color w:val="000000"/>
              </w:rPr>
              <w:t xml:space="preserve"> emission factor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vMerge w:val="continue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rPr>
                <w:rFonts w:eastAsia="Palatino Linotype"/>
                <w:color w:val="000000"/>
              </w:rPr>
            </w:pPr>
          </w:p>
        </w:tc>
        <w:tc>
          <w:tcPr>
            <w:tcW w:w="918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 xml:space="preserve"> (kJ/kg)</w:t>
            </w:r>
          </w:p>
        </w:tc>
        <w:tc>
          <w:tcPr>
            <w:tcW w:w="1315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(kg CE/kg)</w:t>
            </w:r>
          </w:p>
        </w:tc>
        <w:tc>
          <w:tcPr>
            <w:tcW w:w="95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(ton carbon/TJ)</w:t>
            </w:r>
          </w:p>
        </w:tc>
        <w:tc>
          <w:tcPr>
            <w:tcW w:w="733" w:type="pct"/>
            <w:vMerge w:val="continue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rPr>
                <w:rFonts w:eastAsia="Palatino Linotype"/>
                <w:color w:val="000000"/>
              </w:rPr>
            </w:pPr>
          </w:p>
        </w:tc>
        <w:tc>
          <w:tcPr>
            <w:tcW w:w="68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(kg CO</w:t>
            </w:r>
            <w:r>
              <w:rPr>
                <w:rFonts w:eastAsia="Palatino Linotype"/>
                <w:color w:val="000000"/>
                <w:vertAlign w:val="subscript"/>
              </w:rPr>
              <w:t>2</w:t>
            </w:r>
            <w:r>
              <w:rPr>
                <w:rFonts w:eastAsia="Palatino Linotype"/>
                <w:color w:val="000000"/>
              </w:rPr>
              <w:t>/kg)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tcBorders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Coal</w:t>
            </w:r>
          </w:p>
        </w:tc>
        <w:tc>
          <w:tcPr>
            <w:tcW w:w="918" w:type="pct"/>
            <w:tcBorders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20908</w:t>
            </w:r>
          </w:p>
        </w:tc>
        <w:tc>
          <w:tcPr>
            <w:tcW w:w="1315" w:type="pct"/>
            <w:tcBorders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0.7143</w:t>
            </w:r>
          </w:p>
        </w:tc>
        <w:tc>
          <w:tcPr>
            <w:tcW w:w="953" w:type="pct"/>
            <w:tcBorders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26.37</w:t>
            </w:r>
          </w:p>
        </w:tc>
        <w:tc>
          <w:tcPr>
            <w:tcW w:w="733" w:type="pct"/>
            <w:tcBorders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0.94</w:t>
            </w:r>
          </w:p>
        </w:tc>
        <w:tc>
          <w:tcPr>
            <w:tcW w:w="682" w:type="pct"/>
            <w:tcBorders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1.9003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Coke</w:t>
            </w:r>
          </w:p>
        </w:tc>
        <w:tc>
          <w:tcPr>
            <w:tcW w:w="918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28435</w:t>
            </w:r>
          </w:p>
        </w:tc>
        <w:tc>
          <w:tcPr>
            <w:tcW w:w="131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0.9714</w:t>
            </w:r>
          </w:p>
        </w:tc>
        <w:tc>
          <w:tcPr>
            <w:tcW w:w="95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29.5</w:t>
            </w:r>
          </w:p>
        </w:tc>
        <w:tc>
          <w:tcPr>
            <w:tcW w:w="73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0.93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2.8604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Crude oil</w:t>
            </w:r>
          </w:p>
        </w:tc>
        <w:tc>
          <w:tcPr>
            <w:tcW w:w="918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41816</w:t>
            </w:r>
          </w:p>
        </w:tc>
        <w:tc>
          <w:tcPr>
            <w:tcW w:w="131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1.4286</w:t>
            </w:r>
          </w:p>
        </w:tc>
        <w:tc>
          <w:tcPr>
            <w:tcW w:w="95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20.1</w:t>
            </w:r>
          </w:p>
        </w:tc>
        <w:tc>
          <w:tcPr>
            <w:tcW w:w="73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0.98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3.0202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Gasoline</w:t>
            </w:r>
          </w:p>
        </w:tc>
        <w:tc>
          <w:tcPr>
            <w:tcW w:w="918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43070</w:t>
            </w:r>
          </w:p>
        </w:tc>
        <w:tc>
          <w:tcPr>
            <w:tcW w:w="131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1.4714</w:t>
            </w:r>
          </w:p>
        </w:tc>
        <w:tc>
          <w:tcPr>
            <w:tcW w:w="95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18.9</w:t>
            </w:r>
          </w:p>
        </w:tc>
        <w:tc>
          <w:tcPr>
            <w:tcW w:w="73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0.98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2.9251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Kerosene</w:t>
            </w:r>
          </w:p>
        </w:tc>
        <w:tc>
          <w:tcPr>
            <w:tcW w:w="918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43070</w:t>
            </w:r>
          </w:p>
        </w:tc>
        <w:tc>
          <w:tcPr>
            <w:tcW w:w="131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1.4714</w:t>
            </w:r>
          </w:p>
        </w:tc>
        <w:tc>
          <w:tcPr>
            <w:tcW w:w="95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19.5</w:t>
            </w:r>
          </w:p>
        </w:tc>
        <w:tc>
          <w:tcPr>
            <w:tcW w:w="73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0.98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3.0719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Diesel oil</w:t>
            </w:r>
          </w:p>
        </w:tc>
        <w:tc>
          <w:tcPr>
            <w:tcW w:w="918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42652</w:t>
            </w:r>
          </w:p>
        </w:tc>
        <w:tc>
          <w:tcPr>
            <w:tcW w:w="131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1.4571</w:t>
            </w:r>
          </w:p>
        </w:tc>
        <w:tc>
          <w:tcPr>
            <w:tcW w:w="95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20.2</w:t>
            </w:r>
          </w:p>
        </w:tc>
        <w:tc>
          <w:tcPr>
            <w:tcW w:w="73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0.98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3.0959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Fuel oil</w:t>
            </w:r>
          </w:p>
        </w:tc>
        <w:tc>
          <w:tcPr>
            <w:tcW w:w="918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41816</w:t>
            </w:r>
          </w:p>
        </w:tc>
        <w:tc>
          <w:tcPr>
            <w:tcW w:w="131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1.4286</w:t>
            </w:r>
          </w:p>
        </w:tc>
        <w:tc>
          <w:tcPr>
            <w:tcW w:w="95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21.1</w:t>
            </w:r>
          </w:p>
        </w:tc>
        <w:tc>
          <w:tcPr>
            <w:tcW w:w="733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0.98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3.1705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99" w:type="pct"/>
            <w:tcBorders>
              <w:top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Gas</w:t>
            </w:r>
          </w:p>
        </w:tc>
        <w:tc>
          <w:tcPr>
            <w:tcW w:w="918" w:type="pct"/>
            <w:tcBorders>
              <w:top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38931</w:t>
            </w:r>
          </w:p>
        </w:tc>
        <w:tc>
          <w:tcPr>
            <w:tcW w:w="1315" w:type="pct"/>
            <w:tcBorders>
              <w:top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1.33</w:t>
            </w:r>
          </w:p>
        </w:tc>
        <w:tc>
          <w:tcPr>
            <w:tcW w:w="953" w:type="pct"/>
            <w:tcBorders>
              <w:top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15.3</w:t>
            </w:r>
          </w:p>
        </w:tc>
        <w:tc>
          <w:tcPr>
            <w:tcW w:w="733" w:type="pct"/>
            <w:tcBorders>
              <w:top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0.99</w:t>
            </w: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auto"/>
              <w:ind w:firstLine="0"/>
              <w:textAlignment w:val="center"/>
              <w:rPr>
                <w:rFonts w:eastAsia="Palatino Linotype"/>
                <w:color w:val="000000"/>
              </w:rPr>
            </w:pPr>
            <w:r>
              <w:rPr>
                <w:rFonts w:eastAsia="Palatino Linotype"/>
                <w:color w:val="000000"/>
              </w:rPr>
              <w:t>2.1622</w:t>
            </w:r>
          </w:p>
        </w:tc>
      </w:tr>
    </w:tbl>
    <w:p>
      <w:pPr>
        <w:spacing w:line="480" w:lineRule="auto"/>
        <w:ind w:firstLine="480" w:firstLineChars="200"/>
        <w:sectPr>
          <w:pgSz w:w="16838" w:h="11906" w:orient="landscape"/>
          <w:pgMar w:top="1440" w:right="1440" w:bottom="1440" w:left="1440" w:header="850" w:footer="994" w:gutter="0"/>
          <w:cols w:space="425" w:num="1"/>
          <w:docGrid w:linePitch="326" w:charSpace="0"/>
        </w:sectPr>
      </w:pPr>
    </w:p>
    <w:p>
      <w:pPr>
        <w:spacing w:line="480" w:lineRule="auto"/>
        <w:ind w:firstLine="0"/>
      </w:pPr>
      <w:r>
        <w:rPr>
          <w:rFonts w:hint="eastAsia"/>
          <w:b/>
          <w:bCs/>
        </w:rPr>
        <w:t xml:space="preserve">Extended Data </w:t>
      </w:r>
      <w:r>
        <w:rPr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4</w:t>
      </w:r>
      <w:r>
        <w:rPr>
          <w:rFonts w:hint="eastAsia"/>
          <w:b/>
          <w:bCs/>
        </w:rPr>
        <w:t>.</w:t>
      </w:r>
      <w:r>
        <w:rPr>
          <w:b/>
          <w:bCs/>
          <w:color w:val="333333"/>
          <w:shd w:val="clear" w:color="auto" w:fill="FFFFFF"/>
        </w:rPr>
        <w:t xml:space="preserve"> Stage classification of coupling degree</w:t>
      </w:r>
    </w:p>
    <w:tbl>
      <w:tblPr>
        <w:tblStyle w:val="7"/>
        <w:tblW w:w="4999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3447"/>
        <w:gridCol w:w="34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b/>
                <w:bCs/>
                <w:color w:val="333333"/>
              </w:rPr>
              <w:t>Serial number</w:t>
            </w:r>
          </w:p>
        </w:tc>
        <w:tc>
          <w:tcPr>
            <w:tcW w:w="206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b/>
                <w:bCs/>
                <w:color w:val="333333"/>
              </w:rPr>
              <w:t>Coupling degree C</w:t>
            </w:r>
          </w:p>
        </w:tc>
        <w:tc>
          <w:tcPr>
            <w:tcW w:w="206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b/>
                <w:bCs/>
                <w:color w:val="333333"/>
              </w:rPr>
              <w:t>Coupling level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C = 0</w:t>
            </w:r>
          </w:p>
        </w:tc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Very low coupling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0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2069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0 &lt; C ≤ 0.3</w:t>
            </w:r>
          </w:p>
        </w:tc>
        <w:tc>
          <w:tcPr>
            <w:tcW w:w="2069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Low level coupling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60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2069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0.3 &lt; C ≤ 0.5</w:t>
            </w:r>
          </w:p>
        </w:tc>
        <w:tc>
          <w:tcPr>
            <w:tcW w:w="2069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Medium coupling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60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4</w:t>
            </w:r>
          </w:p>
        </w:tc>
        <w:tc>
          <w:tcPr>
            <w:tcW w:w="2069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0.5 &lt; C ≤ 0.8</w:t>
            </w:r>
          </w:p>
        </w:tc>
        <w:tc>
          <w:tcPr>
            <w:tcW w:w="2069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Benign coupling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0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5</w:t>
            </w:r>
          </w:p>
        </w:tc>
        <w:tc>
          <w:tcPr>
            <w:tcW w:w="2069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0.8 &lt; C &lt; 1</w:t>
            </w:r>
          </w:p>
        </w:tc>
        <w:tc>
          <w:tcPr>
            <w:tcW w:w="2069" w:type="pc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Highly coupled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0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6</w:t>
            </w:r>
          </w:p>
        </w:tc>
        <w:tc>
          <w:tcPr>
            <w:tcW w:w="2069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C = 1</w:t>
            </w:r>
          </w:p>
        </w:tc>
        <w:tc>
          <w:tcPr>
            <w:tcW w:w="2069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spacing w:line="480" w:lineRule="auto"/>
              <w:ind w:firstLine="0"/>
              <w:textAlignment w:val="center"/>
            </w:pPr>
            <w:r>
              <w:rPr>
                <w:color w:val="333333"/>
              </w:rPr>
              <w:t>Benign resonance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yZTg5MWZhMmZiYmE2YzYxZWRhZGQ1YWNhYzgxZTgifQ=="/>
  </w:docVars>
  <w:rsids>
    <w:rsidRoot w:val="00172A27"/>
    <w:rsid w:val="24BC1E5C"/>
    <w:rsid w:val="27EB70C5"/>
    <w:rsid w:val="28BB669E"/>
    <w:rsid w:val="324D6C59"/>
    <w:rsid w:val="34C0281E"/>
    <w:rsid w:val="360125BE"/>
    <w:rsid w:val="3B4A30A8"/>
    <w:rsid w:val="493C661C"/>
    <w:rsid w:val="53E3568C"/>
    <w:rsid w:val="5EE8771A"/>
    <w:rsid w:val="7FA0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00" w:lineRule="atLeast"/>
      <w:ind w:firstLine="643"/>
      <w:jc w:val="both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outlineLvl w:val="0"/>
    </w:pPr>
    <w:rPr>
      <w:rFonts w:ascii="Times New Roman" w:hAnsi="Times New Roman" w:cs="Times New Roman"/>
      <w:kern w:val="44"/>
      <w:sz w:val="28"/>
      <w:lang w:bidi="hi-I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黑体" w:cs="Times New Roman"/>
      <w:sz w:val="21"/>
      <w:lang w:bidi="hi-IN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 w:eastAsia="楷体" w:cs="Times New Roman"/>
      <w:sz w:val="21"/>
      <w:lang w:bidi="hi-I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snapToGrid w:val="0"/>
      <w:spacing w:line="240" w:lineRule="atLeast"/>
      <w:jc w:val="center"/>
    </w:pPr>
    <w:rPr>
      <w:sz w:val="18"/>
      <w:szCs w:val="18"/>
    </w:rPr>
  </w:style>
  <w:style w:type="character" w:customStyle="1" w:styleId="9">
    <w:name w:val="translated-span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316</Words>
  <Characters>1502</Characters>
  <Lines>0</Lines>
  <Paragraphs>0</Paragraphs>
  <TotalTime>0</TotalTime>
  <ScaleCrop>false</ScaleCrop>
  <LinksUpToDate>false</LinksUpToDate>
  <CharactersWithSpaces>1674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2021-11-03T15:26:00Z</dcterms:created>
  <dc:creator>Winira</dc:creator>
  <cp:lastModifiedBy>程玮</cp:lastModifiedBy>
  <dcterms:modified xsi:type="dcterms:W3CDTF">2022-11-29T04:06:35Z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A9817DB41D6B44B995F43068286D4C05</vt:lpwstr>
  </property>
</Properties>
</file>