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81E19" w14:textId="43649480" w:rsidR="00FD5E16" w:rsidRPr="004718E3" w:rsidRDefault="002822D6" w:rsidP="00606FEC">
      <w:pPr>
        <w:rPr>
          <w:b/>
          <w:sz w:val="32"/>
          <w:szCs w:val="32"/>
          <w:lang w:val="en-US"/>
        </w:rPr>
      </w:pPr>
      <w:r w:rsidRPr="002822D6">
        <w:rPr>
          <w:rFonts w:ascii="Calibri" w:hAnsi="Calibri" w:cs="Calibri"/>
          <w:lang w:val="en-US"/>
        </w:rPr>
        <w:t>﻿</w:t>
      </w:r>
      <w:r w:rsidR="00FD5E16" w:rsidRPr="004718E3">
        <w:rPr>
          <w:sz w:val="32"/>
          <w:szCs w:val="32"/>
          <w:lang w:val="en-US"/>
        </w:rPr>
        <w:t xml:space="preserve">Supporting Information </w:t>
      </w:r>
    </w:p>
    <w:p w14:paraId="39D6C597" w14:textId="77777777" w:rsidR="00FD5E16" w:rsidRPr="001632C4" w:rsidRDefault="00FD5E16" w:rsidP="00FD5E16">
      <w:pPr>
        <w:pStyle w:val="Tableofcontents"/>
      </w:pPr>
    </w:p>
    <w:p w14:paraId="60D9FE33" w14:textId="77777777" w:rsidR="002D7177" w:rsidRPr="00886A70" w:rsidRDefault="002D7177" w:rsidP="002D7177">
      <w:pPr>
        <w:pStyle w:val="Title2"/>
      </w:pPr>
      <w:r w:rsidRPr="00886A70">
        <w:t xml:space="preserve">Hybrid molecular graphene transistor as an </w:t>
      </w:r>
      <w:r>
        <w:t xml:space="preserve">operando and </w:t>
      </w:r>
      <w:r w:rsidRPr="00886A70">
        <w:t>optoelectronic platform</w:t>
      </w:r>
    </w:p>
    <w:p w14:paraId="7D601266" w14:textId="77777777" w:rsidR="00677729" w:rsidRPr="003852E4" w:rsidRDefault="00677729" w:rsidP="00677729">
      <w:pPr>
        <w:pStyle w:val="AuthorsFull"/>
      </w:pPr>
    </w:p>
    <w:p w14:paraId="69AEC1F2" w14:textId="77777777" w:rsidR="00677729" w:rsidRDefault="00677729" w:rsidP="00677729">
      <w:pPr>
        <w:pStyle w:val="AuthorsFull"/>
        <w:rPr>
          <w:vertAlign w:val="superscript"/>
          <w:lang w:val="es-ES"/>
        </w:rPr>
      </w:pPr>
      <w:r w:rsidRPr="00141397">
        <w:rPr>
          <w:lang w:val="es-ES"/>
        </w:rPr>
        <w:t>Jorge Trasobares</w:t>
      </w:r>
      <w:r w:rsidRPr="00141397">
        <w:rPr>
          <w:vertAlign w:val="superscript"/>
          <w:lang w:val="es-ES"/>
        </w:rPr>
        <w:t>1</w:t>
      </w:r>
      <w:r w:rsidRPr="00141397">
        <w:rPr>
          <w:noProof/>
          <w:vertAlign w:val="superscript"/>
          <w:lang w:val="es-ES"/>
        </w:rPr>
        <w:drawing>
          <wp:inline distT="0" distB="0" distL="0" distR="0" wp14:anchorId="70535A85" wp14:editId="48C498F3">
            <wp:extent cx="157163" cy="157163"/>
            <wp:effectExtent l="0" t="0" r="0" b="0"/>
            <wp:docPr id="15" name="Gráfico 15" descr="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áfico 4" descr="Contorno"/>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57163" cy="157163"/>
                    </a:xfrm>
                    <a:prstGeom prst="rect">
                      <a:avLst/>
                    </a:prstGeom>
                  </pic:spPr>
                </pic:pic>
              </a:graphicData>
            </a:graphic>
          </wp:inline>
        </w:drawing>
      </w:r>
      <w:r w:rsidRPr="00141397">
        <w:rPr>
          <w:lang w:val="es-ES"/>
        </w:rPr>
        <w:t>, Juan Carlos Martín-Romano</w:t>
      </w:r>
      <w:r w:rsidRPr="00141397">
        <w:rPr>
          <w:vertAlign w:val="superscript"/>
          <w:lang w:val="es-ES"/>
        </w:rPr>
        <w:t>1</w:t>
      </w:r>
      <w:r w:rsidRPr="00141397">
        <w:rPr>
          <w:lang w:val="es-ES"/>
        </w:rPr>
        <w:t xml:space="preserve">, Muhammad </w:t>
      </w:r>
      <w:proofErr w:type="spellStart"/>
      <w:r w:rsidRPr="00141397">
        <w:rPr>
          <w:lang w:val="es-ES"/>
        </w:rPr>
        <w:t>Waqas</w:t>
      </w:r>
      <w:proofErr w:type="spellEnd"/>
      <w:r w:rsidRPr="00141397">
        <w:rPr>
          <w:lang w:val="es-ES"/>
        </w:rPr>
        <w:t xml:space="preserve"> Khaliq</w:t>
      </w:r>
      <w:r w:rsidRPr="00141397">
        <w:rPr>
          <w:vertAlign w:val="superscript"/>
          <w:lang w:val="es-ES"/>
        </w:rPr>
        <w:t>2</w:t>
      </w:r>
      <w:r w:rsidRPr="00141397">
        <w:rPr>
          <w:lang w:val="es-ES"/>
        </w:rPr>
        <w:t>, Sandra Ruiz-Gómez</w:t>
      </w:r>
      <w:r w:rsidRPr="00141397">
        <w:rPr>
          <w:vertAlign w:val="superscript"/>
          <w:lang w:val="es-ES"/>
        </w:rPr>
        <w:t>2</w:t>
      </w:r>
      <w:r w:rsidRPr="00141397">
        <w:rPr>
          <w:lang w:val="es-ES"/>
        </w:rPr>
        <w:t>, Michael Foerster</w:t>
      </w:r>
      <w:r w:rsidRPr="00141397">
        <w:rPr>
          <w:vertAlign w:val="superscript"/>
          <w:lang w:val="es-ES"/>
        </w:rPr>
        <w:t>2</w:t>
      </w:r>
      <w:r w:rsidRPr="00141397">
        <w:rPr>
          <w:lang w:val="es-ES"/>
        </w:rPr>
        <w:t>, Miguel Ángel Niño</w:t>
      </w:r>
      <w:r w:rsidRPr="00141397">
        <w:rPr>
          <w:vertAlign w:val="superscript"/>
          <w:lang w:val="es-ES"/>
        </w:rPr>
        <w:t>2</w:t>
      </w:r>
      <w:r w:rsidRPr="00141397">
        <w:rPr>
          <w:lang w:val="es-ES"/>
        </w:rPr>
        <w:t>, Patricia Pedraz</w:t>
      </w:r>
      <w:r w:rsidRPr="00141397">
        <w:rPr>
          <w:vertAlign w:val="superscript"/>
          <w:lang w:val="es-ES"/>
        </w:rPr>
        <w:t>1</w:t>
      </w:r>
      <w:r w:rsidRPr="00141397">
        <w:rPr>
          <w:lang w:val="es-ES"/>
        </w:rPr>
        <w:t xml:space="preserve">, </w:t>
      </w:r>
      <w:proofErr w:type="spellStart"/>
      <w:r w:rsidRPr="00141397">
        <w:rPr>
          <w:lang w:val="es-ES"/>
        </w:rPr>
        <w:t>Yannick</w:t>
      </w:r>
      <w:proofErr w:type="spellEnd"/>
      <w:r w:rsidRPr="00141397">
        <w:rPr>
          <w:lang w:val="es-ES"/>
        </w:rPr>
        <w:t>. J. Dappe</w:t>
      </w:r>
      <w:r w:rsidRPr="00141397">
        <w:rPr>
          <w:vertAlign w:val="superscript"/>
          <w:lang w:val="es-ES"/>
        </w:rPr>
        <w:t>3</w:t>
      </w:r>
      <w:r w:rsidRPr="00141397">
        <w:rPr>
          <w:lang w:val="es-ES"/>
        </w:rPr>
        <w:t>, Marina Calero de Ory</w:t>
      </w:r>
      <w:r w:rsidRPr="00141397">
        <w:rPr>
          <w:vertAlign w:val="superscript"/>
          <w:lang w:val="es-ES"/>
        </w:rPr>
        <w:t>4</w:t>
      </w:r>
      <w:r w:rsidRPr="00141397">
        <w:rPr>
          <w:lang w:val="es-ES"/>
        </w:rPr>
        <w:t>, Julia García-Pérez</w:t>
      </w:r>
      <w:r w:rsidRPr="00141397">
        <w:rPr>
          <w:vertAlign w:val="superscript"/>
          <w:lang w:val="es-ES"/>
        </w:rPr>
        <w:t>1</w:t>
      </w:r>
      <w:r w:rsidRPr="00141397">
        <w:rPr>
          <w:lang w:val="es-ES"/>
        </w:rPr>
        <w:t>, María Acebrón</w:t>
      </w:r>
      <w:r w:rsidRPr="00141397">
        <w:rPr>
          <w:vertAlign w:val="superscript"/>
          <w:lang w:val="es-ES"/>
        </w:rPr>
        <w:t>1</w:t>
      </w:r>
      <w:r w:rsidRPr="00141397">
        <w:rPr>
          <w:lang w:val="es-ES"/>
        </w:rPr>
        <w:t>, Manuel Rodríguez Osorio</w:t>
      </w:r>
      <w:r w:rsidRPr="00141397">
        <w:rPr>
          <w:vertAlign w:val="superscript"/>
          <w:lang w:val="es-ES"/>
        </w:rPr>
        <w:t>1</w:t>
      </w:r>
      <w:r w:rsidRPr="00141397">
        <w:rPr>
          <w:lang w:val="es-ES"/>
        </w:rPr>
        <w:t>, María Teresa Magaz</w:t>
      </w:r>
      <w:r w:rsidRPr="00141397">
        <w:rPr>
          <w:vertAlign w:val="superscript"/>
          <w:lang w:val="es-ES"/>
        </w:rPr>
        <w:t>3</w:t>
      </w:r>
      <w:r w:rsidRPr="00141397">
        <w:rPr>
          <w:lang w:val="es-ES"/>
        </w:rPr>
        <w:t>, Alicia Gomez</w:t>
      </w:r>
      <w:r w:rsidRPr="00141397">
        <w:rPr>
          <w:vertAlign w:val="superscript"/>
          <w:lang w:val="es-ES"/>
        </w:rPr>
        <w:t>3</w:t>
      </w:r>
      <w:r>
        <w:rPr>
          <w:lang w:val="es-ES"/>
        </w:rPr>
        <w:t xml:space="preserve">, </w:t>
      </w:r>
      <w:r w:rsidRPr="00141397">
        <w:rPr>
          <w:lang w:val="es-ES"/>
        </w:rPr>
        <w:t>Rodolfo Miranda</w:t>
      </w:r>
      <w:r w:rsidRPr="00141397">
        <w:rPr>
          <w:vertAlign w:val="superscript"/>
          <w:lang w:val="es-ES"/>
        </w:rPr>
        <w:t>4,5</w:t>
      </w:r>
      <w:r>
        <w:rPr>
          <w:lang w:val="es-ES"/>
        </w:rPr>
        <w:t xml:space="preserve">, </w:t>
      </w:r>
      <w:r w:rsidRPr="00141397">
        <w:rPr>
          <w:lang w:val="es-ES"/>
        </w:rPr>
        <w:t>Daniel Granados</w:t>
      </w:r>
      <w:r w:rsidRPr="00141397">
        <w:rPr>
          <w:vertAlign w:val="superscript"/>
          <w:lang w:val="es-ES"/>
        </w:rPr>
        <w:t>1</w:t>
      </w:r>
      <w:r w:rsidRPr="00141397">
        <w:rPr>
          <w:noProof/>
          <w:vertAlign w:val="superscript"/>
          <w:lang w:val="es-ES"/>
        </w:rPr>
        <w:drawing>
          <wp:inline distT="0" distB="0" distL="0" distR="0" wp14:anchorId="392C8D33" wp14:editId="7D31BF15">
            <wp:extent cx="157163" cy="157163"/>
            <wp:effectExtent l="0" t="0" r="0" b="0"/>
            <wp:docPr id="16" name="Gráfico 16" descr="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áfico 4" descr="Contorno"/>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77594" cy="177594"/>
                    </a:xfrm>
                    <a:prstGeom prst="rect">
                      <a:avLst/>
                    </a:prstGeom>
                  </pic:spPr>
                </pic:pic>
              </a:graphicData>
            </a:graphic>
          </wp:inline>
        </w:drawing>
      </w:r>
    </w:p>
    <w:p w14:paraId="0EAB841E" w14:textId="64F819B6" w:rsidR="006D652D" w:rsidRDefault="006D652D">
      <w:pPr>
        <w:rPr>
          <w:b/>
          <w:bCs/>
        </w:rPr>
      </w:pPr>
    </w:p>
    <w:p w14:paraId="2035D1A5" w14:textId="34723238" w:rsidR="002D7177" w:rsidRDefault="002D7177">
      <w:pPr>
        <w:pStyle w:val="TDC1"/>
        <w:tabs>
          <w:tab w:val="right" w:leader="dot" w:pos="9062"/>
        </w:tabs>
        <w:rPr>
          <w:rFonts w:eastAsiaTheme="minorEastAsia" w:cstheme="minorBidi"/>
          <w:b w:val="0"/>
          <w:bCs w:val="0"/>
          <w:caps w:val="0"/>
          <w:noProof/>
          <w:sz w:val="24"/>
          <w:szCs w:val="24"/>
        </w:rPr>
      </w:pPr>
      <w:r>
        <w:rPr>
          <w:b w:val="0"/>
          <w:bCs w:val="0"/>
        </w:rPr>
        <w:fldChar w:fldCharType="begin"/>
      </w:r>
      <w:r>
        <w:rPr>
          <w:b w:val="0"/>
          <w:bCs w:val="0"/>
        </w:rPr>
        <w:instrText xml:space="preserve"> TOC \o "1-3" \h \z \u </w:instrText>
      </w:r>
      <w:r>
        <w:rPr>
          <w:b w:val="0"/>
          <w:bCs w:val="0"/>
        </w:rPr>
        <w:fldChar w:fldCharType="separate"/>
      </w:r>
      <w:hyperlink w:anchor="_Toc104545489" w:history="1">
        <w:r w:rsidRPr="00687144">
          <w:rPr>
            <w:rStyle w:val="Hipervnculo"/>
            <w:rFonts w:ascii="Times New Roman" w:hAnsi="Times New Roman" w:cs="Times New Roman"/>
            <w:noProof/>
          </w:rPr>
          <w:t>Note 1. Electrochemistry</w:t>
        </w:r>
        <w:r>
          <w:rPr>
            <w:noProof/>
            <w:webHidden/>
          </w:rPr>
          <w:tab/>
        </w:r>
        <w:r>
          <w:rPr>
            <w:noProof/>
            <w:webHidden/>
          </w:rPr>
          <w:fldChar w:fldCharType="begin"/>
        </w:r>
        <w:r>
          <w:rPr>
            <w:noProof/>
            <w:webHidden/>
          </w:rPr>
          <w:instrText xml:space="preserve"> PAGEREF _Toc104545489 \h </w:instrText>
        </w:r>
        <w:r>
          <w:rPr>
            <w:noProof/>
            <w:webHidden/>
          </w:rPr>
        </w:r>
        <w:r>
          <w:rPr>
            <w:noProof/>
            <w:webHidden/>
          </w:rPr>
          <w:fldChar w:fldCharType="separate"/>
        </w:r>
        <w:r>
          <w:rPr>
            <w:noProof/>
            <w:webHidden/>
          </w:rPr>
          <w:t>2</w:t>
        </w:r>
        <w:r>
          <w:rPr>
            <w:noProof/>
            <w:webHidden/>
          </w:rPr>
          <w:fldChar w:fldCharType="end"/>
        </w:r>
      </w:hyperlink>
    </w:p>
    <w:p w14:paraId="4BB85A58" w14:textId="77021575" w:rsidR="002D7177" w:rsidRDefault="00000000">
      <w:pPr>
        <w:pStyle w:val="TDC1"/>
        <w:tabs>
          <w:tab w:val="right" w:leader="dot" w:pos="9062"/>
        </w:tabs>
        <w:rPr>
          <w:rFonts w:eastAsiaTheme="minorEastAsia" w:cstheme="minorBidi"/>
          <w:b w:val="0"/>
          <w:bCs w:val="0"/>
          <w:caps w:val="0"/>
          <w:noProof/>
          <w:sz w:val="24"/>
          <w:szCs w:val="24"/>
        </w:rPr>
      </w:pPr>
      <w:hyperlink w:anchor="_Toc104545490" w:history="1">
        <w:r w:rsidR="002D7177" w:rsidRPr="00687144">
          <w:rPr>
            <w:rStyle w:val="Hipervnculo"/>
            <w:rFonts w:ascii="Times New Roman" w:hAnsi="Times New Roman" w:cs="Times New Roman"/>
            <w:noProof/>
          </w:rPr>
          <w:t>Note 2. Raman spectroscopy and optical image</w:t>
        </w:r>
        <w:r w:rsidR="002D7177">
          <w:rPr>
            <w:noProof/>
            <w:webHidden/>
          </w:rPr>
          <w:tab/>
        </w:r>
        <w:r w:rsidR="002D7177">
          <w:rPr>
            <w:noProof/>
            <w:webHidden/>
          </w:rPr>
          <w:fldChar w:fldCharType="begin"/>
        </w:r>
        <w:r w:rsidR="002D7177">
          <w:rPr>
            <w:noProof/>
            <w:webHidden/>
          </w:rPr>
          <w:instrText xml:space="preserve"> PAGEREF _Toc104545490 \h </w:instrText>
        </w:r>
        <w:r w:rsidR="002D7177">
          <w:rPr>
            <w:noProof/>
            <w:webHidden/>
          </w:rPr>
        </w:r>
        <w:r w:rsidR="002D7177">
          <w:rPr>
            <w:noProof/>
            <w:webHidden/>
          </w:rPr>
          <w:fldChar w:fldCharType="separate"/>
        </w:r>
        <w:r w:rsidR="002D7177">
          <w:rPr>
            <w:noProof/>
            <w:webHidden/>
          </w:rPr>
          <w:t>5</w:t>
        </w:r>
        <w:r w:rsidR="002D7177">
          <w:rPr>
            <w:noProof/>
            <w:webHidden/>
          </w:rPr>
          <w:fldChar w:fldCharType="end"/>
        </w:r>
      </w:hyperlink>
    </w:p>
    <w:p w14:paraId="7A6EACAB" w14:textId="6A05411B" w:rsidR="002D7177" w:rsidRDefault="00000000">
      <w:pPr>
        <w:pStyle w:val="TDC1"/>
        <w:tabs>
          <w:tab w:val="right" w:leader="dot" w:pos="9062"/>
        </w:tabs>
        <w:rPr>
          <w:rFonts w:eastAsiaTheme="minorEastAsia" w:cstheme="minorBidi"/>
          <w:b w:val="0"/>
          <w:bCs w:val="0"/>
          <w:caps w:val="0"/>
          <w:noProof/>
          <w:sz w:val="24"/>
          <w:szCs w:val="24"/>
        </w:rPr>
      </w:pPr>
      <w:hyperlink w:anchor="_Toc104545491" w:history="1">
        <w:r w:rsidR="002D7177" w:rsidRPr="00687144">
          <w:rPr>
            <w:rStyle w:val="Hipervnculo"/>
            <w:rFonts w:ascii="Times New Roman" w:hAnsi="Times New Roman" w:cs="Times New Roman"/>
            <w:noProof/>
          </w:rPr>
          <w:t>Note 3. X-ray photoelectron spectroscopy</w:t>
        </w:r>
        <w:r w:rsidR="002D7177">
          <w:rPr>
            <w:noProof/>
            <w:webHidden/>
          </w:rPr>
          <w:tab/>
        </w:r>
        <w:r w:rsidR="002D7177">
          <w:rPr>
            <w:noProof/>
            <w:webHidden/>
          </w:rPr>
          <w:fldChar w:fldCharType="begin"/>
        </w:r>
        <w:r w:rsidR="002D7177">
          <w:rPr>
            <w:noProof/>
            <w:webHidden/>
          </w:rPr>
          <w:instrText xml:space="preserve"> PAGEREF _Toc104545491 \h </w:instrText>
        </w:r>
        <w:r w:rsidR="002D7177">
          <w:rPr>
            <w:noProof/>
            <w:webHidden/>
          </w:rPr>
        </w:r>
        <w:r w:rsidR="002D7177">
          <w:rPr>
            <w:noProof/>
            <w:webHidden/>
          </w:rPr>
          <w:fldChar w:fldCharType="separate"/>
        </w:r>
        <w:r w:rsidR="002D7177">
          <w:rPr>
            <w:noProof/>
            <w:webHidden/>
          </w:rPr>
          <w:t>6</w:t>
        </w:r>
        <w:r w:rsidR="002D7177">
          <w:rPr>
            <w:noProof/>
            <w:webHidden/>
          </w:rPr>
          <w:fldChar w:fldCharType="end"/>
        </w:r>
      </w:hyperlink>
    </w:p>
    <w:p w14:paraId="02E32000" w14:textId="41EF75B0" w:rsidR="002D7177" w:rsidRDefault="00000000">
      <w:pPr>
        <w:pStyle w:val="TDC1"/>
        <w:tabs>
          <w:tab w:val="right" w:leader="dot" w:pos="9062"/>
        </w:tabs>
        <w:rPr>
          <w:rFonts w:eastAsiaTheme="minorEastAsia" w:cstheme="minorBidi"/>
          <w:b w:val="0"/>
          <w:bCs w:val="0"/>
          <w:caps w:val="0"/>
          <w:noProof/>
          <w:sz w:val="24"/>
          <w:szCs w:val="24"/>
        </w:rPr>
      </w:pPr>
      <w:hyperlink w:anchor="_Toc104545492" w:history="1">
        <w:r w:rsidR="002D7177" w:rsidRPr="00687144">
          <w:rPr>
            <w:rStyle w:val="Hipervnculo"/>
            <w:rFonts w:ascii="Times New Roman" w:hAnsi="Times New Roman" w:cs="Times New Roman"/>
            <w:noProof/>
          </w:rPr>
          <w:t>Note 4. Band diagram</w:t>
        </w:r>
        <w:r w:rsidR="002D7177">
          <w:rPr>
            <w:noProof/>
            <w:webHidden/>
          </w:rPr>
          <w:tab/>
        </w:r>
        <w:r w:rsidR="002D7177">
          <w:rPr>
            <w:noProof/>
            <w:webHidden/>
          </w:rPr>
          <w:fldChar w:fldCharType="begin"/>
        </w:r>
        <w:r w:rsidR="002D7177">
          <w:rPr>
            <w:noProof/>
            <w:webHidden/>
          </w:rPr>
          <w:instrText xml:space="preserve"> PAGEREF _Toc104545492 \h </w:instrText>
        </w:r>
        <w:r w:rsidR="002D7177">
          <w:rPr>
            <w:noProof/>
            <w:webHidden/>
          </w:rPr>
        </w:r>
        <w:r w:rsidR="002D7177">
          <w:rPr>
            <w:noProof/>
            <w:webHidden/>
          </w:rPr>
          <w:fldChar w:fldCharType="separate"/>
        </w:r>
        <w:r w:rsidR="002D7177">
          <w:rPr>
            <w:noProof/>
            <w:webHidden/>
          </w:rPr>
          <w:t>9</w:t>
        </w:r>
        <w:r w:rsidR="002D7177">
          <w:rPr>
            <w:noProof/>
            <w:webHidden/>
          </w:rPr>
          <w:fldChar w:fldCharType="end"/>
        </w:r>
      </w:hyperlink>
    </w:p>
    <w:p w14:paraId="5E4F477C" w14:textId="26E31181" w:rsidR="002D7177" w:rsidRDefault="00000000">
      <w:pPr>
        <w:pStyle w:val="TDC1"/>
        <w:tabs>
          <w:tab w:val="right" w:leader="dot" w:pos="9062"/>
        </w:tabs>
        <w:rPr>
          <w:rFonts w:eastAsiaTheme="minorEastAsia" w:cstheme="minorBidi"/>
          <w:b w:val="0"/>
          <w:bCs w:val="0"/>
          <w:caps w:val="0"/>
          <w:noProof/>
          <w:sz w:val="24"/>
          <w:szCs w:val="24"/>
        </w:rPr>
      </w:pPr>
      <w:hyperlink w:anchor="_Toc104545493" w:history="1">
        <w:r w:rsidR="002D7177" w:rsidRPr="00687144">
          <w:rPr>
            <w:rStyle w:val="Hipervnculo"/>
            <w:rFonts w:ascii="Times New Roman" w:hAnsi="Times New Roman" w:cs="Times New Roman"/>
            <w:noProof/>
          </w:rPr>
          <w:t>Note 5. Density functional theory</w:t>
        </w:r>
        <w:r w:rsidR="002D7177">
          <w:rPr>
            <w:noProof/>
            <w:webHidden/>
          </w:rPr>
          <w:tab/>
        </w:r>
        <w:r w:rsidR="002D7177">
          <w:rPr>
            <w:noProof/>
            <w:webHidden/>
          </w:rPr>
          <w:fldChar w:fldCharType="begin"/>
        </w:r>
        <w:r w:rsidR="002D7177">
          <w:rPr>
            <w:noProof/>
            <w:webHidden/>
          </w:rPr>
          <w:instrText xml:space="preserve"> PAGEREF _Toc104545493 \h </w:instrText>
        </w:r>
        <w:r w:rsidR="002D7177">
          <w:rPr>
            <w:noProof/>
            <w:webHidden/>
          </w:rPr>
        </w:r>
        <w:r w:rsidR="002D7177">
          <w:rPr>
            <w:noProof/>
            <w:webHidden/>
          </w:rPr>
          <w:fldChar w:fldCharType="separate"/>
        </w:r>
        <w:r w:rsidR="002D7177">
          <w:rPr>
            <w:noProof/>
            <w:webHidden/>
          </w:rPr>
          <w:t>10</w:t>
        </w:r>
        <w:r w:rsidR="002D7177">
          <w:rPr>
            <w:noProof/>
            <w:webHidden/>
          </w:rPr>
          <w:fldChar w:fldCharType="end"/>
        </w:r>
      </w:hyperlink>
    </w:p>
    <w:p w14:paraId="227655B0" w14:textId="6CEED4A4" w:rsidR="002D7177" w:rsidRDefault="00000000">
      <w:pPr>
        <w:pStyle w:val="TDC1"/>
        <w:tabs>
          <w:tab w:val="right" w:leader="dot" w:pos="9062"/>
        </w:tabs>
        <w:rPr>
          <w:rFonts w:eastAsiaTheme="minorEastAsia" w:cstheme="minorBidi"/>
          <w:b w:val="0"/>
          <w:bCs w:val="0"/>
          <w:caps w:val="0"/>
          <w:noProof/>
          <w:sz w:val="24"/>
          <w:szCs w:val="24"/>
        </w:rPr>
      </w:pPr>
      <w:hyperlink w:anchor="_Toc104545494" w:history="1">
        <w:r w:rsidR="002D7177" w:rsidRPr="00687144">
          <w:rPr>
            <w:rStyle w:val="Hipervnculo"/>
            <w:rFonts w:ascii="Times New Roman" w:hAnsi="Times New Roman" w:cs="Times New Roman"/>
            <w:noProof/>
          </w:rPr>
          <w:t>Note 6. Platform fabrication: Optical, AFM and CAFM images of m-GFET device</w:t>
        </w:r>
        <w:r w:rsidR="002D7177">
          <w:rPr>
            <w:noProof/>
            <w:webHidden/>
          </w:rPr>
          <w:tab/>
        </w:r>
        <w:r w:rsidR="002D7177">
          <w:rPr>
            <w:noProof/>
            <w:webHidden/>
          </w:rPr>
          <w:fldChar w:fldCharType="begin"/>
        </w:r>
        <w:r w:rsidR="002D7177">
          <w:rPr>
            <w:noProof/>
            <w:webHidden/>
          </w:rPr>
          <w:instrText xml:space="preserve"> PAGEREF _Toc104545494 \h </w:instrText>
        </w:r>
        <w:r w:rsidR="002D7177">
          <w:rPr>
            <w:noProof/>
            <w:webHidden/>
          </w:rPr>
        </w:r>
        <w:r w:rsidR="002D7177">
          <w:rPr>
            <w:noProof/>
            <w:webHidden/>
          </w:rPr>
          <w:fldChar w:fldCharType="separate"/>
        </w:r>
        <w:r w:rsidR="002D7177">
          <w:rPr>
            <w:noProof/>
            <w:webHidden/>
          </w:rPr>
          <w:t>12</w:t>
        </w:r>
        <w:r w:rsidR="002D7177">
          <w:rPr>
            <w:noProof/>
            <w:webHidden/>
          </w:rPr>
          <w:fldChar w:fldCharType="end"/>
        </w:r>
      </w:hyperlink>
    </w:p>
    <w:p w14:paraId="30C21229" w14:textId="4DA78E08" w:rsidR="002D7177" w:rsidRDefault="00000000">
      <w:pPr>
        <w:pStyle w:val="TDC1"/>
        <w:tabs>
          <w:tab w:val="right" w:leader="dot" w:pos="9062"/>
        </w:tabs>
        <w:rPr>
          <w:rFonts w:eastAsiaTheme="minorEastAsia" w:cstheme="minorBidi"/>
          <w:b w:val="0"/>
          <w:bCs w:val="0"/>
          <w:caps w:val="0"/>
          <w:noProof/>
          <w:sz w:val="24"/>
          <w:szCs w:val="24"/>
        </w:rPr>
      </w:pPr>
      <w:hyperlink w:anchor="_Toc104545495" w:history="1">
        <w:r w:rsidR="002D7177" w:rsidRPr="00687144">
          <w:rPr>
            <w:rStyle w:val="Hipervnculo"/>
            <w:rFonts w:ascii="Times New Roman" w:hAnsi="Times New Roman" w:cs="Times New Roman"/>
            <w:noProof/>
          </w:rPr>
          <w:t>Note 7. Electrical transport characteristics</w:t>
        </w:r>
        <w:r w:rsidR="002D7177">
          <w:rPr>
            <w:noProof/>
            <w:webHidden/>
          </w:rPr>
          <w:tab/>
        </w:r>
        <w:r w:rsidR="002D7177">
          <w:rPr>
            <w:noProof/>
            <w:webHidden/>
          </w:rPr>
          <w:fldChar w:fldCharType="begin"/>
        </w:r>
        <w:r w:rsidR="002D7177">
          <w:rPr>
            <w:noProof/>
            <w:webHidden/>
          </w:rPr>
          <w:instrText xml:space="preserve"> PAGEREF _Toc104545495 \h </w:instrText>
        </w:r>
        <w:r w:rsidR="002D7177">
          <w:rPr>
            <w:noProof/>
            <w:webHidden/>
          </w:rPr>
        </w:r>
        <w:r w:rsidR="002D7177">
          <w:rPr>
            <w:noProof/>
            <w:webHidden/>
          </w:rPr>
          <w:fldChar w:fldCharType="separate"/>
        </w:r>
        <w:r w:rsidR="002D7177">
          <w:rPr>
            <w:noProof/>
            <w:webHidden/>
          </w:rPr>
          <w:t>13</w:t>
        </w:r>
        <w:r w:rsidR="002D7177">
          <w:rPr>
            <w:noProof/>
            <w:webHidden/>
          </w:rPr>
          <w:fldChar w:fldCharType="end"/>
        </w:r>
      </w:hyperlink>
    </w:p>
    <w:p w14:paraId="203F84D7" w14:textId="49DA88BC" w:rsidR="002D7177" w:rsidRDefault="00000000">
      <w:pPr>
        <w:pStyle w:val="TDC1"/>
        <w:tabs>
          <w:tab w:val="right" w:leader="dot" w:pos="9062"/>
        </w:tabs>
        <w:rPr>
          <w:rFonts w:eastAsiaTheme="minorEastAsia" w:cstheme="minorBidi"/>
          <w:b w:val="0"/>
          <w:bCs w:val="0"/>
          <w:caps w:val="0"/>
          <w:noProof/>
          <w:sz w:val="24"/>
          <w:szCs w:val="24"/>
        </w:rPr>
      </w:pPr>
      <w:hyperlink w:anchor="_Toc104545496" w:history="1">
        <w:r w:rsidR="002D7177" w:rsidRPr="00687144">
          <w:rPr>
            <w:rStyle w:val="Hipervnculo"/>
            <w:rFonts w:ascii="Times New Roman" w:hAnsi="Times New Roman" w:cs="Times New Roman"/>
            <w:noProof/>
          </w:rPr>
          <w:t>Note 8. m-GFET electrical configuration</w:t>
        </w:r>
        <w:r w:rsidR="002D7177">
          <w:rPr>
            <w:noProof/>
            <w:webHidden/>
          </w:rPr>
          <w:tab/>
        </w:r>
        <w:r w:rsidR="002D7177">
          <w:rPr>
            <w:noProof/>
            <w:webHidden/>
          </w:rPr>
          <w:fldChar w:fldCharType="begin"/>
        </w:r>
        <w:r w:rsidR="002D7177">
          <w:rPr>
            <w:noProof/>
            <w:webHidden/>
          </w:rPr>
          <w:instrText xml:space="preserve"> PAGEREF _Toc104545496 \h </w:instrText>
        </w:r>
        <w:r w:rsidR="002D7177">
          <w:rPr>
            <w:noProof/>
            <w:webHidden/>
          </w:rPr>
        </w:r>
        <w:r w:rsidR="002D7177">
          <w:rPr>
            <w:noProof/>
            <w:webHidden/>
          </w:rPr>
          <w:fldChar w:fldCharType="separate"/>
        </w:r>
        <w:r w:rsidR="002D7177">
          <w:rPr>
            <w:noProof/>
            <w:webHidden/>
          </w:rPr>
          <w:t>16</w:t>
        </w:r>
        <w:r w:rsidR="002D7177">
          <w:rPr>
            <w:noProof/>
            <w:webHidden/>
          </w:rPr>
          <w:fldChar w:fldCharType="end"/>
        </w:r>
      </w:hyperlink>
    </w:p>
    <w:p w14:paraId="3FD7ECB2" w14:textId="74C50E32" w:rsidR="002D7177" w:rsidRDefault="00000000">
      <w:pPr>
        <w:pStyle w:val="TDC1"/>
        <w:tabs>
          <w:tab w:val="right" w:leader="dot" w:pos="9062"/>
        </w:tabs>
        <w:rPr>
          <w:rFonts w:eastAsiaTheme="minorEastAsia" w:cstheme="minorBidi"/>
          <w:b w:val="0"/>
          <w:bCs w:val="0"/>
          <w:caps w:val="0"/>
          <w:noProof/>
          <w:sz w:val="24"/>
          <w:szCs w:val="24"/>
        </w:rPr>
      </w:pPr>
      <w:hyperlink w:anchor="_Toc104545497" w:history="1">
        <w:r w:rsidR="002D7177" w:rsidRPr="00687144">
          <w:rPr>
            <w:rStyle w:val="Hipervnculo"/>
            <w:rFonts w:ascii="Times New Roman" w:hAnsi="Times New Roman" w:cs="Times New Roman"/>
            <w:noProof/>
          </w:rPr>
          <w:t>Note 9. X-ray absorption spectroscopy</w:t>
        </w:r>
        <w:r w:rsidR="002D7177">
          <w:rPr>
            <w:noProof/>
            <w:webHidden/>
          </w:rPr>
          <w:tab/>
        </w:r>
        <w:r w:rsidR="002D7177">
          <w:rPr>
            <w:noProof/>
            <w:webHidden/>
          </w:rPr>
          <w:fldChar w:fldCharType="begin"/>
        </w:r>
        <w:r w:rsidR="002D7177">
          <w:rPr>
            <w:noProof/>
            <w:webHidden/>
          </w:rPr>
          <w:instrText xml:space="preserve"> PAGEREF _Toc104545497 \h </w:instrText>
        </w:r>
        <w:r w:rsidR="002D7177">
          <w:rPr>
            <w:noProof/>
            <w:webHidden/>
          </w:rPr>
        </w:r>
        <w:r w:rsidR="002D7177">
          <w:rPr>
            <w:noProof/>
            <w:webHidden/>
          </w:rPr>
          <w:fldChar w:fldCharType="separate"/>
        </w:r>
        <w:r w:rsidR="002D7177">
          <w:rPr>
            <w:noProof/>
            <w:webHidden/>
          </w:rPr>
          <w:t>17</w:t>
        </w:r>
        <w:r w:rsidR="002D7177">
          <w:rPr>
            <w:noProof/>
            <w:webHidden/>
          </w:rPr>
          <w:fldChar w:fldCharType="end"/>
        </w:r>
      </w:hyperlink>
    </w:p>
    <w:p w14:paraId="59A0322B" w14:textId="347DB28B" w:rsidR="002D7177" w:rsidRDefault="00000000">
      <w:pPr>
        <w:pStyle w:val="TDC1"/>
        <w:tabs>
          <w:tab w:val="right" w:leader="dot" w:pos="9062"/>
        </w:tabs>
        <w:rPr>
          <w:rFonts w:eastAsiaTheme="minorEastAsia" w:cstheme="minorBidi"/>
          <w:b w:val="0"/>
          <w:bCs w:val="0"/>
          <w:caps w:val="0"/>
          <w:noProof/>
          <w:sz w:val="24"/>
          <w:szCs w:val="24"/>
        </w:rPr>
      </w:pPr>
      <w:hyperlink w:anchor="_Toc104545498" w:history="1">
        <w:r w:rsidR="002D7177" w:rsidRPr="00687144">
          <w:rPr>
            <w:rStyle w:val="Hipervnculo"/>
            <w:rFonts w:ascii="Times New Roman" w:hAnsi="Times New Roman" w:cs="Times New Roman"/>
            <w:noProof/>
          </w:rPr>
          <w:t>Note 10. Photo response</w:t>
        </w:r>
        <w:r w:rsidR="002D7177">
          <w:rPr>
            <w:noProof/>
            <w:webHidden/>
          </w:rPr>
          <w:tab/>
        </w:r>
        <w:r w:rsidR="002D7177">
          <w:rPr>
            <w:noProof/>
            <w:webHidden/>
          </w:rPr>
          <w:fldChar w:fldCharType="begin"/>
        </w:r>
        <w:r w:rsidR="002D7177">
          <w:rPr>
            <w:noProof/>
            <w:webHidden/>
          </w:rPr>
          <w:instrText xml:space="preserve"> PAGEREF _Toc104545498 \h </w:instrText>
        </w:r>
        <w:r w:rsidR="002D7177">
          <w:rPr>
            <w:noProof/>
            <w:webHidden/>
          </w:rPr>
        </w:r>
        <w:r w:rsidR="002D7177">
          <w:rPr>
            <w:noProof/>
            <w:webHidden/>
          </w:rPr>
          <w:fldChar w:fldCharType="separate"/>
        </w:r>
        <w:r w:rsidR="002D7177">
          <w:rPr>
            <w:noProof/>
            <w:webHidden/>
          </w:rPr>
          <w:t>18</w:t>
        </w:r>
        <w:r w:rsidR="002D7177">
          <w:rPr>
            <w:noProof/>
            <w:webHidden/>
          </w:rPr>
          <w:fldChar w:fldCharType="end"/>
        </w:r>
      </w:hyperlink>
    </w:p>
    <w:p w14:paraId="71B17CBA" w14:textId="10075BEB" w:rsidR="002D7177" w:rsidRDefault="00000000">
      <w:pPr>
        <w:pStyle w:val="TDC1"/>
        <w:tabs>
          <w:tab w:val="right" w:leader="dot" w:pos="9062"/>
        </w:tabs>
        <w:rPr>
          <w:rFonts w:eastAsiaTheme="minorEastAsia" w:cstheme="minorBidi"/>
          <w:b w:val="0"/>
          <w:bCs w:val="0"/>
          <w:caps w:val="0"/>
          <w:noProof/>
          <w:sz w:val="24"/>
          <w:szCs w:val="24"/>
        </w:rPr>
      </w:pPr>
      <w:hyperlink w:anchor="_Toc104545499" w:history="1">
        <w:r w:rsidR="002D7177" w:rsidRPr="00687144">
          <w:rPr>
            <w:rStyle w:val="Hipervnculo"/>
            <w:rFonts w:ascii="Times New Roman" w:hAnsi="Times New Roman" w:cs="Times New Roman"/>
            <w:noProof/>
          </w:rPr>
          <w:t>References</w:t>
        </w:r>
        <w:r w:rsidR="002D7177">
          <w:rPr>
            <w:noProof/>
            <w:webHidden/>
          </w:rPr>
          <w:tab/>
        </w:r>
        <w:r w:rsidR="002D7177">
          <w:rPr>
            <w:noProof/>
            <w:webHidden/>
          </w:rPr>
          <w:fldChar w:fldCharType="begin"/>
        </w:r>
        <w:r w:rsidR="002D7177">
          <w:rPr>
            <w:noProof/>
            <w:webHidden/>
          </w:rPr>
          <w:instrText xml:space="preserve"> PAGEREF _Toc104545499 \h </w:instrText>
        </w:r>
        <w:r w:rsidR="002D7177">
          <w:rPr>
            <w:noProof/>
            <w:webHidden/>
          </w:rPr>
        </w:r>
        <w:r w:rsidR="002D7177">
          <w:rPr>
            <w:noProof/>
            <w:webHidden/>
          </w:rPr>
          <w:fldChar w:fldCharType="separate"/>
        </w:r>
        <w:r w:rsidR="002D7177">
          <w:rPr>
            <w:noProof/>
            <w:webHidden/>
          </w:rPr>
          <w:t>19</w:t>
        </w:r>
        <w:r w:rsidR="002D7177">
          <w:rPr>
            <w:noProof/>
            <w:webHidden/>
          </w:rPr>
          <w:fldChar w:fldCharType="end"/>
        </w:r>
      </w:hyperlink>
    </w:p>
    <w:p w14:paraId="1CFF3868" w14:textId="410AD4FF" w:rsidR="006D652D" w:rsidRDefault="002D7177">
      <w:pPr>
        <w:rPr>
          <w:b/>
          <w:bCs/>
        </w:rPr>
      </w:pPr>
      <w:r>
        <w:rPr>
          <w:b/>
          <w:bCs/>
        </w:rPr>
        <w:fldChar w:fldCharType="end"/>
      </w:r>
    </w:p>
    <w:p w14:paraId="20C00936" w14:textId="022E15B7" w:rsidR="006D652D" w:rsidRDefault="006D652D">
      <w:pPr>
        <w:rPr>
          <w:b/>
          <w:bCs/>
        </w:rPr>
      </w:pPr>
    </w:p>
    <w:p w14:paraId="544AECC5" w14:textId="77777777" w:rsidR="002D7177" w:rsidRDefault="002D7177" w:rsidP="006D652D">
      <w:pPr>
        <w:pStyle w:val="Ttulo1"/>
        <w:rPr>
          <w:rFonts w:ascii="Times New Roman" w:hAnsi="Times New Roman" w:cs="Times New Roman"/>
          <w:color w:val="auto"/>
          <w:sz w:val="28"/>
          <w:szCs w:val="28"/>
        </w:rPr>
      </w:pPr>
      <w:bookmarkStart w:id="0" w:name="_Toc104545471"/>
    </w:p>
    <w:p w14:paraId="592E197C" w14:textId="77777777" w:rsidR="002D7177" w:rsidRDefault="002D7177">
      <w:pPr>
        <w:rPr>
          <w:rFonts w:eastAsiaTheme="majorEastAsia"/>
          <w:sz w:val="28"/>
          <w:szCs w:val="28"/>
          <w:lang w:val="en-US" w:eastAsia="ja-JP"/>
        </w:rPr>
      </w:pPr>
      <w:r>
        <w:rPr>
          <w:sz w:val="28"/>
          <w:szCs w:val="28"/>
        </w:rPr>
        <w:br w:type="page"/>
      </w:r>
    </w:p>
    <w:p w14:paraId="2878CD88" w14:textId="596A2C30" w:rsidR="00FD5E16" w:rsidRPr="006D652D" w:rsidRDefault="00FD5E16" w:rsidP="006D652D">
      <w:pPr>
        <w:pStyle w:val="Ttulo1"/>
        <w:rPr>
          <w:rFonts w:ascii="Times New Roman" w:hAnsi="Times New Roman" w:cs="Times New Roman"/>
          <w:bCs/>
          <w:color w:val="auto"/>
          <w:sz w:val="28"/>
          <w:szCs w:val="28"/>
        </w:rPr>
      </w:pPr>
      <w:bookmarkStart w:id="1" w:name="_Toc104545489"/>
      <w:r w:rsidRPr="006D652D">
        <w:rPr>
          <w:rFonts w:ascii="Times New Roman" w:hAnsi="Times New Roman" w:cs="Times New Roman"/>
          <w:color w:val="auto"/>
          <w:sz w:val="28"/>
          <w:szCs w:val="28"/>
        </w:rPr>
        <w:lastRenderedPageBreak/>
        <w:t>Note 1. Electrochemistry</w:t>
      </w:r>
      <w:bookmarkEnd w:id="0"/>
      <w:bookmarkEnd w:id="1"/>
    </w:p>
    <w:p w14:paraId="25FDC5D4" w14:textId="7BCBCA31" w:rsidR="000A7412" w:rsidRDefault="000A7412" w:rsidP="007B2181">
      <w:pPr>
        <w:spacing w:line="360" w:lineRule="auto"/>
        <w:jc w:val="both"/>
        <w:rPr>
          <w:bCs/>
          <w:lang w:val="en-US"/>
        </w:rPr>
      </w:pPr>
    </w:p>
    <w:p w14:paraId="01375F74" w14:textId="21212ABC" w:rsidR="000A7412" w:rsidRPr="00E449C2" w:rsidRDefault="0081495E" w:rsidP="00E449C2">
      <w:pPr>
        <w:spacing w:line="360" w:lineRule="auto"/>
        <w:jc w:val="both"/>
        <w:rPr>
          <w:lang w:val="en-US"/>
        </w:rPr>
      </w:pPr>
      <w:r>
        <w:rPr>
          <w:lang w:val="en-US"/>
        </w:rPr>
        <w:t>The f</w:t>
      </w:r>
      <w:r w:rsidR="000A7412" w:rsidRPr="00F67340">
        <w:rPr>
          <w:lang w:val="en-US"/>
        </w:rPr>
        <w:t xml:space="preserve">errocene group is used both in </w:t>
      </w:r>
      <w:r w:rsidR="000325C3">
        <w:rPr>
          <w:lang w:val="en-US"/>
        </w:rPr>
        <w:t>e</w:t>
      </w:r>
      <w:r w:rsidR="000A7412" w:rsidRPr="00F67340">
        <w:rPr>
          <w:lang w:val="en-US"/>
        </w:rPr>
        <w:t>lectrochemistry (programable electrochemical rectifier</w:t>
      </w:r>
      <w:r w:rsidR="00A90A70">
        <w:rPr>
          <w:rStyle w:val="Refdenotaalpie"/>
          <w:lang w:val="en-US"/>
        </w:rPr>
        <w:fldChar w:fldCharType="begin" w:fldLock="1"/>
      </w:r>
      <w:r w:rsidR="00882E2D">
        <w:rPr>
          <w:lang w:val="en-US"/>
        </w:rPr>
        <w:instrText>ADDIN CSL_CITATION {"citationItems":[{"id":"ITEM-1","itemData":{"DOI":"10.1021/acsami.7b02215","ISSN":"19448252","abstract":"A programmable electrochemical rectifier based on thin-layer electrochemistry is described here. Both the rectification ratio and the response time of the device are programmable by controlling the gap distance of the thin-layer electrochemical cell, which is easily controlled using commercially available beads. One of the electrodes was modified using a ferrocene-terminated self-assembled monolayer to offer unidirectional charge transfers via soluble redox species. The thin-layer configuration provided enhanced mass transport, which was determined by the gap thickness. The device with the smallest gap thickness (</w:instrText>
      </w:r>
      <w:r w:rsidR="00882E2D">
        <w:rPr>
          <w:rFonts w:ascii="Cambria Math" w:hAnsi="Cambria Math" w:cs="Cambria Math"/>
          <w:lang w:val="en-US"/>
        </w:rPr>
        <w:instrText>∼</w:instrText>
      </w:r>
      <w:r w:rsidR="00882E2D">
        <w:rPr>
          <w:lang w:val="en-US"/>
        </w:rPr>
        <w:instrText>4 μm) showed an unprecedented, high rectification ratio (up to 160) with a fast response time in a two-terminal configuration using conventional electronics.","author":[{"dropping-particle":"","family":"Park","given":"Seungjin","non-dropping-particle":"","parse-names":false,"suffix":""},{"dropping-particle":"","family":"Park","given":"Jun Hui","non-dropping-particle":"","parse-names":false,"suffix":""},{"dropping-particle":"","family":"Hwang","given":"Seongpil","non-dropping-particle":"","parse-names":false,"suffix":""},{"dropping-particle":"","family":"Kwak","given":"Juhyoun","non-dropping-particle":"","parse-names":false,"suffix":""}],"container-title":"ACS Applied Materials and Interfaces","id":"ITEM-1","issue":"24","issued":{"date-parts":[["2017"]]},"page":"20955-20962","title":"Programmable Electrochemical Rectifier Based on a Thin-Layer Cell","type":"article-journal","volume":"9"},"uris":["http://www.mendeley.com/documents/?uuid=1b2fa3eb-abbc-4945-8ce6-02f23a1539de"]}],"mendeley":{"formattedCitation":"&lt;sup&gt;1&lt;/sup&gt;","plainTextFormattedCitation":"1","previouslyFormattedCitation":"&lt;sup&gt;1&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1</w:t>
      </w:r>
      <w:r w:rsidR="00A90A70">
        <w:rPr>
          <w:rStyle w:val="Refdenotaalpie"/>
          <w:lang w:val="en-US"/>
        </w:rPr>
        <w:fldChar w:fldCharType="end"/>
      </w:r>
      <w:r w:rsidR="000A7412" w:rsidRPr="00F67340">
        <w:rPr>
          <w:lang w:val="en-US"/>
        </w:rPr>
        <w:t>) and</w:t>
      </w:r>
      <w:r w:rsidR="000A7412" w:rsidRPr="00E449C2">
        <w:rPr>
          <w:lang w:val="en-US"/>
        </w:rPr>
        <w:t xml:space="preserve"> molecular electronics </w:t>
      </w:r>
      <w:r w:rsidR="008E55C2">
        <w:rPr>
          <w:lang w:val="en-US"/>
        </w:rPr>
        <w:t>(</w:t>
      </w:r>
      <w:r w:rsidR="000A7412" w:rsidRPr="00E449C2">
        <w:rPr>
          <w:lang w:val="en-US"/>
        </w:rPr>
        <w:t>molecular diodes</w:t>
      </w:r>
      <w:r w:rsidR="00A90A70">
        <w:rPr>
          <w:rStyle w:val="Refdenotaalpie"/>
          <w:lang w:val="en-US"/>
        </w:rPr>
        <w:fldChar w:fldCharType="begin" w:fldLock="1"/>
      </w:r>
      <w:r w:rsidR="00882E2D">
        <w:rPr>
          <w:lang w:val="en-US"/>
        </w:rPr>
        <w:instrText xml:space="preserve">ADDIN CSL_CITATION {"citationItems":[{"id":"ITEM-1","itemData":{"DOI":"10.1038/nnano.2012.238","ISSN":"17483395","abstract":"One of the main goals of organic and molecular electronics is to relate the performance and electronic function of devices to the chemical structure and intermolecular interactions of the organic component inside them, which can take the form of an organic thin film, a self-assembled monolayer or a single molecule. This goal is difficult to achieve because organic and molecular electronic devices are complex physical-organic systems that consist of at least two electrodes, an organic component and two (different) organic/inorganic interfaces. Singling out the contribution of each of these components remains challenging. So far, strong π-π interactions have mainly been considered for the rational design and optimization of the performances of organic electronic devices, and weaker intermolecular interactions have largely been ignored. Here, we show experimentally that subtle changes in the intermolecular van der Waals interactions in the active component of a molecular diode dramatically impact the performance of the device. In particular, we observe an odd-even effect as the number of alkyl units is varied in a ferrocene- alkanethiolate self-assembled monolayer. As a result of a more favourable van der Waals interaction, junctions made from an odd number of alkyl units have a lower packing energy (by </w:instrText>
      </w:r>
      <w:r w:rsidR="00882E2D">
        <w:rPr>
          <w:rFonts w:ascii="Cambria Math" w:hAnsi="Cambria Math" w:cs="Cambria Math"/>
          <w:lang w:val="en-US"/>
        </w:rPr>
        <w:instrText>∼</w:instrText>
      </w:r>
      <w:r w:rsidR="00882E2D">
        <w:rPr>
          <w:lang w:val="en-US"/>
        </w:rPr>
        <w:instrText>0.4-0.6 kcal mol-1), rectify currents 10 times more efficiently, give a 10% higher yield in working devices, and can be made two to three times more reproducibly than junctions made from an even number of alkyl units. © 2013 Macmillan Publishers Limited. All rights reserved.","author":[{"dropping-particle":"","family":"Nerngchamnong","given":"Nisachol","non-dropping-particle":"","parse-names":false,"suffix":""},{"dropping-particle":"","family":"Yuan","given":"Li","non-dropping-particle":"","parse-names":false,"suffix":""},{"dropping-particle":"","family":"Qi","given":"Dong Chen","non-dropping-particle":"","parse-names":false,"suffix":""},{"dropping-particle":"","family":"Li","given":"Jiang","non-dropping-particle":"","parse-names":false,"suffix":""},{"dropping-particle":"","family":"Thompson","given":"Damien","non-dropping-particle":"","parse-names":false,"suffix":""},{"dropping-particle":"","family":"Nijhuis","given":"Christian A.","non-dropping-particle":"","parse-names":false,"suffix":""}],"container-title":"Nature Nanotechnology","id":"ITEM-1","issue":"2","issued":{"date-parts":[["2013"]]},"page":"113-118","publisher":"Nature Publishing Group","title":"The role of van der Waals forces in the performance of molecular diodes","type":"article-journal","volume":"8"},"uris":["http://www.mendeley.com/documents/?uuid=46f5e46e-94c3-4df8-83da-c8765ffe2dd6"]}],"mendeley":{"formattedCitation":"&lt;sup&gt;2&lt;/sup&gt;","plainTextFormattedCitation":"2","previouslyFormattedCitation":"&lt;sup&gt;2&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2</w:t>
      </w:r>
      <w:r w:rsidR="00A90A70">
        <w:rPr>
          <w:rStyle w:val="Refdenotaalpie"/>
          <w:lang w:val="en-US"/>
        </w:rPr>
        <w:fldChar w:fldCharType="end"/>
      </w:r>
      <w:r w:rsidR="008E55C2">
        <w:rPr>
          <w:lang w:val="en-US"/>
        </w:rPr>
        <w:t>)</w:t>
      </w:r>
      <w:r w:rsidR="000A7412" w:rsidRPr="00E449C2">
        <w:rPr>
          <w:lang w:val="en-US"/>
        </w:rPr>
        <w:t>.</w:t>
      </w:r>
      <w:r w:rsidR="00E449C2">
        <w:rPr>
          <w:lang w:val="en-US"/>
        </w:rPr>
        <w:t xml:space="preserve"> </w:t>
      </w:r>
      <w:r w:rsidR="000A7412" w:rsidRPr="00E449C2">
        <w:rPr>
          <w:lang w:val="en-US"/>
        </w:rPr>
        <w:t>Cyclic Voltammetry (CV) is applied to quantify the molecular energy (</w:t>
      </w:r>
      <w:r w:rsidR="000A7412" w:rsidRPr="00E449C2">
        <w:rPr>
          <w:i/>
          <w:iCs/>
          <w:lang w:val="en-US"/>
        </w:rPr>
        <w:t>E</w:t>
      </w:r>
      <w:r w:rsidR="000A7412" w:rsidRPr="00E449C2">
        <w:rPr>
          <w:i/>
          <w:iCs/>
          <w:vertAlign w:val="subscript"/>
          <w:lang w:val="en-US"/>
        </w:rPr>
        <w:t>H</w:t>
      </w:r>
      <w:r w:rsidR="000A7412" w:rsidRPr="00E449C2">
        <w:rPr>
          <w:lang w:val="en-US"/>
        </w:rPr>
        <w:t>), surface coverage (</w:t>
      </w:r>
      <w:r w:rsidR="000A7412" w:rsidRPr="00E449C2">
        <w:rPr>
          <w:i/>
          <w:iCs/>
          <w:lang w:val="en-US"/>
        </w:rPr>
        <w:t>Γ)</w:t>
      </w:r>
      <w:r w:rsidR="000A7412" w:rsidRPr="00E449C2">
        <w:rPr>
          <w:lang w:val="en-US"/>
        </w:rPr>
        <w:t xml:space="preserve"> and intermolecular </w:t>
      </w:r>
      <w:r w:rsidR="000A7412" w:rsidRPr="00E449C2">
        <w:rPr>
          <w:rFonts w:ascii="Calibri" w:hAnsi="Calibri" w:cs="Calibri"/>
          <w:lang w:val="en-US"/>
        </w:rPr>
        <w:t>﻿</w:t>
      </w:r>
      <w:r w:rsidR="000A7412" w:rsidRPr="00E449C2">
        <w:rPr>
          <w:lang w:val="en-US"/>
        </w:rPr>
        <w:t xml:space="preserve">coulombic interactions </w:t>
      </w:r>
      <w:r w:rsidR="000A7412" w:rsidRPr="00E449C2">
        <w:rPr>
          <w:rFonts w:ascii="Calibri" w:hAnsi="Calibri" w:cs="Calibri"/>
          <w:lang w:val="en-US"/>
        </w:rPr>
        <w:t>﻿</w:t>
      </w:r>
      <w:r w:rsidR="000A7412" w:rsidRPr="00E449C2">
        <w:rPr>
          <w:lang w:val="en-US"/>
        </w:rPr>
        <w:t>(</w:t>
      </w:r>
      <w:r w:rsidR="000A7412" w:rsidRPr="00E449C2">
        <w:rPr>
          <w:i/>
          <w:iCs/>
          <w:lang w:val="en-US"/>
        </w:rPr>
        <w:t>φ</w:t>
      </w:r>
      <w:r w:rsidR="000A7412" w:rsidRPr="00E449C2">
        <w:rPr>
          <w:lang w:val="en-US"/>
        </w:rPr>
        <w:t>)</w:t>
      </w:r>
      <w:r w:rsidR="008E55C2">
        <w:rPr>
          <w:lang w:val="en-US"/>
        </w:rPr>
        <w:t>, t</w:t>
      </w:r>
      <w:r w:rsidR="008E55C2" w:rsidRPr="00E449C2">
        <w:rPr>
          <w:lang w:val="en-US"/>
        </w:rPr>
        <w:t>he shape of voltammograms is modulated by the molecular interactions</w:t>
      </w:r>
      <w:r w:rsidR="00A90A70">
        <w:rPr>
          <w:rStyle w:val="Refdenotaalpie"/>
          <w:lang w:val="en-US"/>
        </w:rPr>
        <w:fldChar w:fldCharType="begin" w:fldLock="1"/>
      </w:r>
      <w:r w:rsidR="00882E2D">
        <w:rPr>
          <w:lang w:val="en-US"/>
        </w:rPr>
        <w:instrText>ADDIN CSL_CITATION {"citationItems":[{"id":"ITEM-1","itemData":{"DOI":"10.1021/jp310012v","author":[{"dropping-particle":"","family":"Tian","given":"Huihui","non-dropping-particle":"","parse-names":false,"suffix":""},{"dropping-particle":"","family":"Dai","given":"Yun","non-dropping-particle":"","parse-names":false,"suffix":""},{"dropping-particle":"","family":"Shao","given":"Huibo","non-dropping-particle":"","parse-names":false,"suffix":""},{"dropping-particle":"","family":"Yu","given":"Hua-zhong","non-dropping-particle":"","parse-names":false,"suffix":""}],"id":"ITEM-1","issued":{"date-parts":[["2013"]]},"title":"Modulated Intermolecular Interactions in Ferrocenylalkanethiolate Self-Assembled Monolayers on Gold","type":"article-journal"},"uris":["http://www.mendeley.com/documents/?uuid=f072fcc2-ad14-45b5-ba46-2f259395a05b"]},{"id":"ITEM-2","itemData":{"DOI":"10.1021/nl204379j","ISSN":"15306984","abstract":"We present a computational investigation into the line shapes of peaks in conductance histograms, finding that they possess high information content. In particular, the histogram peak associated with conduction through a single molecule elucidates the electron transport mechanism and is generally well-described by beta distributions. A statistical analysis of the peak corresponding to conduction through two molecules reveals the presence of cooperative effects between the molecules and also provides insight into the underlying conduction channels. This work describes tools for extracting additional interpretations from experimental statistical data, helping us better understand electron transport processes. © 2012 American Chemical Society.","author":[{"dropping-particle":"","family":"Reuter","given":"Matthew G.","non-dropping-particle":"","parse-names":false,"suffix":""},{"dropping-particle":"","family":"Hersam","given":"Mark C.","non-dropping-particle":"","parse-names":false,"suffix":""},{"dropping-particle":"","family":"Seideman","given":"Tamar","non-dropping-particle":"","parse-names":false,"suffix":""},{"dropping-particle":"","family":"Ratner","given":"Mark A.","non-dropping-particle":"","parse-names":false,"suffix":""}],"container-title":"Nano Letters","id":"ITEM-2","issue":"5","issued":{"date-parts":[["2012"]]},"page":"2243-2248","title":"Signatures of cooperative effects and transport mechanisms in conductance histograms","type":"article-journal","volume":"12"},"uris":["http://www.mendeley.com/documents/?uuid=3fc7e35d-79cc-4d53-883e-777928f5cde7"]},{"id":"ITEM-3","itemData":{"DOI":"10.1021/acs.nanolett.7b00804","ISSN":"15306992","abstract":"© 2017 American Chemical Society. The π-π interactions between organic molecules are among the most important parameters for optimizing the transport and optical properties of organic transistors, light-emitting diodes, and (bio-) molecular devices. Despite substantial theoretical progress, direct experimental measurement of the π-π electronic coupling energy parameter t has remained an old challenge due to molecular structural variability and the large number of parameters that affect the charge transport. Here, we propose a study of π-π interactions from electrochemical and current measurements on a large array of ferrocene-thiolated gold nanocrystals. We confirm the theoretical prediction that t can be assessed from a statistical analysis of current histograms. The extracted value of t ≈35 meV is in the expected range based on our density functional theory analysis. Furthermore, the t distribution is not necessarily Gaussian and could be used as an ultrasensitive technique to assess intermolecular distance fluctuation at the subangström level. The present work establishes a direct bridge between quantum chemistry, electrochemistry, organic electronics, and mesoscopic physics, all of which were used to discuss results and perspectives in a quantitative manner.","author":[{"dropping-particle":"","family":"Trasobares","given":"J.","non-dropping-particle":"","parse-names":false,"suffix":""},{"dropping-particle":"","family":"Rech","given":"J.","non-dropping-particle":"","parse-names":false,"suffix":""},{"dropping-particle":"","family":"Jonckheere","given":"T.","non-dropping-particle":"","parse-names":false,"suffix":""},{"dropping-particle":"","family":"Martin","given":"T.","non-dropping-particle":"","parse-names":false,"suffix":""},{"dropping-particle":"","family":"Aleveque","given":"O.","non-dropping-particle":"","parse-names":false,"suffix":""},{"dropping-particle":"","family":"Levillain","given":"E.","non-dropping-particle":"","parse-names":false,"suffix":""},{"dropping-particle":"","family":"Diez-Cabanes","given":"V.","non-dropping-particle":"","parse-names":false,"suffix":""},{"dropping-particle":"","family":"Olivier","given":"Y.","non-dropping-particle":"","parse-names":false,"suffix":""},{"dropping-particle":"","family":"Cornil","given":"J.","non-dropping-particle":"","parse-names":false,"suffix":""},{"dropping-particle":"","family":"Nys","given":"J.P.","non-dropping-particle":"","parse-names":false,"suffix":""},{"dropping-particle":"","family":"Sivakumarasamy","given":"R.","non-dropping-particle":"","parse-names":false,"suffix":""},{"dropping-particle":"","family":"Smaali","given":"K.","non-dropping-particle":"","parse-names":false,"suffix":""},{"dropping-particle":"","family":"Leclere","given":"P.","non-dropping-particle":"","parse-names":false,"suffix":""},{"dropping-particle":"","family":"Fujiwara","given":"A.","non-dropping-particle":"","parse-names":false,"suffix":""},{"dropping-particle":"","family":"Théron","given":"D.","non-dropping-particle":"","parse-names":false,"suffix":""},{"dropping-particle":"","family":"Vuillaume","given":"D.","non-dropping-particle":"","parse-names":false,"suffix":""},{"dropping-particle":"","family":"Clément","given":"N.","non-dropping-particle":"","parse-names":false,"suffix":""}],"container-title":"Nano Letters","id":"ITEM-3","issue":"5","issued":{"date-parts":[["2017"]]},"page":"3215–3224","title":"Estimation of π-π Electronic Couplings from Current Measurements","type":"article-journal","volume":"17"},"uris":["http://www.mendeley.com/documents/?uuid=c6b91281-f0fa-32fe-915d-43896b199040"]}],"mendeley":{"formattedCitation":"&lt;sup&gt;3–5&lt;/sup&gt;","plainTextFormattedCitation":"3–5","previouslyFormattedCitation":"&lt;sup&gt;3–5&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3–5</w:t>
      </w:r>
      <w:r w:rsidR="00A90A70">
        <w:rPr>
          <w:rStyle w:val="Refdenotaalpie"/>
          <w:lang w:val="en-US"/>
        </w:rPr>
        <w:fldChar w:fldCharType="end"/>
      </w:r>
      <w:r w:rsidR="00F67340">
        <w:rPr>
          <w:lang w:val="en-US"/>
        </w:rPr>
        <w:t xml:space="preserve"> </w:t>
      </w:r>
      <w:r w:rsidR="000325C3">
        <w:rPr>
          <w:lang w:val="en-US"/>
        </w:rPr>
        <w:t>where d</w:t>
      </w:r>
      <w:r w:rsidR="000325C3" w:rsidRPr="00E449C2">
        <w:rPr>
          <w:lang w:val="en-US"/>
        </w:rPr>
        <w:t>ifferent molecular organizations due to surface roughness may lead to multiple CV peaks</w:t>
      </w:r>
      <w:r w:rsidR="00A90A70">
        <w:rPr>
          <w:rStyle w:val="Refdenotaalpie"/>
          <w:lang w:val="en-US"/>
        </w:rPr>
        <w:fldChar w:fldCharType="begin" w:fldLock="1"/>
      </w:r>
      <w:r w:rsidR="00882E2D">
        <w:rPr>
          <w:lang w:val="en-US"/>
        </w:rPr>
        <w:instrText>ADDIN CSL_CITATION {"citationItems":[{"id":"ITEM-1","itemData":{"DOI":"10.1021/jp310012v","author":[{"dropping-particle":"","family":"Tian","given":"Huihui","non-dropping-particle":"","parse-names":false,"suffix":""},{"dropping-particle":"","family":"Dai","given":"Yun","non-dropping-particle":"","parse-names":false,"suffix":""},{"dropping-particle":"","family":"Shao","given":"Huibo","non-dropping-particle":"","parse-names":false,"suffix":""},{"dropping-particle":"","family":"Yu","given":"Hua-zhong","non-dropping-particle":"","parse-names":false,"suffix":""}],"id":"ITEM-1","issued":{"date-parts":[["2013"]]},"title":"Modulated Intermolecular Interactions in Ferrocenylalkanethiolate Self-Assembled Monolayers on Gold","type":"article-journal"},"uris":["http://www.mendeley.com/documents/?uuid=f072fcc2-ad14-45b5-ba46-2f259395a05b"]},{"id":"ITEM-2","itemData":{"DOI":"10.1021/acs.jpcc.5b05137","ISSN":"19327455","abstract":"We studied the electrochemical behavior of self-assembled monolayers (SAMs) of n-alkanethiolates with ferrocenyl (Fc) termini on gold (S(CH&lt;inf&gt;2&lt;/inf&gt;)&lt;inf&gt;n&lt;/inf&gt;Fc, n = 0-15) in relation to their supramolecular structures (characterized by photoemission spectroscopy (PES) supported by molecular dynamics (MD) simulations) to elucidate the origin of nonideal features commonly observed in cyclic voltammograms (CVs) of these SAMs by systematically changing n from 0 to 15. For all SAMs the CV data are dominated by a main peak for Fc units directly in contact with the electrolyte solution and interacting with neighboring Fc units. A second peak is observed for SAMs with n ≥ 2 ascribed to partially buried Fc units as a result of lattice strain due to the different sizes of the lattices of the Fc units and the sulfur atoms. For thick SAMs with strong molecule-molecule interactions, the strain is large, resulting in a third peak due to Fc units that are well shielded from the electrolyte by other Fc units. Our results do not agree with widely used explanations to account for peak splitting involving isolated Fc units vs clustered Fc units, disordered vs ordered domains, or back bending (which requires the formation of Gauche defects). In contrast, we show that the peak splitting and peak broadening is an inherent property of densely packed SC&lt;inf&gt;n&lt;/inf&gt;Fc SAMs with Fc units in different electrochemical environments to release the buildup of strain. On the basis of our results we propose a simple model to explain all the nonideal features observed in CV data. In addition, we show that this model can also explain the abnormal shapes of CV recorded on S(CH&lt;inf&gt;2&lt;/inf&gt;)&lt;inf&gt;11&lt;/inf&gt;Fc SAMs formed on very rough and defective electrodes or derived from the corresponding disulfide, i.e., (S(CH&lt;inf&gt;2&lt;/inf&gt;)&lt;inf&gt;11&lt;/inf&gt;Fc)&lt;inf&gt;2&lt;/inf&gt;.","author":[{"dropping-particle":"","family":"Nerngchamnong","given":"Nisachol","non-dropping-particle":"","parse-names":false,"suffix":""},{"dropping-particle":"","family":"Thompson","given":"Damien","non-dropping-particle":"","parse-names":false,"suffix":""},{"dropping-particle":"","family":"Cao","given":"Liang","non-dropping-particle":"","parse-names":false,"suffix":""},{"dropping-particle":"","family":"Yuan","given":"Li","non-dropping-particle":"","parse-names":false,"suffix":""},{"dropping-particle":"","family":"Jiang","given":"Li","non-dropping-particle":"","parse-names":false,"suffix":""},{"dropping-particle":"","family":"Roemer","given":"Max","non-dropping-particle":"","parse-names":false,"suffix":""},{"dropping-particle":"","family":"Nijhuis","given":"Christian A.","non-dropping-particle":"","parse-names":false,"suffix":""}],"container-title":"Journal of Physical Chemistry C","id":"ITEM-2","issue":"38","issued":{"date-parts":[["2015"]]},"page":"21978-21991","title":"Nonideal Electrochemical Behavior of Ferrocenyl-Alkanethiolate SAMs Maps the Microenvironment of the Redox Unit","type":"article-journal","volume":"119"},"uris":["http://www.mendeley.com/documents/?uuid=248529e7-976c-4720-9ec8-aa5cccdcf160"]}],"mendeley":{"formattedCitation":"&lt;sup&gt;3,6&lt;/sup&gt;","plainTextFormattedCitation":"3,6","previouslyFormattedCitation":"&lt;sup&gt;3,6&lt;/sup&gt;"},"properties":{"noteIndex":0},"schema":"https://github.com/citation-style-language/schema/raw/master/csl-citation.json"}</w:instrText>
      </w:r>
      <w:r w:rsidR="00A90A70">
        <w:rPr>
          <w:rStyle w:val="Refdenotaalpie"/>
          <w:lang w:val="en-US"/>
        </w:rPr>
        <w:fldChar w:fldCharType="separate"/>
      </w:r>
      <w:r w:rsidR="00882E2D" w:rsidRPr="00882E2D">
        <w:rPr>
          <w:noProof/>
          <w:vertAlign w:val="superscript"/>
          <w:lang w:val="en-US"/>
        </w:rPr>
        <w:t>3,6</w:t>
      </w:r>
      <w:r w:rsidR="00A90A70">
        <w:rPr>
          <w:rStyle w:val="Refdenotaalpie"/>
          <w:lang w:val="en-US"/>
        </w:rPr>
        <w:fldChar w:fldCharType="end"/>
      </w:r>
      <w:r w:rsidR="000325C3">
        <w:rPr>
          <w:lang w:val="en-US"/>
        </w:rPr>
        <w:t xml:space="preserve">. Additionally, </w:t>
      </w:r>
      <w:r w:rsidR="00F67340">
        <w:rPr>
          <w:lang w:val="en-US"/>
        </w:rPr>
        <w:t xml:space="preserve">oxidation potentials are related with the ionization potentials and </w:t>
      </w:r>
      <w:r w:rsidR="000A7412" w:rsidRPr="00E449C2">
        <w:rPr>
          <w:lang w:val="en-US"/>
        </w:rPr>
        <w:t>work function change (</w:t>
      </w:r>
      <w:r w:rsidR="000A7412" w:rsidRPr="00E449C2">
        <w:rPr>
          <w:i/>
          <w:iCs/>
          <w:lang w:val="en-US"/>
        </w:rPr>
        <w:t>ΔΦ</w:t>
      </w:r>
      <w:r w:rsidR="000A7412" w:rsidRPr="00E449C2">
        <w:rPr>
          <w:lang w:val="en-US"/>
        </w:rPr>
        <w:t>)</w:t>
      </w:r>
      <w:r w:rsidR="00A90A70">
        <w:rPr>
          <w:rStyle w:val="Refdenotaalpie"/>
          <w:lang w:val="en-US"/>
        </w:rPr>
        <w:fldChar w:fldCharType="begin" w:fldLock="1"/>
      </w:r>
      <w:r w:rsidR="00882E2D">
        <w:rPr>
          <w:lang w:val="en-US"/>
        </w:rPr>
        <w:instrText>ADDIN CSL_CITATION {"citationItems":[{"id":"ITEM-1","itemData":{"DOI":"10.1016/j.orgel.2005.01.002","ISSN":"15661199","abstract":"A relationship between the energy of the highest occupied molecular orbital (HOMO) and the oxidation potential of molecular organic semiconductors is presented. Approximating molecules as dipoles consisting of a positively charged ion core surrounded by an electron cloud, the HOMO energy (E HOMO) is calculated as that required to separate these opposite charges in a neutral organic thin film. Furthermore, an analysis of image charge forces on spherical molecules positioned near a conductive plane formed by the electrode in an electrochemical cell is shown to explain the observed linear relationship between EHOMO and the oxidation potential. The EHOMO's of a number of organic semiconductors commonly employed in thin film electronic devices were determined by ultraviolet photoemission spectroscopy, and compared to the relative oxidation potential (VCV) measured using pulsed cyclic voltammetry, leading to the relationship E HOMO = -(1.4 ± 0.1) × (qVCV) - (4.6 ± 0.08) eV, consistent with theoretical predictions. © 2005 Elsevier B.V. All rights reserved.","author":[{"dropping-particle":"","family":"D'Andrade","given":"Brian W.","non-dropping-particle":"","parse-names":false,"suffix":""},{"dropping-particle":"","family":"Datta","given":"Shubhashish","non-dropping-particle":"","parse-names":false,"suffix":""},{"dropping-particle":"","family":"Forrest","given":"Stephen R.","non-dropping-particle":"","parse-names":false,"suffix":""},{"dropping-particle":"","family":"Djurovich","given":"Peter","non-dropping-particle":"","parse-names":false,"suffix":""},{"dropping-particle":"","family":"Polikarpov","given":"Eugene","non-dropping-particle":"","parse-names":false,"suffix":""},{"dropping-particle":"","family":"Thompson","given":"Mark E.","non-dropping-particle":"","parse-names":false,"suffix":""}],"container-title":"Organic Electronics","id":"ITEM-1","issue":"1","issued":{"date-parts":[["2005"]]},"page":"11-20","title":"Relationship between the ionization and oxidation potentials of molecular organic semiconductors","type":"article-journal","volume":"6"},"uris":["http://www.mendeley.com/documents/?uuid=619763ca-b02e-414d-88d4-4fd3c0f62b67"]},{"id":"ITEM-2","itemData":{"DOI":"10.1021/ar700284q","ISSN":"00014842","abstract":"Self-assembled monolayers (SAMs) of organic molecules generally modify the surface properties when covalently linked to substrates. In organic electronics, SAMs are used to fine-tune the work functions of inorganic electrodes, thereby minimizing the energy barriers for injection or extraction of charge carriers into or out of an active organic layer; a detailed understanding of the interface energetics on an atomistic scale is required to design improved interfaces. In the field of molecular electronics, the SAM itself (or, in some cases, one or a few molecules) carries the entire device functionality; the interface then essentially becomes the device and the alignment of the molecular energy levels with those of the electrodes defines the overall charge-transport characteristics. This Account provides a review of recent theoretical studies of the interface energetics for SAMs of π-conjugated molecules covalently linked to noble metal surfaces. After a brief description of the electrostatics of dipole layers at metal/molecule interfaces, the results of density functional theory calculations are discussed for SAMs of representative conjugated thiols on Au(111). Particular emphasis is placed on the modification of the work function of the clean metal surface upon SAM formation, the alignment of the energy levels within the SAM with the metal Fermi level, and the connection between these two quantities. To simplify the discussion, we partition the description of the metal/SAM system into two parts by considering first an isolated free-standing layer of molecules and then the system obtained after molecule-metal bond formation. From an electrostatic standpoint, both the isolated monolayer and the metal-molecule bonds can be cast in the form of dipole layers, which lead to steps in the electrostatic potential energy at the interface. While the step due to the isolated molecular layer impacts only the work function of the SAM-covered surface, the step arising from the bond formation influences both the work function and the alignment of the electronic levels in the SAM with respect to the metal Fermi energy. Interestingly, headgroup substitutions at the far ends of the molecules forming the SAM are electrostatically decoupled from the metal-thiol interface in densely packed SAMs; as a result, the nature of these substituents and the binding chemistry between the metal and the molecules are two largely unrelated handles with which to independently tune the wor…","author":[{"dropping-particle":"","family":"Heimel","given":"Georg","non-dropping-particle":"","parse-names":false,"suffix":""},{"dropping-particle":"","family":"Romaner","given":"Lorenz","non-dropping-particle":"","parse-names":false,"suffix":""},{"dropping-particle":"","family":"Zojer","given":"Egbert","non-dropping-particle":"","parse-names":false,"suffix":""},{"dropping-particle":"","family":"Bredas","given":"Jean Luc","non-dropping-particle":"","parse-names":false,"suffix":""}],"container-title":"Accounts of Chemical Research","id":"ITEM-2","issue":"6","issued":{"date-parts":[["2008"]]},"page":"721-729","title":"The interface energetics of self-assembled monolayers on metals","type":"article-journal","volume":"41"},"uris":["http://www.mendeley.com/documents/?uuid=da5124ce-eff7-4ad3-b726-412adcbf6875"]}],"mendeley":{"formattedCitation":"&lt;sup&gt;7,8&lt;/sup&gt;","plainTextFormattedCitation":"7,8","previouslyFormattedCitation":"&lt;sup&gt;7,8&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7,8</w:t>
      </w:r>
      <w:r w:rsidR="00A90A70">
        <w:rPr>
          <w:rStyle w:val="Refdenotaalpie"/>
          <w:lang w:val="en-US"/>
        </w:rPr>
        <w:fldChar w:fldCharType="end"/>
      </w:r>
      <w:r w:rsidR="00E449C2">
        <w:rPr>
          <w:lang w:val="en-US"/>
        </w:rPr>
        <w:t>.</w:t>
      </w:r>
    </w:p>
    <w:p w14:paraId="3DED3A29" w14:textId="2C9ECBE2" w:rsidR="00A025A4" w:rsidRPr="00E449C2" w:rsidRDefault="000325C3" w:rsidP="00A025A4">
      <w:pPr>
        <w:spacing w:line="360" w:lineRule="auto"/>
        <w:jc w:val="both"/>
        <w:rPr>
          <w:lang w:val="en-US"/>
        </w:rPr>
      </w:pPr>
      <w:r>
        <w:rPr>
          <w:bCs/>
          <w:lang w:val="en-US"/>
        </w:rPr>
        <w:t>Here the</w:t>
      </w:r>
      <w:r w:rsidR="00D47BE6" w:rsidRPr="00E449C2">
        <w:rPr>
          <w:bCs/>
          <w:lang w:val="en-US"/>
        </w:rPr>
        <w:t xml:space="preserve"> </w:t>
      </w:r>
      <w:r>
        <w:rPr>
          <w:bCs/>
          <w:lang w:val="en-US"/>
        </w:rPr>
        <w:t>electro</w:t>
      </w:r>
      <w:r w:rsidR="00D47BE6" w:rsidRPr="00E449C2">
        <w:rPr>
          <w:bCs/>
          <w:lang w:val="en-US"/>
        </w:rPr>
        <w:t>chemical characterization of the Au/SC</w:t>
      </w:r>
      <w:r w:rsidR="00D47BE6" w:rsidRPr="00E449C2">
        <w:rPr>
          <w:bCs/>
          <w:vertAlign w:val="subscript"/>
          <w:lang w:val="en-US"/>
        </w:rPr>
        <w:t>11</w:t>
      </w:r>
      <w:r w:rsidR="00D47BE6" w:rsidRPr="00E449C2">
        <w:rPr>
          <w:bCs/>
          <w:lang w:val="en-US"/>
        </w:rPr>
        <w:t>Fc</w:t>
      </w:r>
      <w:r w:rsidR="00D47BE6" w:rsidRPr="00E449C2">
        <w:rPr>
          <w:lang w:val="en-US"/>
        </w:rPr>
        <w:t xml:space="preserve"> SAMs presents t</w:t>
      </w:r>
      <w:r w:rsidR="00FD5E16" w:rsidRPr="00E449C2">
        <w:rPr>
          <w:lang w:val="en-US"/>
        </w:rPr>
        <w:t xml:space="preserve">he </w:t>
      </w:r>
      <w:r w:rsidR="00D47BE6" w:rsidRPr="00E449C2">
        <w:rPr>
          <w:lang w:val="en-US"/>
        </w:rPr>
        <w:t xml:space="preserve">representative one electron transfer </w:t>
      </w:r>
      <w:r w:rsidR="00FD5E16" w:rsidRPr="00E449C2">
        <w:rPr>
          <w:lang w:val="en-US"/>
        </w:rPr>
        <w:t>anodic and cathodic</w:t>
      </w:r>
      <w:r w:rsidR="00D47BE6" w:rsidRPr="00E449C2">
        <w:rPr>
          <w:lang w:val="en-US"/>
        </w:rPr>
        <w:t xml:space="preserve"> waves. </w:t>
      </w:r>
      <w:r w:rsidR="00A025A4" w:rsidRPr="00E449C2">
        <w:rPr>
          <w:lang w:val="en-US"/>
        </w:rPr>
        <w:t xml:space="preserve">Considering an intermolecular distance of 0.8 Å and an ion pairing distance of 4.9 Å, we can extract an average value per molecule-molecule coulombic interaction of </w:t>
      </w:r>
      <w:r w:rsidR="00A025A4" w:rsidRPr="00E449C2">
        <w:rPr>
          <w:i/>
          <w:iCs/>
          <w:lang w:val="en-US"/>
        </w:rPr>
        <w:t>φ=</w:t>
      </w:r>
      <w:r w:rsidR="00A025A4" w:rsidRPr="00E449C2">
        <w:rPr>
          <w:lang w:val="en-US"/>
        </w:rPr>
        <w:t xml:space="preserve">18 </w:t>
      </w:r>
      <w:proofErr w:type="spellStart"/>
      <w:r w:rsidR="00A025A4" w:rsidRPr="00E449C2">
        <w:rPr>
          <w:lang w:val="en-US"/>
        </w:rPr>
        <w:t>meV</w:t>
      </w:r>
      <w:proofErr w:type="spellEnd"/>
      <w:r w:rsidR="00A025A4" w:rsidRPr="00E449C2">
        <w:rPr>
          <w:lang w:val="en-US"/>
        </w:rPr>
        <w:t xml:space="preserve"> </w:t>
      </w:r>
      <w:r w:rsidR="00A025A4" w:rsidRPr="000325C3">
        <w:rPr>
          <w:lang w:val="en-US"/>
        </w:rPr>
        <w:t>(Equation 4</w:t>
      </w:r>
      <w:r w:rsidR="00A025A4">
        <w:rPr>
          <w:lang w:val="en-US"/>
        </w:rPr>
        <w:t xml:space="preserve"> Theoretical Methods</w:t>
      </w:r>
      <w:r w:rsidR="00A025A4" w:rsidRPr="000325C3">
        <w:rPr>
          <w:lang w:val="en-US"/>
        </w:rPr>
        <w:t>)</w:t>
      </w:r>
      <w:r w:rsidR="00A025A4" w:rsidRPr="00E449C2">
        <w:rPr>
          <w:lang w:val="en-US"/>
        </w:rPr>
        <w:t>. Au/SC</w:t>
      </w:r>
      <w:r w:rsidR="00A025A4" w:rsidRPr="00E449C2">
        <w:rPr>
          <w:vertAlign w:val="subscript"/>
          <w:lang w:val="en-US"/>
        </w:rPr>
        <w:t>11</w:t>
      </w:r>
      <w:r w:rsidR="00A025A4" w:rsidRPr="00E449C2">
        <w:rPr>
          <w:lang w:val="en-US"/>
        </w:rPr>
        <w:t xml:space="preserve">Fc//Gr SAMs reveals the oxidation and reduction waves </w:t>
      </w:r>
      <w:r w:rsidR="00A025A4" w:rsidRPr="000325C3">
        <w:rPr>
          <w:lang w:val="en-US"/>
        </w:rPr>
        <w:t xml:space="preserve">appearing at the same energy level.  </w:t>
      </w:r>
      <w:r w:rsidR="00A025A4" w:rsidRPr="000325C3">
        <w:rPr>
          <w:i/>
          <w:iCs/>
          <w:lang w:val="en-US"/>
        </w:rPr>
        <w:t>E</w:t>
      </w:r>
      <w:r w:rsidR="00A025A4" w:rsidRPr="000325C3">
        <w:rPr>
          <w:i/>
          <w:iCs/>
          <w:vertAlign w:val="subscript"/>
          <w:lang w:val="en-US"/>
        </w:rPr>
        <w:t>H</w:t>
      </w:r>
      <w:r w:rsidR="00A025A4" w:rsidRPr="000325C3">
        <w:rPr>
          <w:lang w:val="en-US"/>
        </w:rPr>
        <w:t xml:space="preserve">  falls in the expected range</w:t>
      </w:r>
      <w:r w:rsidR="00A90A70">
        <w:rPr>
          <w:rStyle w:val="Refdenotaalpie"/>
          <w:lang w:val="en-US"/>
        </w:rPr>
        <w:fldChar w:fldCharType="begin" w:fldLock="1"/>
      </w:r>
      <w:r w:rsidR="00882E2D">
        <w:rPr>
          <w:lang w:val="en-US"/>
        </w:rPr>
        <w:instrText xml:space="preserve">ADDIN CSL_CITATION {"citationItems":[{"id":"ITEM-1","itemData":{"DOI":"10.1038/nnano.2012.238","ISSN":"17483395","abstract":"One of the main goals of organic and molecular electronics is to relate the performance and electronic function of devices to the chemical structure and intermolecular interactions of the organic component inside them, which can take the form of an organic thin film, a self-assembled monolayer or a single molecule. This goal is difficult to achieve because organic and molecular electronic devices are complex physical-organic systems that consist of at least two electrodes, an organic component and two (different) organic/inorganic interfaces. Singling out the contribution of each of these components remains challenging. So far, strong π-π interactions have mainly been considered for the rational design and optimization of the performances of organic electronic devices, and weaker intermolecular interactions have largely been ignored. Here, we show experimentally that subtle changes in the intermolecular van der Waals interactions in the active component of a molecular diode dramatically impact the performance of the device. In particular, we observe an odd-even effect as the number of alkyl units is varied in a ferrocene- alkanethiolate self-assembled monolayer. As a result of a more favourable van der Waals interaction, junctions made from an odd number of alkyl units have a lower packing energy (by </w:instrText>
      </w:r>
      <w:r w:rsidR="00882E2D">
        <w:rPr>
          <w:rFonts w:ascii="Cambria Math" w:hAnsi="Cambria Math" w:cs="Cambria Math"/>
          <w:lang w:val="en-US"/>
        </w:rPr>
        <w:instrText>∼</w:instrText>
      </w:r>
      <w:r w:rsidR="00882E2D">
        <w:rPr>
          <w:lang w:val="en-US"/>
        </w:rPr>
        <w:instrText>0.4-0.6 kcal mol-1), rectify currents 10 times more efficiently, give a 10% higher yield in working devices, and can be made two to three times more reproducibly than junctions made from an even number of alkyl units. © 2013 Macmillan Publishers Limited. All rights reserved.","author":[{"dropping-particle":"","family":"Nerngchamnong","given":"Nisachol","non-dropping-particle":"","parse-names":false,"suffix":""},{"dropping-particle":"","family":"Yuan","given":"Li","non-dropping-particle":"","parse-names":false,"suffix":""},{"dropping-particle":"","family":"Qi","given":"Dong Chen","non-dropping-particle":"","parse-names":false,"suffix":""},{"dropping-particle":"","family":"Li","given":"Jiang","non-dropping-particle":"","parse-names":false,"suffix":""},{"dropping-particle":"","family":"Thompson","given":"Damien","non-dropping-particle":"","parse-names":false,"suffix":""},{"dropping-particle":"","family":"Nijhuis","given":"Christian A.","non-dropping-particle":"","parse-names":false,"suffix":""}],"container-title":"Nature Nanotechnology","id":"ITEM-1","issue":"2","issued":{"date-parts":[["2013"]]},"page":"113-118","publisher":"Nature Publishing Group","title":"The role of van der Waals forces in the performance of molecular diodes","type":"article-journal","volume":"8"},"uris":["http://www.mendeley.com/documents/?uuid=46f5e46e-94c3-4df8-83da-c8765ffe2dd6"]}],"mendeley":{"formattedCitation":"&lt;sup&gt;2&lt;/sup&gt;","plainTextFormattedCitation":"2","previouslyFormattedCitation":"&lt;sup&gt;2&lt;/sup&gt;"},"properties":{"noteIndex":0},"schema":"https://github.com/citation-style-language/schema/raw/master/csl-citation.json"}</w:instrText>
      </w:r>
      <w:r w:rsidR="00A90A70">
        <w:rPr>
          <w:rStyle w:val="Refdenotaalpie"/>
          <w:lang w:val="en-US"/>
        </w:rPr>
        <w:fldChar w:fldCharType="separate"/>
      </w:r>
      <w:r w:rsidR="00882E2D" w:rsidRPr="00882E2D">
        <w:rPr>
          <w:noProof/>
          <w:vertAlign w:val="superscript"/>
          <w:lang w:val="en-US"/>
        </w:rPr>
        <w:t>2</w:t>
      </w:r>
      <w:r w:rsidR="00A90A70">
        <w:rPr>
          <w:rStyle w:val="Refdenotaalpie"/>
          <w:lang w:val="en-US"/>
        </w:rPr>
        <w:fldChar w:fldCharType="end"/>
      </w:r>
      <w:r w:rsidR="00A025A4">
        <w:rPr>
          <w:lang w:val="en-US"/>
        </w:rPr>
        <w:t xml:space="preserve"> (280 mV vs </w:t>
      </w:r>
      <w:proofErr w:type="spellStart"/>
      <w:r w:rsidR="00A025A4">
        <w:rPr>
          <w:lang w:val="en-US"/>
        </w:rPr>
        <w:t>AgAgCl</w:t>
      </w:r>
      <w:proofErr w:type="spellEnd"/>
      <w:r w:rsidR="00A025A4">
        <w:rPr>
          <w:lang w:val="en-US"/>
        </w:rPr>
        <w:t xml:space="preserve"> reference electrode)</w:t>
      </w:r>
      <w:r w:rsidR="00A025A4" w:rsidRPr="000325C3">
        <w:rPr>
          <w:lang w:val="en-US"/>
        </w:rPr>
        <w:t xml:space="preserve">. </w:t>
      </w:r>
      <w:r w:rsidR="00A025A4" w:rsidRPr="000325C3">
        <w:rPr>
          <w:i/>
          <w:iCs/>
          <w:lang w:val="en-US"/>
        </w:rPr>
        <w:t>Γ</w:t>
      </w:r>
      <w:r w:rsidR="00A025A4">
        <w:rPr>
          <w:i/>
          <w:iCs/>
          <w:lang w:val="en-US"/>
        </w:rPr>
        <w:t xml:space="preserve">, </w:t>
      </w:r>
      <w:r w:rsidR="00A025A4" w:rsidRPr="000325C3">
        <w:rPr>
          <w:lang w:val="en-US"/>
        </w:rPr>
        <w:t>area per molecule</w:t>
      </w:r>
      <w:r w:rsidR="00A025A4">
        <w:rPr>
          <w:lang w:val="en-US"/>
        </w:rPr>
        <w:t>,</w:t>
      </w:r>
      <w:r w:rsidR="00A025A4" w:rsidRPr="000325C3">
        <w:rPr>
          <w:lang w:val="en-US"/>
        </w:rPr>
        <w:t xml:space="preserve">  </w:t>
      </w:r>
      <w:r w:rsidR="00A025A4">
        <w:rPr>
          <w:lang w:val="en-US"/>
        </w:rPr>
        <w:t>obtained from the charge involved in the process is</w:t>
      </w:r>
      <w:r w:rsidR="00A025A4" w:rsidRPr="000325C3">
        <w:rPr>
          <w:lang w:val="en-US"/>
        </w:rPr>
        <w:t xml:space="preserve"> 0.32 nm</w:t>
      </w:r>
      <w:r w:rsidR="00A025A4" w:rsidRPr="000325C3">
        <w:rPr>
          <w:vertAlign w:val="superscript"/>
          <w:lang w:val="en-US"/>
        </w:rPr>
        <w:t>2</w:t>
      </w:r>
      <w:r w:rsidR="00A025A4" w:rsidRPr="000325C3">
        <w:rPr>
          <w:lang w:val="en-US"/>
        </w:rPr>
        <w:t>/molecule close to the accepted values often reported in the field for the “standing up” conformation</w:t>
      </w:r>
      <w:r w:rsidR="00A90A70">
        <w:rPr>
          <w:rStyle w:val="Refdenotaalpie"/>
          <w:lang w:val="en-US"/>
        </w:rPr>
        <w:fldChar w:fldCharType="begin" w:fldLock="1"/>
      </w:r>
      <w:r w:rsidR="00882E2D">
        <w:rPr>
          <w:lang w:val="en-US"/>
        </w:rPr>
        <w:instrText>ADDIN CSL_CITATION {"citationItems":[{"id":"ITEM-1","itemData":{"DOI":"10.1021/jp310012v","author":[{"dropping-particle":"","family":"Tian","given":"Huihui","non-dropping-particle":"","parse-names":false,"suffix":""},{"dropping-particle":"","family":"Dai","given":"Yun","non-dropping-particle":"","parse-names":false,"suffix":""},{"dropping-particle":"","family":"Shao","given":"Huibo","non-dropping-particle":"","parse-names":false,"suffix":""},{"dropping-particle":"","family":"Yu","given":"Hua-zhong","non-dropping-particle":"","parse-names":false,"suffix":""}],"id":"ITEM-1","issued":{"date-parts":[["2013"]]},"title":"Modulated Intermolecular Interactions in Ferrocenylalkanethiolate Self-Assembled Monolayers on Gold","type":"article-journal"},"uris":["http://www.mendeley.com/documents/?uuid=f072fcc2-ad14-45b5-ba46-2f259395a05b"]}],"mendeley":{"formattedCitation":"&lt;sup&gt;3&lt;/sup&gt;","plainTextFormattedCitation":"3","previouslyFormattedCitation":"&lt;sup&gt;3&lt;/sup&gt;"},"properties":{"noteIndex":0},"schema":"https://github.com/citation-style-language/schema/raw/master/csl-citation.json"}</w:instrText>
      </w:r>
      <w:r w:rsidR="00A90A70">
        <w:rPr>
          <w:rStyle w:val="Refdenotaalpie"/>
          <w:lang w:val="en-US"/>
        </w:rPr>
        <w:fldChar w:fldCharType="separate"/>
      </w:r>
      <w:r w:rsidR="00882E2D" w:rsidRPr="00882E2D">
        <w:rPr>
          <w:noProof/>
          <w:vertAlign w:val="superscript"/>
          <w:lang w:val="en-US"/>
        </w:rPr>
        <w:t>3</w:t>
      </w:r>
      <w:r w:rsidR="00A90A70">
        <w:rPr>
          <w:rStyle w:val="Refdenotaalpie"/>
          <w:lang w:val="en-US"/>
        </w:rPr>
        <w:fldChar w:fldCharType="end"/>
      </w:r>
      <w:r w:rsidR="00A025A4" w:rsidRPr="000325C3">
        <w:rPr>
          <w:lang w:val="en-US"/>
        </w:rPr>
        <w:t xml:space="preserve">. The </w:t>
      </w:r>
      <w:r w:rsidR="00A025A4" w:rsidRPr="000325C3">
        <w:rPr>
          <w:i/>
          <w:iCs/>
          <w:lang w:val="en-US"/>
        </w:rPr>
        <w:t>FWHM</w:t>
      </w:r>
      <w:r w:rsidR="00A025A4" w:rsidRPr="000325C3">
        <w:rPr>
          <w:lang w:val="en-US"/>
        </w:rPr>
        <w:t xml:space="preserve"> relates quasi-linearly with the coulombic molecular interactions</w:t>
      </w:r>
      <w:r w:rsidR="00A90A70">
        <w:rPr>
          <w:rStyle w:val="Refdenotaalpie"/>
          <w:lang w:val="en-US"/>
        </w:rPr>
        <w:fldChar w:fldCharType="begin" w:fldLock="1"/>
      </w:r>
      <w:r w:rsidR="00882E2D">
        <w:rPr>
          <w:lang w:val="en-US"/>
        </w:rPr>
        <w:instrText>ADDIN CSL_CITATION {"citationItems":[{"id":"ITEM-1","itemData":{"DOI":"10.1021/acs.nanolett.7b00804","ISSN":"15306992","abstract":"© 2017 American Chemical Society. The π-π interactions between organic molecules are among the most important parameters for optimizing the transport and optical properties of organic transistors, light-emitting diodes, and (bio-) molecular devices. Despite substantial theoretical progress, direct experimental measurement of the π-π electronic coupling energy parameter t has remained an old challenge due to molecular structural variability and the large number of parameters that affect the charge transport. Here, we propose a study of π-π interactions from electrochemical and current measurements on a large array of ferrocene-thiolated gold nanocrystals. We confirm the theoretical prediction that t can be assessed from a statistical analysis of current histograms. The extracted value of t ≈35 meV is in the expected range based on our density functional theory analysis. Furthermore, the t distribution is not necessarily Gaussian and could be used as an ultrasensitive technique to assess intermolecular distance fluctuation at the subangström level. The present work establishes a direct bridge between quantum chemistry, electrochemistry, organic electronics, and mesoscopic physics, all of which were used to discuss results and perspectives in a quantitative manner.","author":[{"dropping-particle":"","family":"Trasobares","given":"J.","non-dropping-particle":"","parse-names":false,"suffix":""},{"dropping-particle":"","family":"Rech","given":"J.","non-dropping-particle":"","parse-names":false,"suffix":""},{"dropping-particle":"","family":"Jonckheere","given":"T.","non-dropping-particle":"","parse-names":false,"suffix":""},{"dropping-particle":"","family":"Martin","given":"T.","non-dropping-particle":"","parse-names":false,"suffix":""},{"dropping-particle":"","family":"Aleveque","given":"O.","non-dropping-particle":"","parse-names":false,"suffix":""},{"dropping-particle":"","family":"Levillain","given":"E.","non-dropping-particle":"","parse-names":false,"suffix":""},{"dropping-particle":"","family":"Diez-Cabanes","given":"V.","non-dropping-particle":"","parse-names":false,"suffix":""},{"dropping-particle":"","family":"Olivier","given":"Y.","non-dropping-particle":"","parse-names":false,"suffix":""},{"dropping-particle":"","family":"Cornil","given":"J.","non-dropping-particle":"","parse-names":false,"suffix":""},{"dropping-particle":"","family":"Nys","given":"J.P.","non-dropping-particle":"","parse-names":false,"suffix":""},{"dropping-particle":"","family":"Sivakumarasamy","given":"R.","non-dropping-particle":"","parse-names":false,"suffix":""},{"dropping-particle":"","family":"Smaali","given":"K.","non-dropping-particle":"","parse-names":false,"suffix":""},{"dropping-particle":"","family":"Leclere","given":"P.","non-dropping-particle":"","parse-names":false,"suffix":""},{"dropping-particle":"","family":"Fujiwara","given":"A.","non-dropping-particle":"","parse-names":false,"suffix":""},{"dropping-particle":"","family":"Théron","given":"D.","non-dropping-particle":"","parse-names":false,"suffix":""},{"dropping-particle":"","family":"Vuillaume","given":"D.","non-dropping-particle":"","parse-names":false,"suffix":""},{"dropping-particle":"","family":"Clément","given":"N.","non-dropping-particle":"","parse-names":false,"suffix":""}],"container-title":"Nano Letters","id":"ITEM-1","issue":"5","issued":{"date-parts":[["2017"]]},"page":"3215–3224","title":"Estimation of π-π Electronic Couplings from Current Measurements","type":"article-journal","volume":"17"},"uris":["http://www.mendeley.com/documents/?uuid=c6b91281-f0fa-32fe-915d-43896b199040"]},{"id":"ITEM-2","itemData":{"DOI":"10.1016/j.elecom.2010.07.039","ISSN":"13882481","abstract":"The Laviron's interaction model, dedicated to randomly distributed electroactive adsorbed species, was extended to a non-random distribution in order to extract the current-voltage characteristics from any surface distribution of electroactive centers on self-assembled monolayer (SAM). Confronted to electrochemical behaviour of nitroxyl radical SAMs, the agreement observed between theory and experiments provides evidence of a distribution independence of the interaction parameters. © 2010 Elsevier B.V. All rights reserved.","author":[{"dropping-particle":"","family":"Alévêque","given":"Olivier","non-dropping-particle":"","parse-names":false,"suffix":""},{"dropping-particle":"","family":"Blanchard","given":"Pierre Yves","non-dropping-particle":"","parse-names":false,"suffix":""},{"dropping-particle":"","family":"Gautier","given":"Christelle","non-dropping-particle":"","parse-names":false,"suffix":""},{"dropping-particle":"","family":"Dias","given":"Marylène","non-dropping-particle":"","parse-names":false,"suffix":""},{"dropping-particle":"","family":"Breton","given":"Tony","non-dropping-particle":"","parse-names":false,"suffix":""},{"dropping-particle":"","family":"Levillain","given":"Eric","non-dropping-particle":"","parse-names":false,"suffix":""}],"container-title":"Electrochemistry Communications","id":"ITEM-2","issue":"11","issued":{"date-parts":[["2010"]]},"page":"1462-1466","publisher":"Elsevier B.V.","title":"Electroactive self-assembled monolayers: Laviron's interaction model extended to non-random distribution of redox centers","type":"article-journal","volume":"12"},"uris":["http://www.mendeley.com/documents/?uuid=5bf07fc1-736b-4532-a4bc-308609078438"]},{"id":"ITEM-3","itemData":{"DOI":"10.1016/S0022-0728(74)80449-3","ISSN":"00220728","abstract":"A theoretical study of the adsorption peaks appearing in linear potential sweep voltammetry is presented under the following conditions: (a) the electrochemical reaction is reversible; (b) both the oxidized and the reduced forms are strongly adsorbed; (c) allowance is made in the isotherm for interactions between the adsorbed molecules. The equations for the reduction and oxidation peaks have been calculated. The peaks are symmetrical, the height varies proportionnally to the sweep rate. Their width and their shape depends on the total coverage ΘT. When ΘT→0, the peak is identical with the peak obtained in the case of a Langmuir isotherm. When θT increases, the peak becomes narrower and sharper if the attraction forces predominate, and wider and more rounded if, on the contrary, the repulsion forces prevail. © 1974 Elsevier Sequoia S.A.","author":[{"dropping-particle":"","family":"Laviron","given":"E.","non-dropping-particle":"","parse-names":false,"suffix":""}],"container-title":"Journal of Electroanalytical Chemistry","id":"ITEM-3","issue":"3","issued":{"date-parts":[["1974","5","25"]]},"page":"395-402","publisher":"Elsevier","title":"Surface linear potential sweep voltammetry. Equation of the peaks for a reversible reaction when interactions between the adsorbed molecules are taken into account","type":"article-journal","volume":"52"},"uris":["http://www.mendeley.com/documents/?uuid=cf173895-95ff-4cc1-863e-2f343aec1640"]}],"mendeley":{"formattedCitation":"&lt;sup&gt;5,9,10&lt;/sup&gt;","plainTextFormattedCitation":"5,9,10","previouslyFormattedCitation":"&lt;sup&gt;5,9,10&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5,9,10</w:t>
      </w:r>
      <w:r w:rsidR="00A90A70">
        <w:rPr>
          <w:rStyle w:val="Refdenotaalpie"/>
          <w:lang w:val="en-US"/>
        </w:rPr>
        <w:fldChar w:fldCharType="end"/>
      </w:r>
      <w:r w:rsidR="00A025A4" w:rsidRPr="00E449C2">
        <w:rPr>
          <w:lang w:val="en-US"/>
        </w:rPr>
        <w:t>. It indicates uniform distribution of the Fc groups into the SAM.</w:t>
      </w:r>
    </w:p>
    <w:p w14:paraId="1038FEC2" w14:textId="50DD1800" w:rsidR="00FD5E16" w:rsidRPr="00E449C2" w:rsidRDefault="00FD5E16" w:rsidP="00E449C2">
      <w:pPr>
        <w:spacing w:line="360" w:lineRule="auto"/>
        <w:jc w:val="both"/>
        <w:rPr>
          <w:lang w:val="en-US"/>
        </w:rPr>
      </w:pPr>
    </w:p>
    <w:p w14:paraId="7592098D" w14:textId="0C8CC6E9" w:rsidR="00FD5E16" w:rsidRPr="001632C4" w:rsidRDefault="002C2606" w:rsidP="00CE0AD2">
      <w:pPr>
        <w:jc w:val="center"/>
        <w:rPr>
          <w:lang w:val="en-US"/>
        </w:rPr>
      </w:pPr>
      <w:r w:rsidRPr="002C2606">
        <w:rPr>
          <w:noProof/>
        </w:rPr>
        <w:drawing>
          <wp:inline distT="0" distB="0" distL="0" distR="0" wp14:anchorId="0FB7927E" wp14:editId="33AD57F8">
            <wp:extent cx="2640000" cy="1980000"/>
            <wp:effectExtent l="0" t="0" r="1905" b="12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40000" cy="1980000"/>
                    </a:xfrm>
                    <a:prstGeom prst="rect">
                      <a:avLst/>
                    </a:prstGeom>
                  </pic:spPr>
                </pic:pic>
              </a:graphicData>
            </a:graphic>
          </wp:inline>
        </w:drawing>
      </w:r>
    </w:p>
    <w:p w14:paraId="7E856573" w14:textId="43BE4164" w:rsidR="00FD5E16" w:rsidRPr="001632C4" w:rsidRDefault="00FD5E16" w:rsidP="00D62305">
      <w:pPr>
        <w:spacing w:before="100" w:beforeAutospacing="1" w:after="100" w:afterAutospacing="1" w:line="276" w:lineRule="auto"/>
        <w:jc w:val="both"/>
        <w:rPr>
          <w:lang w:val="en-US"/>
        </w:rPr>
      </w:pPr>
      <w:r w:rsidRPr="001632C4">
        <w:rPr>
          <w:b/>
          <w:lang w:val="en-US"/>
        </w:rPr>
        <w:t>Figure S1. Chemical characterization of the Au/SC</w:t>
      </w:r>
      <w:r w:rsidRPr="001632C4">
        <w:rPr>
          <w:b/>
          <w:vertAlign w:val="subscript"/>
          <w:lang w:val="en-US"/>
        </w:rPr>
        <w:t>11</w:t>
      </w:r>
      <w:r w:rsidRPr="001632C4">
        <w:rPr>
          <w:b/>
          <w:lang w:val="en-US"/>
        </w:rPr>
        <w:t xml:space="preserve">Fc.  </w:t>
      </w:r>
      <w:r w:rsidRPr="001632C4">
        <w:rPr>
          <w:lang w:val="en-US"/>
        </w:rPr>
        <w:t>Au/SC</w:t>
      </w:r>
      <w:r w:rsidRPr="001632C4">
        <w:rPr>
          <w:vertAlign w:val="subscript"/>
          <w:lang w:val="en-US"/>
        </w:rPr>
        <w:t>11</w:t>
      </w:r>
      <w:r w:rsidRPr="001632C4">
        <w:rPr>
          <w:lang w:val="en-US"/>
        </w:rPr>
        <w:t>Fc CV recorded at the 6 mm diameter gold working electrodes at 0.1, 0.5, 1 and 5 V/s versus Ag/AgCl reference electrode and 1 M NaClO</w:t>
      </w:r>
      <w:r w:rsidRPr="001632C4">
        <w:rPr>
          <w:vertAlign w:val="subscript"/>
          <w:lang w:val="en-US"/>
        </w:rPr>
        <w:t>4</w:t>
      </w:r>
      <w:r w:rsidRPr="001632C4">
        <w:rPr>
          <w:lang w:val="en-US"/>
        </w:rPr>
        <w:t xml:space="preserve"> electrolyte. </w:t>
      </w:r>
    </w:p>
    <w:p w14:paraId="64646031" w14:textId="66C18C0C" w:rsidR="00682508" w:rsidRDefault="00682508">
      <w:pPr>
        <w:rPr>
          <w:lang w:val="en-US"/>
        </w:rPr>
      </w:pPr>
    </w:p>
    <w:p w14:paraId="2A268845" w14:textId="77777777" w:rsidR="000325C3" w:rsidRPr="001632C4" w:rsidRDefault="000325C3">
      <w:pPr>
        <w:rPr>
          <w:lang w:val="en-US"/>
        </w:rPr>
      </w:pPr>
    </w:p>
    <w:p w14:paraId="46E3B612" w14:textId="12330E73" w:rsidR="00FD5E16" w:rsidRPr="001632C4" w:rsidRDefault="00036214" w:rsidP="00CE0AD2">
      <w:pPr>
        <w:jc w:val="center"/>
        <w:rPr>
          <w:lang w:val="en-US"/>
        </w:rPr>
      </w:pPr>
      <w:r w:rsidRPr="00036214">
        <w:rPr>
          <w:noProof/>
        </w:rPr>
        <w:lastRenderedPageBreak/>
        <w:drawing>
          <wp:inline distT="0" distB="0" distL="0" distR="0" wp14:anchorId="4BBE04BB" wp14:editId="3BC432DF">
            <wp:extent cx="4694269" cy="6957060"/>
            <wp:effectExtent l="0" t="0" r="5080" b="254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95930" cy="6959522"/>
                    </a:xfrm>
                    <a:prstGeom prst="rect">
                      <a:avLst/>
                    </a:prstGeom>
                  </pic:spPr>
                </pic:pic>
              </a:graphicData>
            </a:graphic>
          </wp:inline>
        </w:drawing>
      </w:r>
      <w:r w:rsidR="009C674F" w:rsidRPr="00F41F49">
        <w:rPr>
          <w:lang w:val="en-US"/>
        </w:rPr>
        <w:t xml:space="preserve"> </w:t>
      </w:r>
    </w:p>
    <w:p w14:paraId="1510ADD6" w14:textId="140E87FB" w:rsidR="0065657B" w:rsidRPr="00534830" w:rsidRDefault="0065657B" w:rsidP="00D62305">
      <w:pPr>
        <w:spacing w:before="100" w:beforeAutospacing="1" w:after="100" w:afterAutospacing="1" w:line="276" w:lineRule="auto"/>
        <w:jc w:val="both"/>
        <w:rPr>
          <w:lang w:val="en-US"/>
        </w:rPr>
      </w:pPr>
      <w:r w:rsidRPr="00534830">
        <w:rPr>
          <w:b/>
          <w:lang w:val="en-US"/>
        </w:rPr>
        <w:t>Figure S</w:t>
      </w:r>
      <w:r w:rsidR="00F41F49">
        <w:rPr>
          <w:b/>
          <w:lang w:val="en-US"/>
        </w:rPr>
        <w:t>2</w:t>
      </w:r>
      <w:r w:rsidRPr="00534830">
        <w:rPr>
          <w:b/>
          <w:lang w:val="en-US"/>
        </w:rPr>
        <w:t xml:space="preserve">. </w:t>
      </w:r>
      <w:r w:rsidR="007B1F94">
        <w:rPr>
          <w:b/>
          <w:lang w:val="en-US"/>
        </w:rPr>
        <w:t>Fitting of the electrochemical waves for</w:t>
      </w:r>
      <w:r w:rsidRPr="00534830">
        <w:rPr>
          <w:b/>
          <w:lang w:val="en-US"/>
        </w:rPr>
        <w:t xml:space="preserve"> Au/SC</w:t>
      </w:r>
      <w:r w:rsidRPr="00534830">
        <w:rPr>
          <w:b/>
          <w:vertAlign w:val="subscript"/>
          <w:lang w:val="en-US"/>
        </w:rPr>
        <w:t>11</w:t>
      </w:r>
      <w:r w:rsidRPr="00534830">
        <w:rPr>
          <w:b/>
          <w:lang w:val="en-US"/>
        </w:rPr>
        <w:t>Fc</w:t>
      </w:r>
      <w:r w:rsidR="007B1F94">
        <w:rPr>
          <w:b/>
          <w:lang w:val="en-US"/>
        </w:rPr>
        <w:t xml:space="preserve"> SAMs at different scan rates</w:t>
      </w:r>
      <w:r w:rsidRPr="00534830">
        <w:rPr>
          <w:b/>
          <w:lang w:val="en-US"/>
        </w:rPr>
        <w:t>.  (</w:t>
      </w:r>
      <w:proofErr w:type="spellStart"/>
      <w:proofErr w:type="gramStart"/>
      <w:r w:rsidRPr="00534830">
        <w:rPr>
          <w:b/>
          <w:lang w:val="en-US"/>
        </w:rPr>
        <w:t>a</w:t>
      </w:r>
      <w:r w:rsidR="009C674F">
        <w:rPr>
          <w:b/>
          <w:lang w:val="en-US"/>
        </w:rPr>
        <w:t>,c</w:t>
      </w:r>
      <w:proofErr w:type="gramEnd"/>
      <w:r w:rsidR="009C674F">
        <w:rPr>
          <w:b/>
          <w:lang w:val="en-US"/>
        </w:rPr>
        <w:t>,e,g</w:t>
      </w:r>
      <w:proofErr w:type="spellEnd"/>
      <w:r w:rsidRPr="00534830">
        <w:rPr>
          <w:b/>
          <w:lang w:val="en-US"/>
        </w:rPr>
        <w:t>)</w:t>
      </w:r>
      <w:r w:rsidRPr="00534830">
        <w:rPr>
          <w:lang w:val="en-US"/>
        </w:rPr>
        <w:t xml:space="preserve"> </w:t>
      </w:r>
      <w:r w:rsidR="007B1F94">
        <w:rPr>
          <w:lang w:val="en-US"/>
        </w:rPr>
        <w:t>anodic peak at 5</w:t>
      </w:r>
      <w:r w:rsidR="009C674F">
        <w:rPr>
          <w:lang w:val="en-US"/>
        </w:rPr>
        <w:t xml:space="preserve">, 1, 0.5 and 0.1 </w:t>
      </w:r>
      <w:r w:rsidRPr="00534830">
        <w:rPr>
          <w:lang w:val="en-US"/>
        </w:rPr>
        <w:t>V/s</w:t>
      </w:r>
      <w:r w:rsidR="007B1F94">
        <w:rPr>
          <w:lang w:val="en-US"/>
        </w:rPr>
        <w:t xml:space="preserve">, </w:t>
      </w:r>
      <w:r w:rsidR="007B1F94" w:rsidRPr="00534830">
        <w:rPr>
          <w:b/>
          <w:lang w:val="en-US"/>
        </w:rPr>
        <w:t>(</w:t>
      </w:r>
      <w:r w:rsidR="007B1F94">
        <w:rPr>
          <w:b/>
          <w:lang w:val="en-US"/>
        </w:rPr>
        <w:t>b</w:t>
      </w:r>
      <w:r w:rsidR="009C674F">
        <w:rPr>
          <w:b/>
          <w:lang w:val="en-US"/>
        </w:rPr>
        <w:t>, d, f, h</w:t>
      </w:r>
      <w:r w:rsidR="007B1F94" w:rsidRPr="00534830">
        <w:rPr>
          <w:b/>
          <w:lang w:val="en-US"/>
        </w:rPr>
        <w:t>)</w:t>
      </w:r>
      <w:r w:rsidR="007B1F94" w:rsidRPr="00534830">
        <w:rPr>
          <w:lang w:val="en-US"/>
        </w:rPr>
        <w:t xml:space="preserve"> </w:t>
      </w:r>
      <w:r w:rsidR="007B1F94">
        <w:rPr>
          <w:lang w:val="en-US"/>
        </w:rPr>
        <w:t>cathodic peak at 5</w:t>
      </w:r>
      <w:r w:rsidR="009C674F">
        <w:rPr>
          <w:lang w:val="en-US"/>
        </w:rPr>
        <w:t>, 1, 0.5, 0.1</w:t>
      </w:r>
      <w:r w:rsidR="007B1F94" w:rsidRPr="00534830">
        <w:rPr>
          <w:lang w:val="en-US"/>
        </w:rPr>
        <w:t>V/s</w:t>
      </w:r>
      <w:r w:rsidRPr="00534830">
        <w:rPr>
          <w:lang w:val="en-US"/>
        </w:rPr>
        <w:t xml:space="preserve"> versus Ag/AgCl reference electrode and 1 M NaClO</w:t>
      </w:r>
      <w:r w:rsidRPr="00534830">
        <w:rPr>
          <w:vertAlign w:val="subscript"/>
          <w:lang w:val="en-US"/>
        </w:rPr>
        <w:t>4</w:t>
      </w:r>
      <w:r w:rsidRPr="00534830">
        <w:rPr>
          <w:lang w:val="en-US"/>
        </w:rPr>
        <w:t xml:space="preserve"> electrolyte</w:t>
      </w:r>
      <w:r w:rsidR="009C674F">
        <w:rPr>
          <w:lang w:val="en-US"/>
        </w:rPr>
        <w:t>.</w:t>
      </w:r>
    </w:p>
    <w:p w14:paraId="2A658E4B" w14:textId="77777777" w:rsidR="0065657B" w:rsidRPr="001632C4" w:rsidRDefault="0065657B" w:rsidP="00CE0AD2">
      <w:pPr>
        <w:jc w:val="center"/>
        <w:rPr>
          <w:lang w:val="en-US"/>
        </w:rPr>
      </w:pPr>
    </w:p>
    <w:p w14:paraId="1BF5D0B2" w14:textId="77777777" w:rsidR="00FD5E16" w:rsidRPr="001632C4" w:rsidRDefault="00FD5E16" w:rsidP="00FD5E16">
      <w:pPr>
        <w:jc w:val="center"/>
        <w:rPr>
          <w:lang w:val="en-US"/>
        </w:rPr>
      </w:pPr>
    </w:p>
    <w:p w14:paraId="405404BF" w14:textId="77777777" w:rsidR="00FD5E16" w:rsidRPr="001632C4" w:rsidRDefault="00FD5E16" w:rsidP="00FD5E16">
      <w:pPr>
        <w:rPr>
          <w:b/>
          <w:bCs/>
          <w:lang w:val="en-US"/>
        </w:rPr>
      </w:pPr>
    </w:p>
    <w:p w14:paraId="7246E32F" w14:textId="23728FFC" w:rsidR="00CA4CD4" w:rsidRPr="001632C4" w:rsidRDefault="00CA4CD4">
      <w:pPr>
        <w:rPr>
          <w:b/>
          <w:bCs/>
          <w:lang w:val="en-US"/>
        </w:rPr>
      </w:pPr>
      <w:r w:rsidRPr="001632C4">
        <w:rPr>
          <w:b/>
          <w:bCs/>
          <w:lang w:val="en-US"/>
        </w:rPr>
        <w:br w:type="page"/>
      </w:r>
    </w:p>
    <w:p w14:paraId="7D0A68D2" w14:textId="13643BEC" w:rsidR="00FD5E16" w:rsidRPr="001632C4" w:rsidRDefault="00FD5E16" w:rsidP="00FD5E16">
      <w:pPr>
        <w:rPr>
          <w:b/>
          <w:bCs/>
          <w:lang w:val="en-US"/>
        </w:rPr>
      </w:pPr>
    </w:p>
    <w:p w14:paraId="075B9B7D" w14:textId="77777777" w:rsidR="00CA4CD4" w:rsidRPr="001632C4" w:rsidRDefault="00CA4CD4" w:rsidP="00FD5E16">
      <w:pPr>
        <w:rPr>
          <w:b/>
          <w:bCs/>
          <w:lang w:val="en-US"/>
        </w:rPr>
      </w:pPr>
    </w:p>
    <w:p w14:paraId="41F01EEC" w14:textId="77777777" w:rsidR="00E449C2" w:rsidRPr="001632C4" w:rsidRDefault="00E449C2" w:rsidP="00E449C2">
      <w:pPr>
        <w:jc w:val="center"/>
        <w:rPr>
          <w:lang w:val="en-US"/>
        </w:rPr>
      </w:pPr>
      <w:r w:rsidRPr="009F3502">
        <w:rPr>
          <w:noProof/>
          <w:lang w:val="en-US"/>
        </w:rPr>
        <w:drawing>
          <wp:inline distT="0" distB="0" distL="0" distR="0" wp14:anchorId="0EC9A13F" wp14:editId="4EBEF9A3">
            <wp:extent cx="4905346" cy="1980000"/>
            <wp:effectExtent l="0" t="0" r="0" b="127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12336" b="15905"/>
                    <a:stretch/>
                  </pic:blipFill>
                  <pic:spPr bwMode="auto">
                    <a:xfrm>
                      <a:off x="0" y="0"/>
                      <a:ext cx="4905346" cy="1980000"/>
                    </a:xfrm>
                    <a:prstGeom prst="rect">
                      <a:avLst/>
                    </a:prstGeom>
                    <a:ln>
                      <a:noFill/>
                    </a:ln>
                    <a:extLst>
                      <a:ext uri="{53640926-AAD7-44D8-BBD7-CCE9431645EC}">
                        <a14:shadowObscured xmlns:a14="http://schemas.microsoft.com/office/drawing/2010/main"/>
                      </a:ext>
                    </a:extLst>
                  </pic:spPr>
                </pic:pic>
              </a:graphicData>
            </a:graphic>
          </wp:inline>
        </w:drawing>
      </w:r>
    </w:p>
    <w:p w14:paraId="33DF0B84" w14:textId="28C198A7" w:rsidR="00E449C2" w:rsidRPr="00534830" w:rsidRDefault="00E449C2" w:rsidP="00E449C2">
      <w:pPr>
        <w:spacing w:before="100" w:beforeAutospacing="1" w:after="100" w:afterAutospacing="1" w:line="276" w:lineRule="auto"/>
        <w:jc w:val="both"/>
        <w:rPr>
          <w:lang w:val="en-US"/>
        </w:rPr>
      </w:pPr>
      <w:r w:rsidRPr="00534830">
        <w:rPr>
          <w:b/>
          <w:lang w:val="en-US"/>
        </w:rPr>
        <w:t>Figure S</w:t>
      </w:r>
      <w:r w:rsidR="00F41F49">
        <w:rPr>
          <w:b/>
          <w:lang w:val="en-US"/>
        </w:rPr>
        <w:t>3</w:t>
      </w:r>
      <w:r w:rsidRPr="00534830">
        <w:rPr>
          <w:b/>
          <w:lang w:val="en-US"/>
        </w:rPr>
        <w:t xml:space="preserve">. </w:t>
      </w:r>
      <w:r>
        <w:rPr>
          <w:b/>
          <w:lang w:val="en-US"/>
        </w:rPr>
        <w:t>Fitting of the electrochemical waves for</w:t>
      </w:r>
      <w:r w:rsidRPr="00534830">
        <w:rPr>
          <w:b/>
          <w:lang w:val="en-US"/>
        </w:rPr>
        <w:t xml:space="preserve"> Au/SC</w:t>
      </w:r>
      <w:r w:rsidRPr="00534830">
        <w:rPr>
          <w:b/>
          <w:vertAlign w:val="subscript"/>
          <w:lang w:val="en-US"/>
        </w:rPr>
        <w:t>11</w:t>
      </w:r>
      <w:r w:rsidRPr="00534830">
        <w:rPr>
          <w:b/>
          <w:lang w:val="en-US"/>
        </w:rPr>
        <w:t>Fc</w:t>
      </w:r>
      <w:r>
        <w:rPr>
          <w:b/>
          <w:lang w:val="en-US"/>
        </w:rPr>
        <w:t>//Gr SAMs at 1 V/s</w:t>
      </w:r>
      <w:r w:rsidRPr="00534830">
        <w:rPr>
          <w:b/>
          <w:lang w:val="en-US"/>
        </w:rPr>
        <w:t>.  (a)</w:t>
      </w:r>
      <w:r w:rsidRPr="00534830">
        <w:rPr>
          <w:lang w:val="en-US"/>
        </w:rPr>
        <w:t xml:space="preserve"> </w:t>
      </w:r>
      <w:r>
        <w:rPr>
          <w:lang w:val="en-US"/>
        </w:rPr>
        <w:t xml:space="preserve">anodic peak, </w:t>
      </w:r>
      <w:r w:rsidRPr="00534830">
        <w:rPr>
          <w:b/>
          <w:lang w:val="en-US"/>
        </w:rPr>
        <w:t>(</w:t>
      </w:r>
      <w:r>
        <w:rPr>
          <w:b/>
          <w:lang w:val="en-US"/>
        </w:rPr>
        <w:t>b</w:t>
      </w:r>
      <w:r w:rsidRPr="00534830">
        <w:rPr>
          <w:b/>
          <w:lang w:val="en-US"/>
        </w:rPr>
        <w:t>)</w:t>
      </w:r>
      <w:r w:rsidRPr="00534830">
        <w:rPr>
          <w:lang w:val="en-US"/>
        </w:rPr>
        <w:t xml:space="preserve"> </w:t>
      </w:r>
      <w:r>
        <w:rPr>
          <w:lang w:val="en-US"/>
        </w:rPr>
        <w:t xml:space="preserve">cathodic peak </w:t>
      </w:r>
      <w:r w:rsidRPr="00534830">
        <w:rPr>
          <w:lang w:val="en-US"/>
        </w:rPr>
        <w:t>versus Ag/AgCl reference electrode and 1 M NaClO</w:t>
      </w:r>
      <w:r w:rsidRPr="00534830">
        <w:rPr>
          <w:vertAlign w:val="subscript"/>
          <w:lang w:val="en-US"/>
        </w:rPr>
        <w:t>4</w:t>
      </w:r>
      <w:r w:rsidRPr="00534830">
        <w:rPr>
          <w:lang w:val="en-US"/>
        </w:rPr>
        <w:t xml:space="preserve"> electrolyte</w:t>
      </w:r>
      <w:r>
        <w:rPr>
          <w:lang w:val="en-US"/>
        </w:rPr>
        <w:t>.</w:t>
      </w:r>
    </w:p>
    <w:p w14:paraId="4EF902E0" w14:textId="77777777" w:rsidR="00E449C2" w:rsidRDefault="00E449C2" w:rsidP="00166C7F">
      <w:pPr>
        <w:rPr>
          <w:b/>
          <w:lang w:val="en-US"/>
        </w:rPr>
      </w:pPr>
    </w:p>
    <w:p w14:paraId="67B82C50" w14:textId="7B7191F3" w:rsidR="00166C7F" w:rsidRPr="00FD16B1" w:rsidRDefault="00CA4CD4" w:rsidP="00166C7F">
      <w:pPr>
        <w:rPr>
          <w:b/>
          <w:lang w:val="en-US"/>
        </w:rPr>
      </w:pPr>
      <w:r w:rsidRPr="00FD16B1">
        <w:rPr>
          <w:b/>
          <w:lang w:val="en-US"/>
        </w:rPr>
        <w:t xml:space="preserve">Table S1. </w:t>
      </w:r>
      <w:r w:rsidR="00FD16B1" w:rsidRPr="00FD16B1">
        <w:rPr>
          <w:b/>
          <w:lang w:val="en-US"/>
        </w:rPr>
        <w:t>Fitting parameters</w:t>
      </w:r>
      <w:r w:rsidRPr="00FD16B1">
        <w:rPr>
          <w:b/>
          <w:lang w:val="en-US"/>
        </w:rPr>
        <w:t xml:space="preserve">.  </w:t>
      </w:r>
    </w:p>
    <w:p w14:paraId="601DED6E" w14:textId="5D30935C" w:rsidR="00166C7F" w:rsidRPr="001632C4" w:rsidRDefault="00166C7F" w:rsidP="00073462">
      <w:pPr>
        <w:spacing w:line="360" w:lineRule="auto"/>
        <w:jc w:val="both"/>
        <w:rPr>
          <w:lang w:val="en-US"/>
        </w:rPr>
      </w:pPr>
    </w:p>
    <w:tbl>
      <w:tblPr>
        <w:tblW w:w="9255" w:type="dxa"/>
        <w:jc w:val="center"/>
        <w:tblLayout w:type="fixed"/>
        <w:tblCellMar>
          <w:left w:w="70" w:type="dxa"/>
          <w:right w:w="70" w:type="dxa"/>
        </w:tblCellMar>
        <w:tblLook w:val="04A0" w:firstRow="1" w:lastRow="0" w:firstColumn="1" w:lastColumn="0" w:noHBand="0" w:noVBand="1"/>
      </w:tblPr>
      <w:tblGrid>
        <w:gridCol w:w="1218"/>
        <w:gridCol w:w="2315"/>
        <w:gridCol w:w="560"/>
        <w:gridCol w:w="1381"/>
        <w:gridCol w:w="680"/>
        <w:gridCol w:w="1071"/>
        <w:gridCol w:w="370"/>
        <w:gridCol w:w="1660"/>
      </w:tblGrid>
      <w:tr w:rsidR="00682508" w:rsidRPr="001632C4" w14:paraId="35CAE1FC" w14:textId="77777777" w:rsidTr="007F1A00">
        <w:trPr>
          <w:trHeight w:val="320"/>
          <w:jc w:val="center"/>
        </w:trPr>
        <w:tc>
          <w:tcPr>
            <w:tcW w:w="9255"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F73576" w14:textId="24CBDC5A" w:rsidR="00682508" w:rsidRPr="001632C4" w:rsidRDefault="00682508" w:rsidP="00682508">
            <w:pPr>
              <w:jc w:val="center"/>
              <w:rPr>
                <w:b/>
                <w:bCs/>
                <w:color w:val="000000"/>
                <w:lang w:val="en-US"/>
              </w:rPr>
            </w:pPr>
            <w:r w:rsidRPr="00682508">
              <w:rPr>
                <w:b/>
                <w:lang w:val="en-US"/>
              </w:rPr>
              <w:t>Anodic peak</w:t>
            </w:r>
          </w:p>
        </w:tc>
      </w:tr>
      <w:tr w:rsidR="00682508" w:rsidRPr="001632C4" w14:paraId="4B297E08" w14:textId="77777777" w:rsidTr="00682508">
        <w:trPr>
          <w:trHeight w:val="320"/>
          <w:jc w:val="center"/>
        </w:trPr>
        <w:tc>
          <w:tcPr>
            <w:tcW w:w="353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7143D1F9" w14:textId="77777777" w:rsidR="00036214" w:rsidRPr="001632C4" w:rsidRDefault="00036214">
            <w:pPr>
              <w:jc w:val="center"/>
              <w:rPr>
                <w:b/>
                <w:bCs/>
                <w:color w:val="000000"/>
                <w:lang w:val="en-US"/>
              </w:rPr>
            </w:pPr>
          </w:p>
        </w:tc>
        <w:tc>
          <w:tcPr>
            <w:tcW w:w="3692" w:type="dxa"/>
            <w:gridSpan w:val="4"/>
            <w:tcBorders>
              <w:top w:val="nil"/>
              <w:left w:val="nil"/>
              <w:bottom w:val="single" w:sz="4" w:space="0" w:color="auto"/>
              <w:right w:val="single" w:sz="4" w:space="0" w:color="auto"/>
            </w:tcBorders>
            <w:shd w:val="clear" w:color="auto" w:fill="auto"/>
            <w:noWrap/>
            <w:vAlign w:val="center"/>
          </w:tcPr>
          <w:p w14:paraId="55C1312A" w14:textId="543CCAC0" w:rsidR="00036214" w:rsidRPr="001632C4" w:rsidRDefault="00036214" w:rsidP="00036214">
            <w:pPr>
              <w:jc w:val="center"/>
              <w:rPr>
                <w:b/>
                <w:bCs/>
                <w:color w:val="000000"/>
                <w:lang w:val="en-US"/>
              </w:rPr>
            </w:pPr>
            <w:r w:rsidRPr="00534830">
              <w:rPr>
                <w:b/>
                <w:lang w:val="en-US"/>
              </w:rPr>
              <w:t>Au/SC</w:t>
            </w:r>
            <w:r w:rsidRPr="00534830">
              <w:rPr>
                <w:b/>
                <w:vertAlign w:val="subscript"/>
                <w:lang w:val="en-US"/>
              </w:rPr>
              <w:t>11</w:t>
            </w:r>
            <w:r w:rsidRPr="00534830">
              <w:rPr>
                <w:b/>
                <w:lang w:val="en-US"/>
              </w:rPr>
              <w:t>Fc</w:t>
            </w:r>
          </w:p>
        </w:tc>
        <w:tc>
          <w:tcPr>
            <w:tcW w:w="370" w:type="dxa"/>
            <w:tcBorders>
              <w:top w:val="nil"/>
              <w:left w:val="nil"/>
              <w:bottom w:val="nil"/>
              <w:right w:val="nil"/>
            </w:tcBorders>
            <w:shd w:val="clear" w:color="auto" w:fill="auto"/>
            <w:noWrap/>
            <w:vAlign w:val="bottom"/>
          </w:tcPr>
          <w:p w14:paraId="6F87F8B0" w14:textId="77777777" w:rsidR="00036214" w:rsidRPr="001632C4" w:rsidRDefault="00036214">
            <w:pPr>
              <w:jc w:val="center"/>
              <w:rPr>
                <w:b/>
                <w:bCs/>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tcPr>
          <w:p w14:paraId="4E5C6F5F" w14:textId="18C5BCF6" w:rsidR="00036214" w:rsidRPr="00036214" w:rsidRDefault="00036214">
            <w:pPr>
              <w:jc w:val="center"/>
              <w:rPr>
                <w:b/>
                <w:lang w:val="en-US"/>
              </w:rPr>
            </w:pPr>
            <w:r w:rsidRPr="00036214">
              <w:rPr>
                <w:b/>
                <w:lang w:val="en-US"/>
              </w:rPr>
              <w:t>Au/SC</w:t>
            </w:r>
            <w:r w:rsidRPr="00036214">
              <w:rPr>
                <w:b/>
                <w:vertAlign w:val="subscript"/>
                <w:lang w:val="en-US"/>
              </w:rPr>
              <w:t>11</w:t>
            </w:r>
            <w:r w:rsidRPr="00036214">
              <w:rPr>
                <w:b/>
                <w:lang w:val="en-US"/>
              </w:rPr>
              <w:t>Fc//Gr</w:t>
            </w:r>
          </w:p>
        </w:tc>
      </w:tr>
      <w:tr w:rsidR="00682508" w:rsidRPr="001632C4" w14:paraId="3D442DC1" w14:textId="77777777" w:rsidTr="00682508">
        <w:trPr>
          <w:trHeight w:val="320"/>
          <w:jc w:val="center"/>
        </w:trPr>
        <w:tc>
          <w:tcPr>
            <w:tcW w:w="353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34C4C86" w14:textId="77777777" w:rsidR="007B2181" w:rsidRPr="001632C4" w:rsidRDefault="007B2181">
            <w:pPr>
              <w:jc w:val="center"/>
              <w:rPr>
                <w:color w:val="000000"/>
                <w:lang w:val="en-US"/>
              </w:rPr>
            </w:pPr>
            <w:r w:rsidRPr="001632C4">
              <w:rPr>
                <w:b/>
                <w:bCs/>
                <w:color w:val="000000"/>
                <w:lang w:val="en-US"/>
              </w:rPr>
              <w:t>Scan rate</w:t>
            </w:r>
            <w:r w:rsidRPr="001632C4">
              <w:rPr>
                <w:color w:val="000000"/>
                <w:lang w:val="en-US"/>
              </w:rPr>
              <w:t xml:space="preserve"> (V/s)</w:t>
            </w:r>
          </w:p>
        </w:tc>
        <w:tc>
          <w:tcPr>
            <w:tcW w:w="560" w:type="dxa"/>
            <w:tcBorders>
              <w:top w:val="nil"/>
              <w:left w:val="nil"/>
              <w:bottom w:val="single" w:sz="4" w:space="0" w:color="auto"/>
              <w:right w:val="nil"/>
            </w:tcBorders>
            <w:shd w:val="clear" w:color="auto" w:fill="auto"/>
            <w:noWrap/>
            <w:vAlign w:val="bottom"/>
            <w:hideMark/>
          </w:tcPr>
          <w:p w14:paraId="6120918F" w14:textId="77777777" w:rsidR="007B2181" w:rsidRPr="001632C4" w:rsidRDefault="007B2181">
            <w:pPr>
              <w:jc w:val="center"/>
              <w:rPr>
                <w:b/>
                <w:bCs/>
                <w:color w:val="000000"/>
                <w:lang w:val="en-US"/>
              </w:rPr>
            </w:pPr>
            <w:r w:rsidRPr="001632C4">
              <w:rPr>
                <w:b/>
                <w:bCs/>
                <w:color w:val="000000"/>
                <w:lang w:val="en-US"/>
              </w:rPr>
              <w:t>5</w:t>
            </w:r>
          </w:p>
        </w:tc>
        <w:tc>
          <w:tcPr>
            <w:tcW w:w="1381" w:type="dxa"/>
            <w:tcBorders>
              <w:top w:val="nil"/>
              <w:left w:val="nil"/>
              <w:bottom w:val="single" w:sz="4" w:space="0" w:color="auto"/>
              <w:right w:val="nil"/>
            </w:tcBorders>
            <w:shd w:val="clear" w:color="auto" w:fill="auto"/>
            <w:noWrap/>
            <w:vAlign w:val="bottom"/>
            <w:hideMark/>
          </w:tcPr>
          <w:p w14:paraId="397D15D5" w14:textId="77777777" w:rsidR="007B2181" w:rsidRPr="001632C4" w:rsidRDefault="007B2181">
            <w:pPr>
              <w:jc w:val="center"/>
              <w:rPr>
                <w:b/>
                <w:bCs/>
                <w:color w:val="000000"/>
                <w:lang w:val="en-US"/>
              </w:rPr>
            </w:pPr>
            <w:r w:rsidRPr="001632C4">
              <w:rPr>
                <w:b/>
                <w:bCs/>
                <w:color w:val="000000"/>
                <w:lang w:val="en-US"/>
              </w:rPr>
              <w:t>1</w:t>
            </w:r>
          </w:p>
        </w:tc>
        <w:tc>
          <w:tcPr>
            <w:tcW w:w="680" w:type="dxa"/>
            <w:tcBorders>
              <w:top w:val="nil"/>
              <w:left w:val="nil"/>
              <w:bottom w:val="single" w:sz="4" w:space="0" w:color="auto"/>
              <w:right w:val="nil"/>
            </w:tcBorders>
            <w:shd w:val="clear" w:color="auto" w:fill="auto"/>
            <w:noWrap/>
            <w:vAlign w:val="bottom"/>
            <w:hideMark/>
          </w:tcPr>
          <w:p w14:paraId="0EBB6206" w14:textId="77777777" w:rsidR="007B2181" w:rsidRPr="001632C4" w:rsidRDefault="007B2181">
            <w:pPr>
              <w:jc w:val="center"/>
              <w:rPr>
                <w:b/>
                <w:bCs/>
                <w:color w:val="000000"/>
                <w:lang w:val="en-US"/>
              </w:rPr>
            </w:pPr>
            <w:r w:rsidRPr="001632C4">
              <w:rPr>
                <w:b/>
                <w:bCs/>
                <w:color w:val="000000"/>
                <w:lang w:val="en-US"/>
              </w:rPr>
              <w:t>0.5</w:t>
            </w:r>
          </w:p>
        </w:tc>
        <w:tc>
          <w:tcPr>
            <w:tcW w:w="1071" w:type="dxa"/>
            <w:tcBorders>
              <w:top w:val="nil"/>
              <w:left w:val="nil"/>
              <w:bottom w:val="single" w:sz="4" w:space="0" w:color="auto"/>
              <w:right w:val="single" w:sz="4" w:space="0" w:color="auto"/>
            </w:tcBorders>
            <w:shd w:val="clear" w:color="auto" w:fill="auto"/>
            <w:noWrap/>
            <w:vAlign w:val="bottom"/>
            <w:hideMark/>
          </w:tcPr>
          <w:p w14:paraId="45AC4B42" w14:textId="77777777" w:rsidR="007B2181" w:rsidRPr="001632C4" w:rsidRDefault="007B2181">
            <w:pPr>
              <w:jc w:val="center"/>
              <w:rPr>
                <w:b/>
                <w:bCs/>
                <w:color w:val="000000"/>
                <w:lang w:val="en-US"/>
              </w:rPr>
            </w:pPr>
            <w:r w:rsidRPr="001632C4">
              <w:rPr>
                <w:b/>
                <w:bCs/>
                <w:color w:val="000000"/>
                <w:lang w:val="en-US"/>
              </w:rPr>
              <w:t>0.1</w:t>
            </w:r>
          </w:p>
        </w:tc>
        <w:tc>
          <w:tcPr>
            <w:tcW w:w="370" w:type="dxa"/>
            <w:tcBorders>
              <w:top w:val="nil"/>
              <w:left w:val="nil"/>
              <w:bottom w:val="nil"/>
              <w:right w:val="nil"/>
            </w:tcBorders>
            <w:shd w:val="clear" w:color="auto" w:fill="auto"/>
            <w:noWrap/>
            <w:vAlign w:val="bottom"/>
            <w:hideMark/>
          </w:tcPr>
          <w:p w14:paraId="7DCFFCF6" w14:textId="77777777" w:rsidR="007B2181" w:rsidRPr="001632C4" w:rsidRDefault="007B2181">
            <w:pPr>
              <w:jc w:val="center"/>
              <w:rPr>
                <w:b/>
                <w:bCs/>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14:paraId="2F286F57" w14:textId="77777777" w:rsidR="007B2181" w:rsidRPr="001632C4" w:rsidRDefault="007B2181">
            <w:pPr>
              <w:jc w:val="center"/>
              <w:rPr>
                <w:b/>
                <w:bCs/>
                <w:color w:val="000000"/>
                <w:lang w:val="en-US"/>
              </w:rPr>
            </w:pPr>
            <w:r w:rsidRPr="001632C4">
              <w:rPr>
                <w:b/>
                <w:bCs/>
                <w:color w:val="000000"/>
                <w:lang w:val="en-US"/>
              </w:rPr>
              <w:t>1</w:t>
            </w:r>
          </w:p>
        </w:tc>
      </w:tr>
      <w:tr w:rsidR="00682508" w:rsidRPr="001632C4" w14:paraId="62A5934A" w14:textId="77777777" w:rsidTr="00682508">
        <w:trPr>
          <w:trHeight w:val="320"/>
          <w:jc w:val="center"/>
        </w:trPr>
        <w:tc>
          <w:tcPr>
            <w:tcW w:w="1218" w:type="dxa"/>
            <w:vMerge w:val="restart"/>
            <w:tcBorders>
              <w:top w:val="nil"/>
              <w:left w:val="single" w:sz="4" w:space="0" w:color="auto"/>
              <w:bottom w:val="nil"/>
              <w:right w:val="single" w:sz="4" w:space="0" w:color="auto"/>
            </w:tcBorders>
            <w:shd w:val="clear" w:color="auto" w:fill="auto"/>
            <w:noWrap/>
            <w:vAlign w:val="center"/>
            <w:hideMark/>
          </w:tcPr>
          <w:p w14:paraId="7B9C1416" w14:textId="77777777" w:rsidR="007B2181" w:rsidRPr="001632C4" w:rsidRDefault="007B2181">
            <w:pPr>
              <w:jc w:val="center"/>
              <w:rPr>
                <w:b/>
                <w:bCs/>
                <w:color w:val="000000"/>
                <w:lang w:val="en-US"/>
              </w:rPr>
            </w:pPr>
            <w:r w:rsidRPr="001632C4">
              <w:rPr>
                <w:b/>
                <w:bCs/>
                <w:color w:val="000000"/>
                <w:lang w:val="en-US"/>
              </w:rPr>
              <w:t>Step</w:t>
            </w:r>
          </w:p>
        </w:tc>
        <w:tc>
          <w:tcPr>
            <w:tcW w:w="2315" w:type="dxa"/>
            <w:tcBorders>
              <w:top w:val="nil"/>
              <w:left w:val="nil"/>
              <w:bottom w:val="nil"/>
              <w:right w:val="single" w:sz="4" w:space="0" w:color="auto"/>
            </w:tcBorders>
            <w:shd w:val="clear" w:color="auto" w:fill="auto"/>
            <w:noWrap/>
            <w:vAlign w:val="bottom"/>
            <w:hideMark/>
          </w:tcPr>
          <w:p w14:paraId="2DBB7B11" w14:textId="77777777" w:rsidR="007B2181" w:rsidRPr="001632C4" w:rsidRDefault="007B2181">
            <w:pPr>
              <w:jc w:val="center"/>
              <w:rPr>
                <w:color w:val="000000"/>
                <w:lang w:val="en-US"/>
              </w:rPr>
            </w:pPr>
            <w:r w:rsidRPr="001632C4">
              <w:rPr>
                <w:color w:val="000000"/>
                <w:lang w:val="en-US"/>
              </w:rPr>
              <w:t>Amplitude (C)</w:t>
            </w:r>
          </w:p>
        </w:tc>
        <w:tc>
          <w:tcPr>
            <w:tcW w:w="560" w:type="dxa"/>
            <w:tcBorders>
              <w:top w:val="nil"/>
              <w:left w:val="nil"/>
              <w:bottom w:val="nil"/>
              <w:right w:val="nil"/>
            </w:tcBorders>
            <w:shd w:val="clear" w:color="auto" w:fill="auto"/>
            <w:noWrap/>
            <w:vAlign w:val="bottom"/>
            <w:hideMark/>
          </w:tcPr>
          <w:p w14:paraId="0C6D0462" w14:textId="47841083" w:rsidR="007B2181" w:rsidRPr="001632C4" w:rsidRDefault="007B2181">
            <w:pPr>
              <w:jc w:val="center"/>
              <w:rPr>
                <w:color w:val="000000"/>
                <w:lang w:val="en-US"/>
              </w:rPr>
            </w:pPr>
            <w:r w:rsidRPr="001632C4">
              <w:rPr>
                <w:color w:val="000000"/>
                <w:lang w:val="en-US"/>
              </w:rPr>
              <w:t>0.</w:t>
            </w:r>
            <w:r w:rsidR="00F73074">
              <w:rPr>
                <w:color w:val="000000"/>
                <w:lang w:val="en-US"/>
              </w:rPr>
              <w:t>15</w:t>
            </w:r>
          </w:p>
        </w:tc>
        <w:tc>
          <w:tcPr>
            <w:tcW w:w="1381" w:type="dxa"/>
            <w:tcBorders>
              <w:top w:val="nil"/>
              <w:left w:val="nil"/>
              <w:bottom w:val="nil"/>
              <w:right w:val="nil"/>
            </w:tcBorders>
            <w:shd w:val="clear" w:color="auto" w:fill="auto"/>
            <w:noWrap/>
            <w:vAlign w:val="bottom"/>
            <w:hideMark/>
          </w:tcPr>
          <w:p w14:paraId="4D4DE8D6" w14:textId="13AC7B44" w:rsidR="007B2181" w:rsidRPr="001632C4" w:rsidRDefault="007B2181">
            <w:pPr>
              <w:jc w:val="center"/>
              <w:rPr>
                <w:color w:val="000000"/>
                <w:lang w:val="en-US"/>
              </w:rPr>
            </w:pPr>
            <w:r w:rsidRPr="001632C4">
              <w:rPr>
                <w:color w:val="000000"/>
                <w:lang w:val="en-US"/>
              </w:rPr>
              <w:t>0.</w:t>
            </w:r>
            <w:r w:rsidR="00D678F2">
              <w:rPr>
                <w:color w:val="000000"/>
                <w:lang w:val="en-US"/>
              </w:rPr>
              <w:t>14</w:t>
            </w:r>
          </w:p>
        </w:tc>
        <w:tc>
          <w:tcPr>
            <w:tcW w:w="680" w:type="dxa"/>
            <w:tcBorders>
              <w:top w:val="nil"/>
              <w:left w:val="nil"/>
              <w:bottom w:val="nil"/>
              <w:right w:val="nil"/>
            </w:tcBorders>
            <w:shd w:val="clear" w:color="auto" w:fill="auto"/>
            <w:noWrap/>
            <w:vAlign w:val="bottom"/>
            <w:hideMark/>
          </w:tcPr>
          <w:p w14:paraId="40EA2D4A" w14:textId="71D5B544" w:rsidR="007B2181" w:rsidRPr="001632C4" w:rsidRDefault="007B2181">
            <w:pPr>
              <w:jc w:val="center"/>
              <w:rPr>
                <w:color w:val="000000"/>
                <w:lang w:val="en-US"/>
              </w:rPr>
            </w:pPr>
            <w:r w:rsidRPr="001632C4">
              <w:rPr>
                <w:color w:val="000000"/>
                <w:lang w:val="en-US"/>
              </w:rPr>
              <w:t>0.0</w:t>
            </w:r>
            <w:r w:rsidR="00D60219">
              <w:rPr>
                <w:color w:val="000000"/>
                <w:lang w:val="en-US"/>
              </w:rPr>
              <w:t>6</w:t>
            </w:r>
          </w:p>
        </w:tc>
        <w:tc>
          <w:tcPr>
            <w:tcW w:w="1071" w:type="dxa"/>
            <w:tcBorders>
              <w:top w:val="nil"/>
              <w:left w:val="nil"/>
              <w:bottom w:val="nil"/>
              <w:right w:val="single" w:sz="4" w:space="0" w:color="auto"/>
            </w:tcBorders>
            <w:shd w:val="clear" w:color="auto" w:fill="auto"/>
            <w:noWrap/>
            <w:vAlign w:val="bottom"/>
            <w:hideMark/>
          </w:tcPr>
          <w:p w14:paraId="72D837A9" w14:textId="41D19A5E" w:rsidR="007B2181" w:rsidRPr="001632C4" w:rsidRDefault="007B2181">
            <w:pPr>
              <w:jc w:val="center"/>
              <w:rPr>
                <w:color w:val="000000"/>
                <w:lang w:val="en-US"/>
              </w:rPr>
            </w:pPr>
            <w:r w:rsidRPr="001632C4">
              <w:rPr>
                <w:color w:val="000000"/>
                <w:lang w:val="en-US"/>
              </w:rPr>
              <w:t>0.0</w:t>
            </w:r>
            <w:r w:rsidR="00AE002C">
              <w:rPr>
                <w:color w:val="000000"/>
                <w:lang w:val="en-US"/>
              </w:rPr>
              <w:t>2</w:t>
            </w:r>
          </w:p>
        </w:tc>
        <w:tc>
          <w:tcPr>
            <w:tcW w:w="370" w:type="dxa"/>
            <w:tcBorders>
              <w:top w:val="nil"/>
              <w:left w:val="nil"/>
              <w:bottom w:val="nil"/>
              <w:right w:val="nil"/>
            </w:tcBorders>
            <w:shd w:val="clear" w:color="auto" w:fill="auto"/>
            <w:noWrap/>
            <w:vAlign w:val="bottom"/>
            <w:hideMark/>
          </w:tcPr>
          <w:p w14:paraId="6BDC4F0B" w14:textId="77777777" w:rsidR="007B2181" w:rsidRPr="001632C4" w:rsidRDefault="007B2181">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7DD1548D" w14:textId="5053806C" w:rsidR="007B2181" w:rsidRPr="001632C4" w:rsidRDefault="007B2181">
            <w:pPr>
              <w:jc w:val="center"/>
              <w:rPr>
                <w:color w:val="000000"/>
                <w:lang w:val="en-US"/>
              </w:rPr>
            </w:pPr>
            <w:r w:rsidRPr="001632C4">
              <w:rPr>
                <w:color w:val="000000"/>
                <w:lang w:val="en-US"/>
              </w:rPr>
              <w:t>0.0</w:t>
            </w:r>
            <w:r w:rsidR="00446603">
              <w:rPr>
                <w:color w:val="000000"/>
                <w:lang w:val="en-US"/>
              </w:rPr>
              <w:t>32</w:t>
            </w:r>
          </w:p>
        </w:tc>
      </w:tr>
      <w:tr w:rsidR="00682508" w:rsidRPr="001632C4" w14:paraId="657F1C62" w14:textId="77777777" w:rsidTr="00682508">
        <w:trPr>
          <w:trHeight w:val="320"/>
          <w:jc w:val="center"/>
        </w:trPr>
        <w:tc>
          <w:tcPr>
            <w:tcW w:w="1218" w:type="dxa"/>
            <w:vMerge/>
            <w:tcBorders>
              <w:top w:val="nil"/>
              <w:left w:val="single" w:sz="4" w:space="0" w:color="auto"/>
              <w:bottom w:val="nil"/>
              <w:right w:val="single" w:sz="4" w:space="0" w:color="auto"/>
            </w:tcBorders>
            <w:vAlign w:val="center"/>
            <w:hideMark/>
          </w:tcPr>
          <w:p w14:paraId="051077A5" w14:textId="77777777" w:rsidR="007B2181" w:rsidRPr="001632C4" w:rsidRDefault="007B2181">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63CAAEC9" w14:textId="77777777" w:rsidR="007B2181" w:rsidRPr="001632C4" w:rsidRDefault="007B2181">
            <w:pPr>
              <w:jc w:val="center"/>
              <w:rPr>
                <w:color w:val="000000"/>
                <w:lang w:val="en-US"/>
              </w:rPr>
            </w:pPr>
            <w:r w:rsidRPr="001632C4">
              <w:rPr>
                <w:color w:val="000000"/>
                <w:lang w:val="en-US"/>
              </w:rPr>
              <w:t>Center (V)</w:t>
            </w:r>
          </w:p>
        </w:tc>
        <w:tc>
          <w:tcPr>
            <w:tcW w:w="560" w:type="dxa"/>
            <w:tcBorders>
              <w:top w:val="nil"/>
              <w:left w:val="nil"/>
              <w:bottom w:val="nil"/>
              <w:right w:val="nil"/>
            </w:tcBorders>
            <w:shd w:val="clear" w:color="auto" w:fill="auto"/>
            <w:noWrap/>
            <w:vAlign w:val="bottom"/>
            <w:hideMark/>
          </w:tcPr>
          <w:p w14:paraId="71A0378C" w14:textId="0CAA2D18" w:rsidR="007B2181" w:rsidRPr="001632C4" w:rsidRDefault="007B2181">
            <w:pPr>
              <w:jc w:val="center"/>
              <w:rPr>
                <w:color w:val="000000"/>
                <w:lang w:val="en-US"/>
              </w:rPr>
            </w:pPr>
            <w:r w:rsidRPr="001632C4">
              <w:rPr>
                <w:color w:val="000000"/>
                <w:lang w:val="en-US"/>
              </w:rPr>
              <w:t>0.</w:t>
            </w:r>
            <w:r w:rsidR="00F73074">
              <w:rPr>
                <w:color w:val="000000"/>
                <w:lang w:val="en-US"/>
              </w:rPr>
              <w:t>33</w:t>
            </w:r>
          </w:p>
        </w:tc>
        <w:tc>
          <w:tcPr>
            <w:tcW w:w="1381" w:type="dxa"/>
            <w:tcBorders>
              <w:top w:val="nil"/>
              <w:left w:val="nil"/>
              <w:bottom w:val="nil"/>
              <w:right w:val="nil"/>
            </w:tcBorders>
            <w:shd w:val="clear" w:color="auto" w:fill="auto"/>
            <w:noWrap/>
            <w:vAlign w:val="bottom"/>
            <w:hideMark/>
          </w:tcPr>
          <w:p w14:paraId="2A7FF098" w14:textId="2C7C82CD" w:rsidR="007B2181" w:rsidRPr="001632C4" w:rsidRDefault="007B2181">
            <w:pPr>
              <w:jc w:val="center"/>
              <w:rPr>
                <w:color w:val="000000"/>
                <w:lang w:val="en-US"/>
              </w:rPr>
            </w:pPr>
            <w:r w:rsidRPr="001632C4">
              <w:rPr>
                <w:color w:val="000000"/>
                <w:lang w:val="en-US"/>
              </w:rPr>
              <w:t>0.</w:t>
            </w:r>
            <w:r w:rsidR="00D678F2">
              <w:rPr>
                <w:color w:val="000000"/>
                <w:lang w:val="en-US"/>
              </w:rPr>
              <w:t>31</w:t>
            </w:r>
          </w:p>
        </w:tc>
        <w:tc>
          <w:tcPr>
            <w:tcW w:w="680" w:type="dxa"/>
            <w:tcBorders>
              <w:top w:val="nil"/>
              <w:left w:val="nil"/>
              <w:bottom w:val="nil"/>
              <w:right w:val="nil"/>
            </w:tcBorders>
            <w:shd w:val="clear" w:color="auto" w:fill="auto"/>
            <w:noWrap/>
            <w:vAlign w:val="bottom"/>
            <w:hideMark/>
          </w:tcPr>
          <w:p w14:paraId="093DBF14" w14:textId="15FD04E5" w:rsidR="007B2181" w:rsidRPr="001632C4" w:rsidRDefault="007B2181">
            <w:pPr>
              <w:jc w:val="center"/>
              <w:rPr>
                <w:color w:val="000000"/>
                <w:lang w:val="en-US"/>
              </w:rPr>
            </w:pPr>
            <w:r w:rsidRPr="001632C4">
              <w:rPr>
                <w:color w:val="000000"/>
                <w:lang w:val="en-US"/>
              </w:rPr>
              <w:t>0.2</w:t>
            </w:r>
            <w:r w:rsidR="00D60219">
              <w:rPr>
                <w:color w:val="000000"/>
                <w:lang w:val="en-US"/>
              </w:rPr>
              <w:t>9</w:t>
            </w:r>
          </w:p>
        </w:tc>
        <w:tc>
          <w:tcPr>
            <w:tcW w:w="1071" w:type="dxa"/>
            <w:tcBorders>
              <w:top w:val="nil"/>
              <w:left w:val="nil"/>
              <w:bottom w:val="nil"/>
              <w:right w:val="single" w:sz="4" w:space="0" w:color="auto"/>
            </w:tcBorders>
            <w:shd w:val="clear" w:color="auto" w:fill="auto"/>
            <w:noWrap/>
            <w:vAlign w:val="bottom"/>
            <w:hideMark/>
          </w:tcPr>
          <w:p w14:paraId="20D81D29" w14:textId="02DC3B03" w:rsidR="007B2181" w:rsidRPr="001632C4" w:rsidRDefault="007B2181">
            <w:pPr>
              <w:jc w:val="center"/>
              <w:rPr>
                <w:color w:val="000000"/>
                <w:lang w:val="en-US"/>
              </w:rPr>
            </w:pPr>
            <w:r w:rsidRPr="001632C4">
              <w:rPr>
                <w:color w:val="000000"/>
                <w:lang w:val="en-US"/>
              </w:rPr>
              <w:t>0.</w:t>
            </w:r>
            <w:r w:rsidR="00AE002C">
              <w:rPr>
                <w:color w:val="000000"/>
                <w:lang w:val="en-US"/>
              </w:rPr>
              <w:t>28</w:t>
            </w:r>
          </w:p>
        </w:tc>
        <w:tc>
          <w:tcPr>
            <w:tcW w:w="370" w:type="dxa"/>
            <w:tcBorders>
              <w:top w:val="nil"/>
              <w:left w:val="nil"/>
              <w:bottom w:val="nil"/>
              <w:right w:val="nil"/>
            </w:tcBorders>
            <w:shd w:val="clear" w:color="auto" w:fill="auto"/>
            <w:noWrap/>
            <w:vAlign w:val="bottom"/>
            <w:hideMark/>
          </w:tcPr>
          <w:p w14:paraId="1DE37EE5" w14:textId="77777777" w:rsidR="007B2181" w:rsidRPr="001632C4" w:rsidRDefault="007B2181">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3B87D83B" w14:textId="77777777" w:rsidR="007B2181" w:rsidRPr="001632C4" w:rsidRDefault="007B2181">
            <w:pPr>
              <w:jc w:val="center"/>
              <w:rPr>
                <w:color w:val="000000"/>
                <w:lang w:val="en-US"/>
              </w:rPr>
            </w:pPr>
            <w:r w:rsidRPr="001632C4">
              <w:rPr>
                <w:color w:val="000000"/>
                <w:lang w:val="en-US"/>
              </w:rPr>
              <w:t>0.29</w:t>
            </w:r>
          </w:p>
        </w:tc>
      </w:tr>
      <w:tr w:rsidR="00682508" w:rsidRPr="001632C4" w14:paraId="768BAA15" w14:textId="77777777" w:rsidTr="00682508">
        <w:trPr>
          <w:trHeight w:val="320"/>
          <w:jc w:val="center"/>
        </w:trPr>
        <w:tc>
          <w:tcPr>
            <w:tcW w:w="1218" w:type="dxa"/>
            <w:vMerge/>
            <w:tcBorders>
              <w:top w:val="nil"/>
              <w:left w:val="single" w:sz="4" w:space="0" w:color="auto"/>
              <w:bottom w:val="nil"/>
              <w:right w:val="single" w:sz="4" w:space="0" w:color="auto"/>
            </w:tcBorders>
            <w:vAlign w:val="center"/>
            <w:hideMark/>
          </w:tcPr>
          <w:p w14:paraId="5870CA58" w14:textId="77777777" w:rsidR="007B2181" w:rsidRPr="001632C4" w:rsidRDefault="007B2181">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7A0F7DA3" w14:textId="77777777" w:rsidR="007B2181" w:rsidRPr="001632C4" w:rsidRDefault="007B2181">
            <w:pPr>
              <w:jc w:val="center"/>
              <w:rPr>
                <w:color w:val="000000"/>
                <w:lang w:val="en-US"/>
              </w:rPr>
            </w:pPr>
            <w:r w:rsidRPr="001632C4">
              <w:rPr>
                <w:color w:val="000000"/>
                <w:lang w:val="en-US"/>
              </w:rPr>
              <w:t xml:space="preserve">Sigma </w:t>
            </w:r>
          </w:p>
        </w:tc>
        <w:tc>
          <w:tcPr>
            <w:tcW w:w="560" w:type="dxa"/>
            <w:tcBorders>
              <w:top w:val="nil"/>
              <w:left w:val="nil"/>
              <w:bottom w:val="nil"/>
              <w:right w:val="nil"/>
            </w:tcBorders>
            <w:shd w:val="clear" w:color="auto" w:fill="auto"/>
            <w:noWrap/>
            <w:vAlign w:val="bottom"/>
            <w:hideMark/>
          </w:tcPr>
          <w:p w14:paraId="3F53D718" w14:textId="197B3A60" w:rsidR="007B2181" w:rsidRPr="001632C4" w:rsidRDefault="007B2181">
            <w:pPr>
              <w:jc w:val="center"/>
              <w:rPr>
                <w:color w:val="000000"/>
                <w:lang w:val="en-US"/>
              </w:rPr>
            </w:pPr>
            <w:r w:rsidRPr="001632C4">
              <w:rPr>
                <w:color w:val="000000"/>
                <w:lang w:val="en-US"/>
              </w:rPr>
              <w:t>0.</w:t>
            </w:r>
            <w:r w:rsidR="00F73074">
              <w:rPr>
                <w:color w:val="000000"/>
                <w:lang w:val="en-US"/>
              </w:rPr>
              <w:t>08</w:t>
            </w:r>
          </w:p>
        </w:tc>
        <w:tc>
          <w:tcPr>
            <w:tcW w:w="1381" w:type="dxa"/>
            <w:tcBorders>
              <w:top w:val="nil"/>
              <w:left w:val="nil"/>
              <w:bottom w:val="nil"/>
              <w:right w:val="nil"/>
            </w:tcBorders>
            <w:shd w:val="clear" w:color="auto" w:fill="auto"/>
            <w:noWrap/>
            <w:vAlign w:val="bottom"/>
            <w:hideMark/>
          </w:tcPr>
          <w:p w14:paraId="0E6F7762" w14:textId="77777777" w:rsidR="007B2181" w:rsidRPr="001632C4" w:rsidRDefault="007B2181">
            <w:pPr>
              <w:jc w:val="center"/>
              <w:rPr>
                <w:color w:val="000000"/>
                <w:lang w:val="en-US"/>
              </w:rPr>
            </w:pPr>
            <w:r w:rsidRPr="001632C4">
              <w:rPr>
                <w:color w:val="000000"/>
                <w:lang w:val="en-US"/>
              </w:rPr>
              <w:t>0.20</w:t>
            </w:r>
          </w:p>
        </w:tc>
        <w:tc>
          <w:tcPr>
            <w:tcW w:w="680" w:type="dxa"/>
            <w:tcBorders>
              <w:top w:val="nil"/>
              <w:left w:val="nil"/>
              <w:bottom w:val="nil"/>
              <w:right w:val="nil"/>
            </w:tcBorders>
            <w:shd w:val="clear" w:color="auto" w:fill="auto"/>
            <w:noWrap/>
            <w:vAlign w:val="bottom"/>
            <w:hideMark/>
          </w:tcPr>
          <w:p w14:paraId="65439EE6" w14:textId="77777777" w:rsidR="007B2181" w:rsidRPr="001632C4" w:rsidRDefault="007B2181">
            <w:pPr>
              <w:jc w:val="center"/>
              <w:rPr>
                <w:color w:val="000000"/>
                <w:lang w:val="en-US"/>
              </w:rPr>
            </w:pPr>
            <w:r w:rsidRPr="001632C4">
              <w:rPr>
                <w:color w:val="000000"/>
                <w:lang w:val="en-US"/>
              </w:rPr>
              <w:t>0.20</w:t>
            </w:r>
          </w:p>
        </w:tc>
        <w:tc>
          <w:tcPr>
            <w:tcW w:w="1071" w:type="dxa"/>
            <w:tcBorders>
              <w:top w:val="nil"/>
              <w:left w:val="nil"/>
              <w:bottom w:val="nil"/>
              <w:right w:val="single" w:sz="4" w:space="0" w:color="auto"/>
            </w:tcBorders>
            <w:shd w:val="clear" w:color="auto" w:fill="auto"/>
            <w:noWrap/>
            <w:vAlign w:val="bottom"/>
            <w:hideMark/>
          </w:tcPr>
          <w:p w14:paraId="6E33D583" w14:textId="0969861B" w:rsidR="007B2181" w:rsidRPr="001632C4" w:rsidRDefault="007B2181">
            <w:pPr>
              <w:jc w:val="center"/>
              <w:rPr>
                <w:color w:val="000000"/>
                <w:lang w:val="en-US"/>
              </w:rPr>
            </w:pPr>
            <w:r w:rsidRPr="001632C4">
              <w:rPr>
                <w:color w:val="000000"/>
                <w:lang w:val="en-US"/>
              </w:rPr>
              <w:t>0.</w:t>
            </w:r>
            <w:r w:rsidR="00AE002C">
              <w:rPr>
                <w:color w:val="000000"/>
                <w:lang w:val="en-US"/>
              </w:rPr>
              <w:t>08</w:t>
            </w:r>
          </w:p>
        </w:tc>
        <w:tc>
          <w:tcPr>
            <w:tcW w:w="370" w:type="dxa"/>
            <w:tcBorders>
              <w:top w:val="nil"/>
              <w:left w:val="nil"/>
              <w:bottom w:val="nil"/>
              <w:right w:val="nil"/>
            </w:tcBorders>
            <w:shd w:val="clear" w:color="auto" w:fill="auto"/>
            <w:noWrap/>
            <w:vAlign w:val="bottom"/>
            <w:hideMark/>
          </w:tcPr>
          <w:p w14:paraId="5592FB60" w14:textId="77777777" w:rsidR="007B2181" w:rsidRPr="001632C4" w:rsidRDefault="007B2181">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02C2643A" w14:textId="08DCE128" w:rsidR="007B2181" w:rsidRPr="001632C4" w:rsidRDefault="007B2181">
            <w:pPr>
              <w:jc w:val="center"/>
              <w:rPr>
                <w:color w:val="000000"/>
                <w:lang w:val="en-US"/>
              </w:rPr>
            </w:pPr>
            <w:r w:rsidRPr="001632C4">
              <w:rPr>
                <w:color w:val="000000"/>
                <w:lang w:val="en-US"/>
              </w:rPr>
              <w:t>0.</w:t>
            </w:r>
            <w:r w:rsidR="00446603">
              <w:rPr>
                <w:color w:val="000000"/>
                <w:lang w:val="en-US"/>
              </w:rPr>
              <w:t>22</w:t>
            </w:r>
          </w:p>
        </w:tc>
      </w:tr>
      <w:tr w:rsidR="00682508" w:rsidRPr="001632C4" w14:paraId="7CA1B7B2" w14:textId="77777777" w:rsidTr="00682508">
        <w:trPr>
          <w:trHeight w:val="320"/>
          <w:jc w:val="center"/>
        </w:trPr>
        <w:tc>
          <w:tcPr>
            <w:tcW w:w="1218" w:type="dxa"/>
            <w:tcBorders>
              <w:top w:val="nil"/>
              <w:left w:val="single" w:sz="4" w:space="0" w:color="auto"/>
              <w:bottom w:val="single" w:sz="4" w:space="0" w:color="auto"/>
              <w:right w:val="single" w:sz="4" w:space="0" w:color="auto"/>
            </w:tcBorders>
            <w:shd w:val="clear" w:color="auto" w:fill="auto"/>
            <w:noWrap/>
            <w:vAlign w:val="center"/>
            <w:hideMark/>
          </w:tcPr>
          <w:p w14:paraId="6708DD7E" w14:textId="77777777" w:rsidR="007B2181" w:rsidRPr="001632C4" w:rsidRDefault="007B2181">
            <w:pPr>
              <w:jc w:val="center"/>
              <w:rPr>
                <w:b/>
                <w:bCs/>
                <w:color w:val="000000"/>
                <w:lang w:val="en-US"/>
              </w:rPr>
            </w:pPr>
            <w:r w:rsidRPr="001632C4">
              <w:rPr>
                <w:b/>
                <w:bCs/>
                <w:color w:val="000000"/>
                <w:lang w:val="en-US"/>
              </w:rPr>
              <w:t> </w:t>
            </w:r>
          </w:p>
        </w:tc>
        <w:tc>
          <w:tcPr>
            <w:tcW w:w="2315" w:type="dxa"/>
            <w:tcBorders>
              <w:top w:val="nil"/>
              <w:left w:val="nil"/>
              <w:bottom w:val="single" w:sz="4" w:space="0" w:color="auto"/>
              <w:right w:val="single" w:sz="4" w:space="0" w:color="auto"/>
            </w:tcBorders>
            <w:shd w:val="clear" w:color="auto" w:fill="auto"/>
            <w:noWrap/>
            <w:vAlign w:val="bottom"/>
            <w:hideMark/>
          </w:tcPr>
          <w:p w14:paraId="5A2610E6" w14:textId="277B359E" w:rsidR="007B2181" w:rsidRPr="001632C4" w:rsidRDefault="007B2181" w:rsidP="00F73074">
            <w:pPr>
              <w:rPr>
                <w:color w:val="000000"/>
                <w:lang w:val="en-US"/>
              </w:rPr>
            </w:pPr>
          </w:p>
        </w:tc>
        <w:tc>
          <w:tcPr>
            <w:tcW w:w="560" w:type="dxa"/>
            <w:tcBorders>
              <w:top w:val="nil"/>
              <w:left w:val="nil"/>
              <w:bottom w:val="single" w:sz="4" w:space="0" w:color="auto"/>
              <w:right w:val="nil"/>
            </w:tcBorders>
            <w:shd w:val="clear" w:color="auto" w:fill="auto"/>
            <w:noWrap/>
            <w:vAlign w:val="bottom"/>
            <w:hideMark/>
          </w:tcPr>
          <w:p w14:paraId="01633780" w14:textId="77777777" w:rsidR="007B2181" w:rsidRPr="001632C4" w:rsidRDefault="007B2181">
            <w:pPr>
              <w:jc w:val="center"/>
              <w:rPr>
                <w:color w:val="000000"/>
                <w:lang w:val="en-US"/>
              </w:rPr>
            </w:pPr>
            <w:r w:rsidRPr="001632C4">
              <w:rPr>
                <w:color w:val="000000"/>
                <w:lang w:val="en-US"/>
              </w:rPr>
              <w:t> </w:t>
            </w:r>
          </w:p>
        </w:tc>
        <w:tc>
          <w:tcPr>
            <w:tcW w:w="1381" w:type="dxa"/>
            <w:tcBorders>
              <w:top w:val="nil"/>
              <w:left w:val="nil"/>
              <w:bottom w:val="single" w:sz="4" w:space="0" w:color="auto"/>
              <w:right w:val="nil"/>
            </w:tcBorders>
            <w:shd w:val="clear" w:color="auto" w:fill="auto"/>
            <w:noWrap/>
            <w:vAlign w:val="bottom"/>
            <w:hideMark/>
          </w:tcPr>
          <w:p w14:paraId="5654EB36" w14:textId="77777777" w:rsidR="007B2181" w:rsidRPr="001632C4" w:rsidRDefault="007B2181">
            <w:pPr>
              <w:jc w:val="center"/>
              <w:rPr>
                <w:color w:val="000000"/>
                <w:lang w:val="en-US"/>
              </w:rPr>
            </w:pPr>
            <w:r w:rsidRPr="001632C4">
              <w:rPr>
                <w:color w:val="000000"/>
                <w:lang w:val="en-US"/>
              </w:rPr>
              <w:t> </w:t>
            </w:r>
          </w:p>
        </w:tc>
        <w:tc>
          <w:tcPr>
            <w:tcW w:w="680" w:type="dxa"/>
            <w:tcBorders>
              <w:top w:val="nil"/>
              <w:left w:val="nil"/>
              <w:bottom w:val="single" w:sz="4" w:space="0" w:color="auto"/>
              <w:right w:val="nil"/>
            </w:tcBorders>
            <w:shd w:val="clear" w:color="auto" w:fill="auto"/>
            <w:noWrap/>
            <w:vAlign w:val="bottom"/>
            <w:hideMark/>
          </w:tcPr>
          <w:p w14:paraId="12D05BED" w14:textId="77777777" w:rsidR="007B2181" w:rsidRPr="001632C4" w:rsidRDefault="007B2181">
            <w:pPr>
              <w:jc w:val="center"/>
              <w:rPr>
                <w:color w:val="000000"/>
                <w:lang w:val="en-US"/>
              </w:rPr>
            </w:pPr>
            <w:r w:rsidRPr="001632C4">
              <w:rPr>
                <w:color w:val="000000"/>
                <w:lang w:val="en-US"/>
              </w:rPr>
              <w:t> </w:t>
            </w:r>
          </w:p>
        </w:tc>
        <w:tc>
          <w:tcPr>
            <w:tcW w:w="1071" w:type="dxa"/>
            <w:tcBorders>
              <w:top w:val="nil"/>
              <w:left w:val="nil"/>
              <w:bottom w:val="single" w:sz="4" w:space="0" w:color="auto"/>
              <w:right w:val="single" w:sz="4" w:space="0" w:color="auto"/>
            </w:tcBorders>
            <w:shd w:val="clear" w:color="auto" w:fill="auto"/>
            <w:noWrap/>
            <w:vAlign w:val="bottom"/>
            <w:hideMark/>
          </w:tcPr>
          <w:p w14:paraId="5E6341DA" w14:textId="77777777" w:rsidR="007B2181" w:rsidRPr="001632C4" w:rsidRDefault="007B2181">
            <w:pPr>
              <w:jc w:val="center"/>
              <w:rPr>
                <w:color w:val="000000"/>
                <w:lang w:val="en-US"/>
              </w:rPr>
            </w:pPr>
            <w:r w:rsidRPr="001632C4">
              <w:rPr>
                <w:color w:val="000000"/>
                <w:lang w:val="en-US"/>
              </w:rPr>
              <w:t> </w:t>
            </w:r>
          </w:p>
        </w:tc>
        <w:tc>
          <w:tcPr>
            <w:tcW w:w="370" w:type="dxa"/>
            <w:tcBorders>
              <w:top w:val="nil"/>
              <w:left w:val="nil"/>
              <w:bottom w:val="nil"/>
              <w:right w:val="nil"/>
            </w:tcBorders>
            <w:shd w:val="clear" w:color="auto" w:fill="auto"/>
            <w:noWrap/>
            <w:vAlign w:val="bottom"/>
            <w:hideMark/>
          </w:tcPr>
          <w:p w14:paraId="20E22F39" w14:textId="77777777" w:rsidR="007B2181" w:rsidRPr="001632C4" w:rsidRDefault="007B2181">
            <w:pPr>
              <w:jc w:val="center"/>
              <w:rPr>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14:paraId="203A6E2F" w14:textId="77777777" w:rsidR="007B2181" w:rsidRPr="001632C4" w:rsidRDefault="007B2181">
            <w:pPr>
              <w:jc w:val="center"/>
              <w:rPr>
                <w:color w:val="000000"/>
                <w:lang w:val="en-US"/>
              </w:rPr>
            </w:pPr>
            <w:r w:rsidRPr="001632C4">
              <w:rPr>
                <w:color w:val="000000"/>
                <w:lang w:val="en-US"/>
              </w:rPr>
              <w:t> </w:t>
            </w:r>
          </w:p>
        </w:tc>
      </w:tr>
      <w:tr w:rsidR="00682508" w:rsidRPr="001632C4" w14:paraId="7F25C17D" w14:textId="77777777" w:rsidTr="00682508">
        <w:trPr>
          <w:trHeight w:val="320"/>
          <w:jc w:val="center"/>
        </w:trPr>
        <w:tc>
          <w:tcPr>
            <w:tcW w:w="121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3111176" w14:textId="77777777" w:rsidR="007B2181" w:rsidRPr="001632C4" w:rsidRDefault="007B2181">
            <w:pPr>
              <w:jc w:val="center"/>
              <w:rPr>
                <w:b/>
                <w:bCs/>
                <w:color w:val="000000"/>
                <w:lang w:val="en-US"/>
              </w:rPr>
            </w:pPr>
            <w:r w:rsidRPr="001632C4">
              <w:rPr>
                <w:b/>
                <w:bCs/>
                <w:color w:val="000000"/>
                <w:lang w:val="en-US"/>
              </w:rPr>
              <w:t>Gaussian</w:t>
            </w:r>
          </w:p>
        </w:tc>
        <w:tc>
          <w:tcPr>
            <w:tcW w:w="2315" w:type="dxa"/>
            <w:tcBorders>
              <w:top w:val="nil"/>
              <w:left w:val="nil"/>
              <w:bottom w:val="nil"/>
              <w:right w:val="single" w:sz="4" w:space="0" w:color="auto"/>
            </w:tcBorders>
            <w:shd w:val="clear" w:color="auto" w:fill="auto"/>
            <w:noWrap/>
            <w:vAlign w:val="bottom"/>
            <w:hideMark/>
          </w:tcPr>
          <w:p w14:paraId="20D7C7FE" w14:textId="77777777" w:rsidR="007B2181" w:rsidRPr="001632C4" w:rsidRDefault="007B2181">
            <w:pPr>
              <w:jc w:val="center"/>
              <w:rPr>
                <w:color w:val="000000"/>
                <w:lang w:val="en-US"/>
              </w:rPr>
            </w:pPr>
            <w:r w:rsidRPr="001632C4">
              <w:rPr>
                <w:color w:val="000000"/>
                <w:lang w:val="en-US"/>
              </w:rPr>
              <w:t>Amplitude (C)</w:t>
            </w:r>
          </w:p>
        </w:tc>
        <w:tc>
          <w:tcPr>
            <w:tcW w:w="560" w:type="dxa"/>
            <w:tcBorders>
              <w:top w:val="nil"/>
              <w:left w:val="nil"/>
              <w:bottom w:val="nil"/>
              <w:right w:val="nil"/>
            </w:tcBorders>
            <w:shd w:val="clear" w:color="auto" w:fill="auto"/>
            <w:noWrap/>
            <w:vAlign w:val="bottom"/>
            <w:hideMark/>
          </w:tcPr>
          <w:p w14:paraId="112012E0" w14:textId="5FE02055" w:rsidR="007B2181" w:rsidRPr="001632C4" w:rsidRDefault="007B2181">
            <w:pPr>
              <w:jc w:val="center"/>
              <w:rPr>
                <w:color w:val="000000"/>
                <w:lang w:val="en-US"/>
              </w:rPr>
            </w:pPr>
            <w:r w:rsidRPr="001632C4">
              <w:rPr>
                <w:color w:val="000000"/>
                <w:lang w:val="en-US"/>
              </w:rPr>
              <w:t>0.1</w:t>
            </w:r>
            <w:r w:rsidR="00F73074">
              <w:rPr>
                <w:color w:val="000000"/>
                <w:lang w:val="en-US"/>
              </w:rPr>
              <w:t>7</w:t>
            </w:r>
          </w:p>
        </w:tc>
        <w:tc>
          <w:tcPr>
            <w:tcW w:w="1381" w:type="dxa"/>
            <w:tcBorders>
              <w:top w:val="nil"/>
              <w:left w:val="nil"/>
              <w:bottom w:val="nil"/>
              <w:right w:val="nil"/>
            </w:tcBorders>
            <w:shd w:val="clear" w:color="auto" w:fill="auto"/>
            <w:noWrap/>
            <w:vAlign w:val="bottom"/>
            <w:hideMark/>
          </w:tcPr>
          <w:p w14:paraId="1680C650" w14:textId="541A30FA" w:rsidR="007B2181" w:rsidRPr="001632C4" w:rsidRDefault="007B2181">
            <w:pPr>
              <w:jc w:val="center"/>
              <w:rPr>
                <w:color w:val="000000"/>
                <w:lang w:val="en-US"/>
              </w:rPr>
            </w:pPr>
            <w:r w:rsidRPr="001632C4">
              <w:rPr>
                <w:color w:val="000000"/>
                <w:lang w:val="en-US"/>
              </w:rPr>
              <w:t>0.</w:t>
            </w:r>
            <w:r w:rsidR="00D678F2">
              <w:rPr>
                <w:color w:val="000000"/>
                <w:lang w:val="en-US"/>
              </w:rPr>
              <w:t>034</w:t>
            </w:r>
          </w:p>
        </w:tc>
        <w:tc>
          <w:tcPr>
            <w:tcW w:w="680" w:type="dxa"/>
            <w:tcBorders>
              <w:top w:val="nil"/>
              <w:left w:val="nil"/>
              <w:bottom w:val="nil"/>
              <w:right w:val="nil"/>
            </w:tcBorders>
            <w:shd w:val="clear" w:color="auto" w:fill="auto"/>
            <w:noWrap/>
            <w:vAlign w:val="bottom"/>
            <w:hideMark/>
          </w:tcPr>
          <w:p w14:paraId="6544A19C" w14:textId="5A488691" w:rsidR="007B2181" w:rsidRPr="001632C4" w:rsidRDefault="007B2181">
            <w:pPr>
              <w:jc w:val="center"/>
              <w:rPr>
                <w:color w:val="000000"/>
                <w:lang w:val="en-US"/>
              </w:rPr>
            </w:pPr>
            <w:r w:rsidRPr="001632C4">
              <w:rPr>
                <w:color w:val="000000"/>
                <w:lang w:val="en-US"/>
              </w:rPr>
              <w:t>0.0</w:t>
            </w:r>
            <w:r w:rsidR="00D60219">
              <w:rPr>
                <w:color w:val="000000"/>
                <w:lang w:val="en-US"/>
              </w:rPr>
              <w:t>17</w:t>
            </w:r>
          </w:p>
        </w:tc>
        <w:tc>
          <w:tcPr>
            <w:tcW w:w="1071" w:type="dxa"/>
            <w:tcBorders>
              <w:top w:val="nil"/>
              <w:left w:val="nil"/>
              <w:bottom w:val="nil"/>
              <w:right w:val="single" w:sz="4" w:space="0" w:color="auto"/>
            </w:tcBorders>
            <w:shd w:val="clear" w:color="auto" w:fill="auto"/>
            <w:noWrap/>
            <w:vAlign w:val="bottom"/>
            <w:hideMark/>
          </w:tcPr>
          <w:p w14:paraId="14F8C081" w14:textId="3426C5FC" w:rsidR="007B2181" w:rsidRPr="001632C4" w:rsidRDefault="007B2181">
            <w:pPr>
              <w:jc w:val="center"/>
              <w:rPr>
                <w:color w:val="000000"/>
                <w:lang w:val="en-US"/>
              </w:rPr>
            </w:pPr>
            <w:r w:rsidRPr="001632C4">
              <w:rPr>
                <w:color w:val="000000"/>
                <w:lang w:val="en-US"/>
              </w:rPr>
              <w:t>0.00</w:t>
            </w:r>
            <w:r w:rsidR="00AE002C">
              <w:rPr>
                <w:color w:val="000000"/>
                <w:lang w:val="en-US"/>
              </w:rPr>
              <w:t>4</w:t>
            </w:r>
          </w:p>
        </w:tc>
        <w:tc>
          <w:tcPr>
            <w:tcW w:w="370" w:type="dxa"/>
            <w:tcBorders>
              <w:top w:val="nil"/>
              <w:left w:val="nil"/>
              <w:bottom w:val="nil"/>
              <w:right w:val="nil"/>
            </w:tcBorders>
            <w:shd w:val="clear" w:color="auto" w:fill="auto"/>
            <w:noWrap/>
            <w:vAlign w:val="bottom"/>
            <w:hideMark/>
          </w:tcPr>
          <w:p w14:paraId="25FDDEBF" w14:textId="77777777" w:rsidR="007B2181" w:rsidRPr="001632C4" w:rsidRDefault="007B2181">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1756FC9D" w14:textId="207F525D" w:rsidR="007B2181" w:rsidRPr="001632C4" w:rsidRDefault="007B2181">
            <w:pPr>
              <w:jc w:val="center"/>
              <w:rPr>
                <w:color w:val="000000"/>
                <w:lang w:val="en-US"/>
              </w:rPr>
            </w:pPr>
            <w:r w:rsidRPr="001632C4">
              <w:rPr>
                <w:color w:val="000000"/>
                <w:lang w:val="en-US"/>
              </w:rPr>
              <w:t>0.00</w:t>
            </w:r>
            <w:r w:rsidR="00446603">
              <w:rPr>
                <w:color w:val="000000"/>
                <w:lang w:val="en-US"/>
              </w:rPr>
              <w:t>6</w:t>
            </w:r>
          </w:p>
        </w:tc>
      </w:tr>
      <w:tr w:rsidR="00682508" w:rsidRPr="001632C4" w14:paraId="2ED833B6" w14:textId="77777777" w:rsidTr="00682508">
        <w:trPr>
          <w:trHeight w:val="320"/>
          <w:jc w:val="center"/>
        </w:trPr>
        <w:tc>
          <w:tcPr>
            <w:tcW w:w="1218" w:type="dxa"/>
            <w:vMerge/>
            <w:tcBorders>
              <w:top w:val="nil"/>
              <w:left w:val="single" w:sz="4" w:space="0" w:color="auto"/>
              <w:bottom w:val="single" w:sz="4" w:space="0" w:color="000000"/>
              <w:right w:val="single" w:sz="4" w:space="0" w:color="auto"/>
            </w:tcBorders>
            <w:vAlign w:val="center"/>
            <w:hideMark/>
          </w:tcPr>
          <w:p w14:paraId="667CC9ED" w14:textId="77777777" w:rsidR="007B2181" w:rsidRPr="001632C4" w:rsidRDefault="007B2181">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5C5B6A21" w14:textId="77777777" w:rsidR="007B2181" w:rsidRPr="001632C4" w:rsidRDefault="007B2181">
            <w:pPr>
              <w:jc w:val="center"/>
              <w:rPr>
                <w:color w:val="000000"/>
                <w:lang w:val="en-US"/>
              </w:rPr>
            </w:pPr>
            <w:r w:rsidRPr="001632C4">
              <w:rPr>
                <w:color w:val="000000"/>
                <w:lang w:val="en-US"/>
              </w:rPr>
              <w:t>Center (V)</w:t>
            </w:r>
          </w:p>
        </w:tc>
        <w:tc>
          <w:tcPr>
            <w:tcW w:w="560" w:type="dxa"/>
            <w:tcBorders>
              <w:top w:val="nil"/>
              <w:left w:val="nil"/>
              <w:bottom w:val="nil"/>
              <w:right w:val="nil"/>
            </w:tcBorders>
            <w:shd w:val="clear" w:color="auto" w:fill="auto"/>
            <w:noWrap/>
            <w:vAlign w:val="bottom"/>
            <w:hideMark/>
          </w:tcPr>
          <w:p w14:paraId="3A035672" w14:textId="60D205AD" w:rsidR="007B2181" w:rsidRPr="001632C4" w:rsidRDefault="007B2181">
            <w:pPr>
              <w:jc w:val="center"/>
              <w:rPr>
                <w:color w:val="000000"/>
                <w:lang w:val="en-US"/>
              </w:rPr>
            </w:pPr>
            <w:r w:rsidRPr="001632C4">
              <w:rPr>
                <w:color w:val="000000"/>
                <w:lang w:val="en-US"/>
              </w:rPr>
              <w:t>0.3</w:t>
            </w:r>
            <w:r w:rsidR="00F73074">
              <w:rPr>
                <w:color w:val="000000"/>
                <w:lang w:val="en-US"/>
              </w:rPr>
              <w:t>0</w:t>
            </w:r>
          </w:p>
        </w:tc>
        <w:tc>
          <w:tcPr>
            <w:tcW w:w="1381" w:type="dxa"/>
            <w:tcBorders>
              <w:top w:val="nil"/>
              <w:left w:val="nil"/>
              <w:bottom w:val="nil"/>
              <w:right w:val="nil"/>
            </w:tcBorders>
            <w:shd w:val="clear" w:color="auto" w:fill="auto"/>
            <w:noWrap/>
            <w:vAlign w:val="bottom"/>
            <w:hideMark/>
          </w:tcPr>
          <w:p w14:paraId="2D1820D1" w14:textId="79910B43" w:rsidR="007B2181" w:rsidRPr="001632C4" w:rsidRDefault="007B2181">
            <w:pPr>
              <w:jc w:val="center"/>
              <w:rPr>
                <w:color w:val="000000"/>
                <w:lang w:val="en-US"/>
              </w:rPr>
            </w:pPr>
            <w:r w:rsidRPr="001632C4">
              <w:rPr>
                <w:color w:val="000000"/>
                <w:lang w:val="en-US"/>
              </w:rPr>
              <w:t>0.2</w:t>
            </w:r>
            <w:r w:rsidR="006F70D7">
              <w:rPr>
                <w:color w:val="000000"/>
                <w:lang w:val="en-US"/>
              </w:rPr>
              <w:t>9</w:t>
            </w:r>
          </w:p>
        </w:tc>
        <w:tc>
          <w:tcPr>
            <w:tcW w:w="680" w:type="dxa"/>
            <w:tcBorders>
              <w:top w:val="nil"/>
              <w:left w:val="nil"/>
              <w:bottom w:val="nil"/>
              <w:right w:val="nil"/>
            </w:tcBorders>
            <w:shd w:val="clear" w:color="auto" w:fill="auto"/>
            <w:noWrap/>
            <w:vAlign w:val="bottom"/>
            <w:hideMark/>
          </w:tcPr>
          <w:p w14:paraId="11AFBDC2" w14:textId="1AFA0B73" w:rsidR="007B2181" w:rsidRPr="001632C4" w:rsidRDefault="007B2181">
            <w:pPr>
              <w:jc w:val="center"/>
              <w:rPr>
                <w:color w:val="000000"/>
                <w:lang w:val="en-US"/>
              </w:rPr>
            </w:pPr>
            <w:r w:rsidRPr="001632C4">
              <w:rPr>
                <w:color w:val="000000"/>
                <w:lang w:val="en-US"/>
              </w:rPr>
              <w:t>0.2</w:t>
            </w:r>
            <w:r w:rsidR="006F70D7">
              <w:rPr>
                <w:color w:val="000000"/>
                <w:lang w:val="en-US"/>
              </w:rPr>
              <w:t>8</w:t>
            </w:r>
          </w:p>
        </w:tc>
        <w:tc>
          <w:tcPr>
            <w:tcW w:w="1071" w:type="dxa"/>
            <w:tcBorders>
              <w:top w:val="nil"/>
              <w:left w:val="nil"/>
              <w:bottom w:val="nil"/>
              <w:right w:val="single" w:sz="4" w:space="0" w:color="auto"/>
            </w:tcBorders>
            <w:shd w:val="clear" w:color="auto" w:fill="auto"/>
            <w:noWrap/>
            <w:vAlign w:val="bottom"/>
            <w:hideMark/>
          </w:tcPr>
          <w:p w14:paraId="1E0F6810" w14:textId="66A70664" w:rsidR="007B2181" w:rsidRPr="001632C4" w:rsidRDefault="007B2181">
            <w:pPr>
              <w:jc w:val="center"/>
              <w:rPr>
                <w:color w:val="000000"/>
                <w:lang w:val="en-US"/>
              </w:rPr>
            </w:pPr>
            <w:r w:rsidRPr="001632C4">
              <w:rPr>
                <w:color w:val="000000"/>
                <w:lang w:val="en-US"/>
              </w:rPr>
              <w:t>0.2</w:t>
            </w:r>
            <w:r w:rsidR="006F70D7">
              <w:rPr>
                <w:color w:val="000000"/>
                <w:lang w:val="en-US"/>
              </w:rPr>
              <w:t>8</w:t>
            </w:r>
          </w:p>
        </w:tc>
        <w:tc>
          <w:tcPr>
            <w:tcW w:w="370" w:type="dxa"/>
            <w:tcBorders>
              <w:top w:val="nil"/>
              <w:left w:val="nil"/>
              <w:bottom w:val="nil"/>
              <w:right w:val="nil"/>
            </w:tcBorders>
            <w:shd w:val="clear" w:color="auto" w:fill="auto"/>
            <w:noWrap/>
            <w:vAlign w:val="bottom"/>
            <w:hideMark/>
          </w:tcPr>
          <w:p w14:paraId="5017E436" w14:textId="77777777" w:rsidR="007B2181" w:rsidRPr="001632C4" w:rsidRDefault="007B2181">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3F9AC083" w14:textId="1AA8274E" w:rsidR="007B2181" w:rsidRPr="001632C4" w:rsidRDefault="007B2181">
            <w:pPr>
              <w:jc w:val="center"/>
              <w:rPr>
                <w:color w:val="000000"/>
                <w:lang w:val="en-US"/>
              </w:rPr>
            </w:pPr>
            <w:r w:rsidRPr="001632C4">
              <w:rPr>
                <w:color w:val="000000"/>
                <w:lang w:val="en-US"/>
              </w:rPr>
              <w:t>0.2</w:t>
            </w:r>
            <w:r w:rsidR="00446603">
              <w:rPr>
                <w:color w:val="000000"/>
                <w:lang w:val="en-US"/>
              </w:rPr>
              <w:t>9</w:t>
            </w:r>
          </w:p>
        </w:tc>
      </w:tr>
      <w:tr w:rsidR="00682508" w:rsidRPr="001632C4" w14:paraId="21CA444B" w14:textId="77777777" w:rsidTr="00682508">
        <w:trPr>
          <w:trHeight w:val="320"/>
          <w:jc w:val="center"/>
        </w:trPr>
        <w:tc>
          <w:tcPr>
            <w:tcW w:w="1218" w:type="dxa"/>
            <w:vMerge/>
            <w:tcBorders>
              <w:top w:val="nil"/>
              <w:left w:val="single" w:sz="4" w:space="0" w:color="auto"/>
              <w:bottom w:val="single" w:sz="4" w:space="0" w:color="000000"/>
              <w:right w:val="single" w:sz="4" w:space="0" w:color="auto"/>
            </w:tcBorders>
            <w:vAlign w:val="center"/>
            <w:hideMark/>
          </w:tcPr>
          <w:p w14:paraId="3744A9F4" w14:textId="77777777" w:rsidR="007B2181" w:rsidRPr="001632C4" w:rsidRDefault="007B2181">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6038D180" w14:textId="77777777" w:rsidR="007B2181" w:rsidRPr="001632C4" w:rsidRDefault="007B2181">
            <w:pPr>
              <w:jc w:val="center"/>
              <w:rPr>
                <w:color w:val="000000"/>
                <w:lang w:val="en-US"/>
              </w:rPr>
            </w:pPr>
            <w:r w:rsidRPr="001632C4">
              <w:rPr>
                <w:color w:val="000000"/>
                <w:lang w:val="en-US"/>
              </w:rPr>
              <w:t>Sigma</w:t>
            </w:r>
          </w:p>
        </w:tc>
        <w:tc>
          <w:tcPr>
            <w:tcW w:w="560" w:type="dxa"/>
            <w:tcBorders>
              <w:top w:val="nil"/>
              <w:left w:val="nil"/>
              <w:bottom w:val="nil"/>
              <w:right w:val="nil"/>
            </w:tcBorders>
            <w:shd w:val="clear" w:color="auto" w:fill="auto"/>
            <w:noWrap/>
            <w:vAlign w:val="bottom"/>
            <w:hideMark/>
          </w:tcPr>
          <w:p w14:paraId="7ECA0FDC" w14:textId="77777777" w:rsidR="007B2181" w:rsidRPr="001632C4" w:rsidRDefault="007B2181">
            <w:pPr>
              <w:jc w:val="center"/>
              <w:rPr>
                <w:color w:val="000000"/>
                <w:lang w:val="en-US"/>
              </w:rPr>
            </w:pPr>
            <w:r w:rsidRPr="001632C4">
              <w:rPr>
                <w:color w:val="000000"/>
                <w:lang w:val="en-US"/>
              </w:rPr>
              <w:t>0.05</w:t>
            </w:r>
          </w:p>
        </w:tc>
        <w:tc>
          <w:tcPr>
            <w:tcW w:w="1381" w:type="dxa"/>
            <w:tcBorders>
              <w:top w:val="nil"/>
              <w:left w:val="nil"/>
              <w:bottom w:val="nil"/>
              <w:right w:val="nil"/>
            </w:tcBorders>
            <w:shd w:val="clear" w:color="auto" w:fill="auto"/>
            <w:noWrap/>
            <w:vAlign w:val="bottom"/>
            <w:hideMark/>
          </w:tcPr>
          <w:p w14:paraId="28CF6E7F" w14:textId="56DB2758" w:rsidR="007B2181" w:rsidRPr="001632C4" w:rsidRDefault="007B2181">
            <w:pPr>
              <w:jc w:val="center"/>
              <w:rPr>
                <w:color w:val="000000"/>
                <w:lang w:val="en-US"/>
              </w:rPr>
            </w:pPr>
            <w:r w:rsidRPr="001632C4">
              <w:rPr>
                <w:color w:val="000000"/>
                <w:lang w:val="en-US"/>
              </w:rPr>
              <w:t>0.0</w:t>
            </w:r>
            <w:r w:rsidR="00D678F2">
              <w:rPr>
                <w:color w:val="000000"/>
                <w:lang w:val="en-US"/>
              </w:rPr>
              <w:t>4</w:t>
            </w:r>
          </w:p>
        </w:tc>
        <w:tc>
          <w:tcPr>
            <w:tcW w:w="680" w:type="dxa"/>
            <w:tcBorders>
              <w:top w:val="nil"/>
              <w:left w:val="nil"/>
              <w:bottom w:val="nil"/>
              <w:right w:val="nil"/>
            </w:tcBorders>
            <w:shd w:val="clear" w:color="auto" w:fill="auto"/>
            <w:noWrap/>
            <w:vAlign w:val="bottom"/>
            <w:hideMark/>
          </w:tcPr>
          <w:p w14:paraId="38CED67A" w14:textId="77777777" w:rsidR="007B2181" w:rsidRPr="001632C4" w:rsidRDefault="007B2181">
            <w:pPr>
              <w:jc w:val="center"/>
              <w:rPr>
                <w:color w:val="000000"/>
                <w:lang w:val="en-US"/>
              </w:rPr>
            </w:pPr>
            <w:r w:rsidRPr="001632C4">
              <w:rPr>
                <w:color w:val="000000"/>
                <w:lang w:val="en-US"/>
              </w:rPr>
              <w:t>0.04</w:t>
            </w:r>
          </w:p>
        </w:tc>
        <w:tc>
          <w:tcPr>
            <w:tcW w:w="1071" w:type="dxa"/>
            <w:tcBorders>
              <w:top w:val="nil"/>
              <w:left w:val="nil"/>
              <w:bottom w:val="nil"/>
              <w:right w:val="single" w:sz="4" w:space="0" w:color="auto"/>
            </w:tcBorders>
            <w:shd w:val="clear" w:color="auto" w:fill="auto"/>
            <w:noWrap/>
            <w:vAlign w:val="bottom"/>
            <w:hideMark/>
          </w:tcPr>
          <w:p w14:paraId="7206E613" w14:textId="6CA59A3E" w:rsidR="007B2181" w:rsidRPr="001632C4" w:rsidRDefault="007B2181">
            <w:pPr>
              <w:jc w:val="center"/>
              <w:rPr>
                <w:color w:val="000000"/>
                <w:lang w:val="en-US"/>
              </w:rPr>
            </w:pPr>
            <w:r w:rsidRPr="001632C4">
              <w:rPr>
                <w:color w:val="000000"/>
                <w:lang w:val="en-US"/>
              </w:rPr>
              <w:t>0.0</w:t>
            </w:r>
            <w:r w:rsidR="00AE002C">
              <w:rPr>
                <w:color w:val="000000"/>
                <w:lang w:val="en-US"/>
              </w:rPr>
              <w:t>6</w:t>
            </w:r>
          </w:p>
        </w:tc>
        <w:tc>
          <w:tcPr>
            <w:tcW w:w="370" w:type="dxa"/>
            <w:tcBorders>
              <w:top w:val="nil"/>
              <w:left w:val="nil"/>
              <w:bottom w:val="nil"/>
              <w:right w:val="nil"/>
            </w:tcBorders>
            <w:shd w:val="clear" w:color="auto" w:fill="auto"/>
            <w:noWrap/>
            <w:vAlign w:val="bottom"/>
            <w:hideMark/>
          </w:tcPr>
          <w:p w14:paraId="0DB56C5A" w14:textId="77777777" w:rsidR="007B2181" w:rsidRPr="001632C4" w:rsidRDefault="007B2181">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040A7F82" w14:textId="77777777" w:rsidR="007B2181" w:rsidRPr="001632C4" w:rsidRDefault="007B2181">
            <w:pPr>
              <w:jc w:val="center"/>
              <w:rPr>
                <w:color w:val="000000"/>
                <w:lang w:val="en-US"/>
              </w:rPr>
            </w:pPr>
            <w:r w:rsidRPr="001632C4">
              <w:rPr>
                <w:color w:val="000000"/>
                <w:lang w:val="en-US"/>
              </w:rPr>
              <w:t>0.05</w:t>
            </w:r>
          </w:p>
        </w:tc>
      </w:tr>
      <w:tr w:rsidR="00682508" w:rsidRPr="001632C4" w14:paraId="1CC370AC" w14:textId="77777777" w:rsidTr="00682508">
        <w:trPr>
          <w:trHeight w:val="320"/>
          <w:jc w:val="center"/>
        </w:trPr>
        <w:tc>
          <w:tcPr>
            <w:tcW w:w="1218" w:type="dxa"/>
            <w:vMerge/>
            <w:tcBorders>
              <w:top w:val="nil"/>
              <w:left w:val="single" w:sz="4" w:space="0" w:color="auto"/>
              <w:bottom w:val="single" w:sz="4" w:space="0" w:color="000000"/>
              <w:right w:val="single" w:sz="4" w:space="0" w:color="auto"/>
            </w:tcBorders>
            <w:vAlign w:val="center"/>
            <w:hideMark/>
          </w:tcPr>
          <w:p w14:paraId="67AAAF36" w14:textId="77777777" w:rsidR="007B2181" w:rsidRPr="001632C4" w:rsidRDefault="007B2181">
            <w:pPr>
              <w:rPr>
                <w:b/>
                <w:bCs/>
                <w:color w:val="000000"/>
                <w:lang w:val="en-US"/>
              </w:rPr>
            </w:pPr>
          </w:p>
        </w:tc>
        <w:tc>
          <w:tcPr>
            <w:tcW w:w="2315" w:type="dxa"/>
            <w:tcBorders>
              <w:top w:val="nil"/>
              <w:left w:val="nil"/>
              <w:bottom w:val="single" w:sz="4" w:space="0" w:color="auto"/>
              <w:right w:val="single" w:sz="4" w:space="0" w:color="auto"/>
            </w:tcBorders>
            <w:shd w:val="clear" w:color="auto" w:fill="auto"/>
            <w:noWrap/>
            <w:vAlign w:val="bottom"/>
            <w:hideMark/>
          </w:tcPr>
          <w:p w14:paraId="1A108CC7" w14:textId="743098F5" w:rsidR="007B2181" w:rsidRPr="001632C4" w:rsidRDefault="007B2181" w:rsidP="00F73074">
            <w:pPr>
              <w:rPr>
                <w:color w:val="000000"/>
                <w:lang w:val="en-US"/>
              </w:rPr>
            </w:pPr>
          </w:p>
        </w:tc>
        <w:tc>
          <w:tcPr>
            <w:tcW w:w="560" w:type="dxa"/>
            <w:tcBorders>
              <w:top w:val="nil"/>
              <w:left w:val="nil"/>
              <w:bottom w:val="single" w:sz="4" w:space="0" w:color="auto"/>
              <w:right w:val="nil"/>
            </w:tcBorders>
            <w:shd w:val="clear" w:color="auto" w:fill="auto"/>
            <w:noWrap/>
            <w:vAlign w:val="bottom"/>
            <w:hideMark/>
          </w:tcPr>
          <w:p w14:paraId="07F55FD3" w14:textId="77777777" w:rsidR="007B2181" w:rsidRPr="001632C4" w:rsidRDefault="007B2181">
            <w:pPr>
              <w:jc w:val="center"/>
              <w:rPr>
                <w:color w:val="000000"/>
                <w:lang w:val="en-US"/>
              </w:rPr>
            </w:pPr>
            <w:r w:rsidRPr="001632C4">
              <w:rPr>
                <w:color w:val="000000"/>
                <w:lang w:val="en-US"/>
              </w:rPr>
              <w:t> </w:t>
            </w:r>
          </w:p>
        </w:tc>
        <w:tc>
          <w:tcPr>
            <w:tcW w:w="1381" w:type="dxa"/>
            <w:tcBorders>
              <w:top w:val="nil"/>
              <w:left w:val="nil"/>
              <w:bottom w:val="single" w:sz="4" w:space="0" w:color="auto"/>
              <w:right w:val="nil"/>
            </w:tcBorders>
            <w:shd w:val="clear" w:color="auto" w:fill="auto"/>
            <w:noWrap/>
            <w:vAlign w:val="bottom"/>
            <w:hideMark/>
          </w:tcPr>
          <w:p w14:paraId="6B69D799" w14:textId="77777777" w:rsidR="007B2181" w:rsidRPr="001632C4" w:rsidRDefault="007B2181">
            <w:pPr>
              <w:jc w:val="center"/>
              <w:rPr>
                <w:color w:val="000000"/>
                <w:lang w:val="en-US"/>
              </w:rPr>
            </w:pPr>
            <w:r w:rsidRPr="001632C4">
              <w:rPr>
                <w:color w:val="000000"/>
                <w:lang w:val="en-US"/>
              </w:rPr>
              <w:t> </w:t>
            </w:r>
          </w:p>
        </w:tc>
        <w:tc>
          <w:tcPr>
            <w:tcW w:w="680" w:type="dxa"/>
            <w:tcBorders>
              <w:top w:val="nil"/>
              <w:left w:val="nil"/>
              <w:bottom w:val="single" w:sz="4" w:space="0" w:color="auto"/>
              <w:right w:val="nil"/>
            </w:tcBorders>
            <w:shd w:val="clear" w:color="auto" w:fill="auto"/>
            <w:noWrap/>
            <w:vAlign w:val="bottom"/>
            <w:hideMark/>
          </w:tcPr>
          <w:p w14:paraId="56810064" w14:textId="77777777" w:rsidR="007B2181" w:rsidRPr="001632C4" w:rsidRDefault="007B2181">
            <w:pPr>
              <w:jc w:val="center"/>
              <w:rPr>
                <w:color w:val="000000"/>
                <w:lang w:val="en-US"/>
              </w:rPr>
            </w:pPr>
            <w:r w:rsidRPr="001632C4">
              <w:rPr>
                <w:color w:val="000000"/>
                <w:lang w:val="en-US"/>
              </w:rPr>
              <w:t> </w:t>
            </w:r>
          </w:p>
        </w:tc>
        <w:tc>
          <w:tcPr>
            <w:tcW w:w="1071" w:type="dxa"/>
            <w:tcBorders>
              <w:top w:val="nil"/>
              <w:left w:val="nil"/>
              <w:bottom w:val="single" w:sz="4" w:space="0" w:color="auto"/>
              <w:right w:val="single" w:sz="4" w:space="0" w:color="auto"/>
            </w:tcBorders>
            <w:shd w:val="clear" w:color="auto" w:fill="auto"/>
            <w:noWrap/>
            <w:vAlign w:val="bottom"/>
            <w:hideMark/>
          </w:tcPr>
          <w:p w14:paraId="2DF8E741" w14:textId="77777777" w:rsidR="007B2181" w:rsidRPr="001632C4" w:rsidRDefault="007B2181">
            <w:pPr>
              <w:jc w:val="center"/>
              <w:rPr>
                <w:color w:val="000000"/>
                <w:lang w:val="en-US"/>
              </w:rPr>
            </w:pPr>
            <w:r w:rsidRPr="001632C4">
              <w:rPr>
                <w:color w:val="000000"/>
                <w:lang w:val="en-US"/>
              </w:rPr>
              <w:t> </w:t>
            </w:r>
          </w:p>
        </w:tc>
        <w:tc>
          <w:tcPr>
            <w:tcW w:w="370" w:type="dxa"/>
            <w:tcBorders>
              <w:top w:val="nil"/>
              <w:left w:val="nil"/>
              <w:bottom w:val="nil"/>
              <w:right w:val="nil"/>
            </w:tcBorders>
            <w:shd w:val="clear" w:color="auto" w:fill="auto"/>
            <w:noWrap/>
            <w:vAlign w:val="bottom"/>
            <w:hideMark/>
          </w:tcPr>
          <w:p w14:paraId="40CC63CF" w14:textId="77777777" w:rsidR="007B2181" w:rsidRPr="001632C4" w:rsidRDefault="007B2181">
            <w:pPr>
              <w:jc w:val="center"/>
              <w:rPr>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14:paraId="7C1DC2B4" w14:textId="77777777" w:rsidR="007B2181" w:rsidRPr="001632C4" w:rsidRDefault="007B2181">
            <w:pPr>
              <w:jc w:val="center"/>
              <w:rPr>
                <w:color w:val="000000"/>
                <w:lang w:val="en-US"/>
              </w:rPr>
            </w:pPr>
            <w:r w:rsidRPr="001632C4">
              <w:rPr>
                <w:color w:val="000000"/>
                <w:lang w:val="en-US"/>
              </w:rPr>
              <w:t> </w:t>
            </w:r>
          </w:p>
        </w:tc>
      </w:tr>
      <w:tr w:rsidR="00682508" w:rsidRPr="001632C4" w14:paraId="513BDF5A" w14:textId="77777777" w:rsidTr="00682508">
        <w:trPr>
          <w:trHeight w:val="320"/>
          <w:jc w:val="center"/>
        </w:trPr>
        <w:tc>
          <w:tcPr>
            <w:tcW w:w="1218" w:type="dxa"/>
            <w:tcBorders>
              <w:top w:val="nil"/>
              <w:left w:val="nil"/>
              <w:bottom w:val="nil"/>
              <w:right w:val="nil"/>
            </w:tcBorders>
            <w:shd w:val="clear" w:color="auto" w:fill="auto"/>
            <w:noWrap/>
            <w:vAlign w:val="bottom"/>
            <w:hideMark/>
          </w:tcPr>
          <w:p w14:paraId="10C644F0" w14:textId="77777777" w:rsidR="007B2181" w:rsidRPr="001632C4" w:rsidRDefault="007B2181">
            <w:pPr>
              <w:jc w:val="center"/>
              <w:rPr>
                <w:color w:val="000000"/>
                <w:lang w:val="en-US"/>
              </w:rPr>
            </w:pPr>
          </w:p>
        </w:tc>
        <w:tc>
          <w:tcPr>
            <w:tcW w:w="2315" w:type="dxa"/>
            <w:tcBorders>
              <w:top w:val="nil"/>
              <w:left w:val="nil"/>
              <w:bottom w:val="nil"/>
              <w:right w:val="nil"/>
            </w:tcBorders>
            <w:shd w:val="clear" w:color="auto" w:fill="auto"/>
            <w:noWrap/>
            <w:vAlign w:val="bottom"/>
            <w:hideMark/>
          </w:tcPr>
          <w:p w14:paraId="214F657C" w14:textId="77777777" w:rsidR="007B2181" w:rsidRPr="001632C4" w:rsidRDefault="007B2181">
            <w:pPr>
              <w:rPr>
                <w:lang w:val="en-US"/>
              </w:rPr>
            </w:pPr>
          </w:p>
        </w:tc>
        <w:tc>
          <w:tcPr>
            <w:tcW w:w="560" w:type="dxa"/>
            <w:tcBorders>
              <w:top w:val="nil"/>
              <w:left w:val="nil"/>
              <w:bottom w:val="nil"/>
              <w:right w:val="nil"/>
            </w:tcBorders>
            <w:shd w:val="clear" w:color="auto" w:fill="auto"/>
            <w:noWrap/>
            <w:vAlign w:val="bottom"/>
            <w:hideMark/>
          </w:tcPr>
          <w:p w14:paraId="7DF505A8" w14:textId="77777777" w:rsidR="007B2181" w:rsidRPr="001632C4" w:rsidRDefault="007B2181">
            <w:pPr>
              <w:rPr>
                <w:lang w:val="en-US"/>
              </w:rPr>
            </w:pPr>
          </w:p>
        </w:tc>
        <w:tc>
          <w:tcPr>
            <w:tcW w:w="1381" w:type="dxa"/>
            <w:tcBorders>
              <w:top w:val="nil"/>
              <w:left w:val="nil"/>
              <w:bottom w:val="nil"/>
              <w:right w:val="nil"/>
            </w:tcBorders>
            <w:shd w:val="clear" w:color="auto" w:fill="auto"/>
            <w:noWrap/>
            <w:vAlign w:val="bottom"/>
            <w:hideMark/>
          </w:tcPr>
          <w:p w14:paraId="3BE70667" w14:textId="77777777" w:rsidR="007B2181" w:rsidRPr="001632C4" w:rsidRDefault="007B2181">
            <w:pPr>
              <w:rPr>
                <w:lang w:val="en-US"/>
              </w:rPr>
            </w:pPr>
          </w:p>
        </w:tc>
        <w:tc>
          <w:tcPr>
            <w:tcW w:w="680" w:type="dxa"/>
            <w:tcBorders>
              <w:top w:val="nil"/>
              <w:left w:val="nil"/>
              <w:bottom w:val="nil"/>
              <w:right w:val="nil"/>
            </w:tcBorders>
            <w:shd w:val="clear" w:color="auto" w:fill="auto"/>
            <w:noWrap/>
            <w:vAlign w:val="bottom"/>
            <w:hideMark/>
          </w:tcPr>
          <w:p w14:paraId="28ED6760" w14:textId="77777777" w:rsidR="007B2181" w:rsidRPr="001632C4" w:rsidRDefault="007B2181">
            <w:pPr>
              <w:rPr>
                <w:lang w:val="en-US"/>
              </w:rPr>
            </w:pPr>
          </w:p>
        </w:tc>
        <w:tc>
          <w:tcPr>
            <w:tcW w:w="1071" w:type="dxa"/>
            <w:tcBorders>
              <w:top w:val="nil"/>
              <w:left w:val="nil"/>
              <w:bottom w:val="nil"/>
              <w:right w:val="nil"/>
            </w:tcBorders>
            <w:shd w:val="clear" w:color="auto" w:fill="auto"/>
            <w:noWrap/>
            <w:vAlign w:val="bottom"/>
            <w:hideMark/>
          </w:tcPr>
          <w:p w14:paraId="36A38C11" w14:textId="77777777" w:rsidR="007B2181" w:rsidRPr="001632C4" w:rsidRDefault="007B2181">
            <w:pPr>
              <w:rPr>
                <w:lang w:val="en-US"/>
              </w:rPr>
            </w:pPr>
          </w:p>
        </w:tc>
        <w:tc>
          <w:tcPr>
            <w:tcW w:w="370" w:type="dxa"/>
            <w:tcBorders>
              <w:top w:val="nil"/>
              <w:left w:val="nil"/>
              <w:bottom w:val="nil"/>
              <w:right w:val="nil"/>
            </w:tcBorders>
            <w:shd w:val="clear" w:color="auto" w:fill="auto"/>
            <w:noWrap/>
            <w:vAlign w:val="bottom"/>
            <w:hideMark/>
          </w:tcPr>
          <w:p w14:paraId="3B4138E0" w14:textId="77777777" w:rsidR="007B2181" w:rsidRPr="001632C4" w:rsidRDefault="007B2181">
            <w:pPr>
              <w:rPr>
                <w:lang w:val="en-US"/>
              </w:rPr>
            </w:pPr>
          </w:p>
        </w:tc>
        <w:tc>
          <w:tcPr>
            <w:tcW w:w="1660" w:type="dxa"/>
            <w:tcBorders>
              <w:top w:val="nil"/>
              <w:left w:val="nil"/>
              <w:bottom w:val="nil"/>
              <w:right w:val="nil"/>
            </w:tcBorders>
            <w:shd w:val="clear" w:color="auto" w:fill="auto"/>
            <w:noWrap/>
            <w:vAlign w:val="bottom"/>
            <w:hideMark/>
          </w:tcPr>
          <w:p w14:paraId="502FB4E7" w14:textId="77777777" w:rsidR="007B2181" w:rsidRPr="001632C4" w:rsidRDefault="007B2181">
            <w:pPr>
              <w:rPr>
                <w:lang w:val="en-US"/>
              </w:rPr>
            </w:pPr>
          </w:p>
        </w:tc>
      </w:tr>
      <w:tr w:rsidR="00682508" w:rsidRPr="001632C4" w14:paraId="4F063341" w14:textId="77777777" w:rsidTr="00CB090E">
        <w:trPr>
          <w:trHeight w:val="320"/>
          <w:jc w:val="center"/>
        </w:trPr>
        <w:tc>
          <w:tcPr>
            <w:tcW w:w="9255"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3D2020" w14:textId="1B9CD6A5" w:rsidR="00682508" w:rsidRPr="001632C4" w:rsidRDefault="00682508" w:rsidP="00682508">
            <w:pPr>
              <w:jc w:val="center"/>
              <w:rPr>
                <w:b/>
                <w:bCs/>
                <w:color w:val="000000"/>
                <w:lang w:val="en-US"/>
              </w:rPr>
            </w:pPr>
            <w:r w:rsidRPr="00036214">
              <w:rPr>
                <w:b/>
                <w:bCs/>
                <w:color w:val="000000"/>
                <w:lang w:val="en-US"/>
              </w:rPr>
              <w:t>Cathodic peak</w:t>
            </w:r>
          </w:p>
        </w:tc>
      </w:tr>
      <w:tr w:rsidR="00682508" w:rsidRPr="001632C4" w14:paraId="23DE3DEE" w14:textId="77777777" w:rsidTr="00682508">
        <w:trPr>
          <w:trHeight w:val="320"/>
          <w:jc w:val="center"/>
        </w:trPr>
        <w:tc>
          <w:tcPr>
            <w:tcW w:w="353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0FC4051F" w14:textId="77777777" w:rsidR="00682508" w:rsidRPr="001632C4" w:rsidRDefault="00682508" w:rsidP="00682508">
            <w:pPr>
              <w:jc w:val="center"/>
              <w:rPr>
                <w:b/>
                <w:bCs/>
                <w:color w:val="000000"/>
                <w:lang w:val="en-US"/>
              </w:rPr>
            </w:pPr>
          </w:p>
        </w:tc>
        <w:tc>
          <w:tcPr>
            <w:tcW w:w="560" w:type="dxa"/>
            <w:tcBorders>
              <w:top w:val="nil"/>
              <w:left w:val="nil"/>
              <w:bottom w:val="single" w:sz="4" w:space="0" w:color="auto"/>
              <w:right w:val="nil"/>
            </w:tcBorders>
            <w:shd w:val="clear" w:color="auto" w:fill="auto"/>
            <w:noWrap/>
            <w:vAlign w:val="bottom"/>
          </w:tcPr>
          <w:p w14:paraId="6E054229" w14:textId="77777777" w:rsidR="00682508" w:rsidRPr="001632C4" w:rsidRDefault="00682508" w:rsidP="00682508">
            <w:pPr>
              <w:jc w:val="center"/>
              <w:rPr>
                <w:b/>
                <w:bCs/>
                <w:color w:val="000000"/>
                <w:lang w:val="en-US"/>
              </w:rPr>
            </w:pPr>
          </w:p>
        </w:tc>
        <w:tc>
          <w:tcPr>
            <w:tcW w:w="1381" w:type="dxa"/>
            <w:tcBorders>
              <w:top w:val="nil"/>
              <w:left w:val="nil"/>
              <w:bottom w:val="single" w:sz="4" w:space="0" w:color="auto"/>
              <w:right w:val="nil"/>
            </w:tcBorders>
            <w:shd w:val="clear" w:color="auto" w:fill="auto"/>
            <w:noWrap/>
            <w:vAlign w:val="center"/>
          </w:tcPr>
          <w:p w14:paraId="5AC81F2C" w14:textId="6352F410" w:rsidR="00682508" w:rsidRPr="001632C4" w:rsidRDefault="00682508" w:rsidP="00682508">
            <w:pPr>
              <w:jc w:val="center"/>
              <w:rPr>
                <w:b/>
                <w:bCs/>
                <w:color w:val="000000"/>
                <w:lang w:val="en-US"/>
              </w:rPr>
            </w:pPr>
            <w:r w:rsidRPr="00534830">
              <w:rPr>
                <w:b/>
                <w:lang w:val="en-US"/>
              </w:rPr>
              <w:t>Au/SC</w:t>
            </w:r>
            <w:r w:rsidRPr="00534830">
              <w:rPr>
                <w:b/>
                <w:vertAlign w:val="subscript"/>
                <w:lang w:val="en-US"/>
              </w:rPr>
              <w:t>11</w:t>
            </w:r>
            <w:r w:rsidRPr="00534830">
              <w:rPr>
                <w:b/>
                <w:lang w:val="en-US"/>
              </w:rPr>
              <w:t>Fc</w:t>
            </w:r>
          </w:p>
        </w:tc>
        <w:tc>
          <w:tcPr>
            <w:tcW w:w="680" w:type="dxa"/>
            <w:tcBorders>
              <w:top w:val="nil"/>
              <w:left w:val="nil"/>
              <w:bottom w:val="single" w:sz="4" w:space="0" w:color="auto"/>
              <w:right w:val="nil"/>
            </w:tcBorders>
            <w:shd w:val="clear" w:color="auto" w:fill="auto"/>
            <w:noWrap/>
            <w:vAlign w:val="bottom"/>
          </w:tcPr>
          <w:p w14:paraId="4A60B3A0" w14:textId="77777777" w:rsidR="00682508" w:rsidRPr="001632C4" w:rsidRDefault="00682508" w:rsidP="00682508">
            <w:pPr>
              <w:jc w:val="center"/>
              <w:rPr>
                <w:b/>
                <w:bCs/>
                <w:color w:val="000000"/>
                <w:lang w:val="en-US"/>
              </w:rPr>
            </w:pPr>
          </w:p>
        </w:tc>
        <w:tc>
          <w:tcPr>
            <w:tcW w:w="1071" w:type="dxa"/>
            <w:tcBorders>
              <w:top w:val="nil"/>
              <w:left w:val="nil"/>
              <w:bottom w:val="single" w:sz="4" w:space="0" w:color="auto"/>
              <w:right w:val="single" w:sz="4" w:space="0" w:color="auto"/>
            </w:tcBorders>
            <w:shd w:val="clear" w:color="auto" w:fill="auto"/>
            <w:noWrap/>
            <w:vAlign w:val="bottom"/>
          </w:tcPr>
          <w:p w14:paraId="7AD7D664" w14:textId="77777777" w:rsidR="00682508" w:rsidRPr="001632C4" w:rsidRDefault="00682508" w:rsidP="00682508">
            <w:pPr>
              <w:jc w:val="center"/>
              <w:rPr>
                <w:b/>
                <w:bCs/>
                <w:color w:val="000000"/>
                <w:lang w:val="en-US"/>
              </w:rPr>
            </w:pPr>
          </w:p>
        </w:tc>
        <w:tc>
          <w:tcPr>
            <w:tcW w:w="370" w:type="dxa"/>
            <w:tcBorders>
              <w:top w:val="nil"/>
              <w:left w:val="nil"/>
              <w:bottom w:val="nil"/>
              <w:right w:val="nil"/>
            </w:tcBorders>
            <w:shd w:val="clear" w:color="auto" w:fill="auto"/>
            <w:noWrap/>
            <w:vAlign w:val="bottom"/>
          </w:tcPr>
          <w:p w14:paraId="4548AF4B" w14:textId="77777777" w:rsidR="00682508" w:rsidRPr="001632C4" w:rsidRDefault="00682508" w:rsidP="00682508">
            <w:pPr>
              <w:jc w:val="center"/>
              <w:rPr>
                <w:b/>
                <w:bCs/>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tcPr>
          <w:p w14:paraId="1079988E" w14:textId="3FCA8673" w:rsidR="00682508" w:rsidRPr="001632C4" w:rsidRDefault="00682508" w:rsidP="00682508">
            <w:pPr>
              <w:jc w:val="center"/>
              <w:rPr>
                <w:b/>
                <w:bCs/>
                <w:color w:val="000000"/>
                <w:lang w:val="en-US"/>
              </w:rPr>
            </w:pPr>
            <w:r w:rsidRPr="00036214">
              <w:rPr>
                <w:b/>
                <w:lang w:val="en-US"/>
              </w:rPr>
              <w:t>Au/SC</w:t>
            </w:r>
            <w:r w:rsidRPr="00036214">
              <w:rPr>
                <w:b/>
                <w:vertAlign w:val="subscript"/>
                <w:lang w:val="en-US"/>
              </w:rPr>
              <w:t>11</w:t>
            </w:r>
            <w:r w:rsidRPr="00036214">
              <w:rPr>
                <w:b/>
                <w:lang w:val="en-US"/>
              </w:rPr>
              <w:t>Fc//Gr</w:t>
            </w:r>
          </w:p>
        </w:tc>
      </w:tr>
      <w:tr w:rsidR="00682508" w:rsidRPr="001632C4" w14:paraId="52FD4CDB" w14:textId="77777777" w:rsidTr="00682508">
        <w:trPr>
          <w:trHeight w:val="320"/>
          <w:jc w:val="center"/>
        </w:trPr>
        <w:tc>
          <w:tcPr>
            <w:tcW w:w="353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BE93754" w14:textId="77777777" w:rsidR="00682508" w:rsidRPr="001632C4" w:rsidRDefault="00682508" w:rsidP="00682508">
            <w:pPr>
              <w:jc w:val="center"/>
              <w:rPr>
                <w:color w:val="000000"/>
                <w:lang w:val="en-US"/>
              </w:rPr>
            </w:pPr>
            <w:r w:rsidRPr="001632C4">
              <w:rPr>
                <w:b/>
                <w:bCs/>
                <w:color w:val="000000"/>
                <w:lang w:val="en-US"/>
              </w:rPr>
              <w:t>Scan rate</w:t>
            </w:r>
            <w:r w:rsidRPr="001632C4">
              <w:rPr>
                <w:color w:val="000000"/>
                <w:lang w:val="en-US"/>
              </w:rPr>
              <w:t xml:space="preserve"> (V/s)</w:t>
            </w:r>
          </w:p>
        </w:tc>
        <w:tc>
          <w:tcPr>
            <w:tcW w:w="560" w:type="dxa"/>
            <w:tcBorders>
              <w:top w:val="nil"/>
              <w:left w:val="nil"/>
              <w:bottom w:val="single" w:sz="4" w:space="0" w:color="auto"/>
              <w:right w:val="nil"/>
            </w:tcBorders>
            <w:shd w:val="clear" w:color="auto" w:fill="auto"/>
            <w:noWrap/>
            <w:vAlign w:val="bottom"/>
            <w:hideMark/>
          </w:tcPr>
          <w:p w14:paraId="7CFC6EDF" w14:textId="77777777" w:rsidR="00682508" w:rsidRPr="001632C4" w:rsidRDefault="00682508" w:rsidP="00682508">
            <w:pPr>
              <w:jc w:val="center"/>
              <w:rPr>
                <w:b/>
                <w:bCs/>
                <w:color w:val="000000"/>
                <w:lang w:val="en-US"/>
              </w:rPr>
            </w:pPr>
            <w:r w:rsidRPr="001632C4">
              <w:rPr>
                <w:b/>
                <w:bCs/>
                <w:color w:val="000000"/>
                <w:lang w:val="en-US"/>
              </w:rPr>
              <w:t>5</w:t>
            </w:r>
          </w:p>
        </w:tc>
        <w:tc>
          <w:tcPr>
            <w:tcW w:w="1381" w:type="dxa"/>
            <w:tcBorders>
              <w:top w:val="nil"/>
              <w:left w:val="nil"/>
              <w:bottom w:val="single" w:sz="4" w:space="0" w:color="auto"/>
              <w:right w:val="nil"/>
            </w:tcBorders>
            <w:shd w:val="clear" w:color="auto" w:fill="auto"/>
            <w:noWrap/>
            <w:vAlign w:val="bottom"/>
            <w:hideMark/>
          </w:tcPr>
          <w:p w14:paraId="7B366DA6" w14:textId="77777777" w:rsidR="00682508" w:rsidRPr="001632C4" w:rsidRDefault="00682508" w:rsidP="00682508">
            <w:pPr>
              <w:jc w:val="center"/>
              <w:rPr>
                <w:b/>
                <w:bCs/>
                <w:color w:val="000000"/>
                <w:lang w:val="en-US"/>
              </w:rPr>
            </w:pPr>
            <w:r w:rsidRPr="001632C4">
              <w:rPr>
                <w:b/>
                <w:bCs/>
                <w:color w:val="000000"/>
                <w:lang w:val="en-US"/>
              </w:rPr>
              <w:t>1</w:t>
            </w:r>
          </w:p>
        </w:tc>
        <w:tc>
          <w:tcPr>
            <w:tcW w:w="680" w:type="dxa"/>
            <w:tcBorders>
              <w:top w:val="nil"/>
              <w:left w:val="nil"/>
              <w:bottom w:val="single" w:sz="4" w:space="0" w:color="auto"/>
              <w:right w:val="nil"/>
            </w:tcBorders>
            <w:shd w:val="clear" w:color="auto" w:fill="auto"/>
            <w:noWrap/>
            <w:vAlign w:val="bottom"/>
            <w:hideMark/>
          </w:tcPr>
          <w:p w14:paraId="72197742" w14:textId="77777777" w:rsidR="00682508" w:rsidRPr="001632C4" w:rsidRDefault="00682508" w:rsidP="00682508">
            <w:pPr>
              <w:jc w:val="center"/>
              <w:rPr>
                <w:b/>
                <w:bCs/>
                <w:color w:val="000000"/>
                <w:lang w:val="en-US"/>
              </w:rPr>
            </w:pPr>
            <w:r w:rsidRPr="001632C4">
              <w:rPr>
                <w:b/>
                <w:bCs/>
                <w:color w:val="000000"/>
                <w:lang w:val="en-US"/>
              </w:rPr>
              <w:t>0.5</w:t>
            </w:r>
          </w:p>
        </w:tc>
        <w:tc>
          <w:tcPr>
            <w:tcW w:w="1071" w:type="dxa"/>
            <w:tcBorders>
              <w:top w:val="nil"/>
              <w:left w:val="nil"/>
              <w:bottom w:val="single" w:sz="4" w:space="0" w:color="auto"/>
              <w:right w:val="single" w:sz="4" w:space="0" w:color="auto"/>
            </w:tcBorders>
            <w:shd w:val="clear" w:color="auto" w:fill="auto"/>
            <w:noWrap/>
            <w:vAlign w:val="bottom"/>
            <w:hideMark/>
          </w:tcPr>
          <w:p w14:paraId="560105DA" w14:textId="77777777" w:rsidR="00682508" w:rsidRPr="001632C4" w:rsidRDefault="00682508" w:rsidP="00682508">
            <w:pPr>
              <w:jc w:val="center"/>
              <w:rPr>
                <w:b/>
                <w:bCs/>
                <w:color w:val="000000"/>
                <w:lang w:val="en-US"/>
              </w:rPr>
            </w:pPr>
            <w:r w:rsidRPr="001632C4">
              <w:rPr>
                <w:b/>
                <w:bCs/>
                <w:color w:val="000000"/>
                <w:lang w:val="en-US"/>
              </w:rPr>
              <w:t>0.1</w:t>
            </w:r>
          </w:p>
        </w:tc>
        <w:tc>
          <w:tcPr>
            <w:tcW w:w="370" w:type="dxa"/>
            <w:tcBorders>
              <w:top w:val="nil"/>
              <w:left w:val="nil"/>
              <w:bottom w:val="nil"/>
              <w:right w:val="nil"/>
            </w:tcBorders>
            <w:shd w:val="clear" w:color="auto" w:fill="auto"/>
            <w:noWrap/>
            <w:vAlign w:val="bottom"/>
            <w:hideMark/>
          </w:tcPr>
          <w:p w14:paraId="004A652D" w14:textId="77777777" w:rsidR="00682508" w:rsidRPr="001632C4" w:rsidRDefault="00682508" w:rsidP="00682508">
            <w:pPr>
              <w:jc w:val="center"/>
              <w:rPr>
                <w:b/>
                <w:bCs/>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14:paraId="41180ED1" w14:textId="77777777" w:rsidR="00682508" w:rsidRPr="001632C4" w:rsidRDefault="00682508" w:rsidP="00682508">
            <w:pPr>
              <w:jc w:val="center"/>
              <w:rPr>
                <w:b/>
                <w:bCs/>
                <w:color w:val="000000"/>
                <w:lang w:val="en-US"/>
              </w:rPr>
            </w:pPr>
            <w:r w:rsidRPr="001632C4">
              <w:rPr>
                <w:b/>
                <w:bCs/>
                <w:color w:val="000000"/>
                <w:lang w:val="en-US"/>
              </w:rPr>
              <w:t>1</w:t>
            </w:r>
          </w:p>
        </w:tc>
      </w:tr>
      <w:tr w:rsidR="00682508" w:rsidRPr="001632C4" w14:paraId="4C44CAD0" w14:textId="77777777" w:rsidTr="00682508">
        <w:trPr>
          <w:trHeight w:val="320"/>
          <w:jc w:val="center"/>
        </w:trPr>
        <w:tc>
          <w:tcPr>
            <w:tcW w:w="1218" w:type="dxa"/>
            <w:vMerge w:val="restart"/>
            <w:tcBorders>
              <w:top w:val="nil"/>
              <w:left w:val="single" w:sz="4" w:space="0" w:color="auto"/>
              <w:bottom w:val="nil"/>
              <w:right w:val="single" w:sz="4" w:space="0" w:color="auto"/>
            </w:tcBorders>
            <w:shd w:val="clear" w:color="auto" w:fill="auto"/>
            <w:noWrap/>
            <w:vAlign w:val="center"/>
            <w:hideMark/>
          </w:tcPr>
          <w:p w14:paraId="5A7A491F" w14:textId="77777777" w:rsidR="00682508" w:rsidRPr="001632C4" w:rsidRDefault="00682508" w:rsidP="00682508">
            <w:pPr>
              <w:jc w:val="center"/>
              <w:rPr>
                <w:b/>
                <w:bCs/>
                <w:color w:val="000000"/>
                <w:lang w:val="en-US"/>
              </w:rPr>
            </w:pPr>
            <w:r w:rsidRPr="001632C4">
              <w:rPr>
                <w:b/>
                <w:bCs/>
                <w:color w:val="000000"/>
                <w:lang w:val="en-US"/>
              </w:rPr>
              <w:t>Step</w:t>
            </w:r>
          </w:p>
        </w:tc>
        <w:tc>
          <w:tcPr>
            <w:tcW w:w="2315" w:type="dxa"/>
            <w:tcBorders>
              <w:top w:val="nil"/>
              <w:left w:val="nil"/>
              <w:bottom w:val="nil"/>
              <w:right w:val="single" w:sz="4" w:space="0" w:color="auto"/>
            </w:tcBorders>
            <w:shd w:val="clear" w:color="auto" w:fill="auto"/>
            <w:noWrap/>
            <w:vAlign w:val="bottom"/>
            <w:hideMark/>
          </w:tcPr>
          <w:p w14:paraId="205402C1" w14:textId="77777777" w:rsidR="00682508" w:rsidRPr="001632C4" w:rsidRDefault="00682508" w:rsidP="00682508">
            <w:pPr>
              <w:jc w:val="center"/>
              <w:rPr>
                <w:color w:val="000000"/>
                <w:lang w:val="en-US"/>
              </w:rPr>
            </w:pPr>
            <w:r w:rsidRPr="001632C4">
              <w:rPr>
                <w:color w:val="000000"/>
                <w:lang w:val="en-US"/>
              </w:rPr>
              <w:t>Amplitude (C)</w:t>
            </w:r>
          </w:p>
        </w:tc>
        <w:tc>
          <w:tcPr>
            <w:tcW w:w="560" w:type="dxa"/>
            <w:tcBorders>
              <w:top w:val="nil"/>
              <w:left w:val="nil"/>
              <w:bottom w:val="nil"/>
              <w:right w:val="nil"/>
            </w:tcBorders>
            <w:shd w:val="clear" w:color="auto" w:fill="auto"/>
            <w:noWrap/>
            <w:vAlign w:val="bottom"/>
            <w:hideMark/>
          </w:tcPr>
          <w:p w14:paraId="51FA6D72" w14:textId="0A01D5C9" w:rsidR="00682508" w:rsidRPr="001632C4" w:rsidRDefault="00682508" w:rsidP="00682508">
            <w:pPr>
              <w:jc w:val="center"/>
              <w:rPr>
                <w:color w:val="000000"/>
                <w:lang w:val="en-US"/>
              </w:rPr>
            </w:pPr>
            <w:r w:rsidRPr="001632C4">
              <w:rPr>
                <w:color w:val="000000"/>
                <w:lang w:val="en-US"/>
              </w:rPr>
              <w:t>0.1</w:t>
            </w:r>
            <w:r>
              <w:rPr>
                <w:color w:val="000000"/>
                <w:lang w:val="en-US"/>
              </w:rPr>
              <w:t>0</w:t>
            </w:r>
          </w:p>
        </w:tc>
        <w:tc>
          <w:tcPr>
            <w:tcW w:w="1381" w:type="dxa"/>
            <w:tcBorders>
              <w:top w:val="nil"/>
              <w:left w:val="nil"/>
              <w:bottom w:val="nil"/>
              <w:right w:val="nil"/>
            </w:tcBorders>
            <w:shd w:val="clear" w:color="auto" w:fill="auto"/>
            <w:noWrap/>
            <w:vAlign w:val="bottom"/>
            <w:hideMark/>
          </w:tcPr>
          <w:p w14:paraId="0F458542" w14:textId="1FAAA871" w:rsidR="00682508" w:rsidRPr="001632C4" w:rsidRDefault="00682508" w:rsidP="00682508">
            <w:pPr>
              <w:jc w:val="center"/>
              <w:rPr>
                <w:color w:val="000000"/>
                <w:lang w:val="en-US"/>
              </w:rPr>
            </w:pPr>
            <w:r w:rsidRPr="001632C4">
              <w:rPr>
                <w:color w:val="000000"/>
                <w:lang w:val="en-US"/>
              </w:rPr>
              <w:t>0.</w:t>
            </w:r>
            <w:r>
              <w:rPr>
                <w:color w:val="000000"/>
                <w:lang w:val="en-US"/>
              </w:rPr>
              <w:t>05</w:t>
            </w:r>
          </w:p>
        </w:tc>
        <w:tc>
          <w:tcPr>
            <w:tcW w:w="680" w:type="dxa"/>
            <w:tcBorders>
              <w:top w:val="nil"/>
              <w:left w:val="nil"/>
              <w:bottom w:val="nil"/>
              <w:right w:val="nil"/>
            </w:tcBorders>
            <w:shd w:val="clear" w:color="auto" w:fill="auto"/>
            <w:noWrap/>
            <w:vAlign w:val="bottom"/>
            <w:hideMark/>
          </w:tcPr>
          <w:p w14:paraId="7915FC74" w14:textId="62E79627" w:rsidR="00682508" w:rsidRPr="001632C4" w:rsidRDefault="00682508" w:rsidP="00682508">
            <w:pPr>
              <w:jc w:val="center"/>
              <w:rPr>
                <w:color w:val="000000"/>
                <w:lang w:val="en-US"/>
              </w:rPr>
            </w:pPr>
            <w:r w:rsidRPr="001632C4">
              <w:rPr>
                <w:color w:val="000000"/>
                <w:lang w:val="en-US"/>
              </w:rPr>
              <w:t>0.0</w:t>
            </w:r>
            <w:r>
              <w:rPr>
                <w:color w:val="000000"/>
                <w:lang w:val="en-US"/>
              </w:rPr>
              <w:t>3</w:t>
            </w:r>
          </w:p>
        </w:tc>
        <w:tc>
          <w:tcPr>
            <w:tcW w:w="1071" w:type="dxa"/>
            <w:tcBorders>
              <w:top w:val="nil"/>
              <w:left w:val="nil"/>
              <w:bottom w:val="nil"/>
              <w:right w:val="single" w:sz="4" w:space="0" w:color="auto"/>
            </w:tcBorders>
            <w:shd w:val="clear" w:color="auto" w:fill="auto"/>
            <w:noWrap/>
            <w:vAlign w:val="bottom"/>
            <w:hideMark/>
          </w:tcPr>
          <w:p w14:paraId="5B82F948" w14:textId="77777777" w:rsidR="00682508" w:rsidRPr="001632C4" w:rsidRDefault="00682508" w:rsidP="00682508">
            <w:pPr>
              <w:jc w:val="center"/>
              <w:rPr>
                <w:color w:val="000000"/>
                <w:lang w:val="en-US"/>
              </w:rPr>
            </w:pPr>
            <w:r w:rsidRPr="001632C4">
              <w:rPr>
                <w:color w:val="000000"/>
                <w:lang w:val="en-US"/>
              </w:rPr>
              <w:t>0.01</w:t>
            </w:r>
          </w:p>
        </w:tc>
        <w:tc>
          <w:tcPr>
            <w:tcW w:w="370" w:type="dxa"/>
            <w:tcBorders>
              <w:top w:val="nil"/>
              <w:left w:val="nil"/>
              <w:bottom w:val="nil"/>
              <w:right w:val="nil"/>
            </w:tcBorders>
            <w:shd w:val="clear" w:color="auto" w:fill="auto"/>
            <w:noWrap/>
            <w:vAlign w:val="bottom"/>
            <w:hideMark/>
          </w:tcPr>
          <w:p w14:paraId="4AA224D5" w14:textId="77777777" w:rsidR="00682508" w:rsidRPr="001632C4" w:rsidRDefault="00682508" w:rsidP="00682508">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496BEBE0" w14:textId="5B53A482" w:rsidR="00682508" w:rsidRPr="001632C4" w:rsidRDefault="00682508" w:rsidP="00682508">
            <w:pPr>
              <w:jc w:val="center"/>
              <w:rPr>
                <w:color w:val="000000"/>
                <w:lang w:val="en-US"/>
              </w:rPr>
            </w:pPr>
            <w:r w:rsidRPr="001632C4">
              <w:rPr>
                <w:color w:val="000000"/>
                <w:lang w:val="en-US"/>
              </w:rPr>
              <w:t>0.0</w:t>
            </w:r>
            <w:r w:rsidR="00446603">
              <w:rPr>
                <w:color w:val="000000"/>
                <w:lang w:val="en-US"/>
              </w:rPr>
              <w:t>26</w:t>
            </w:r>
          </w:p>
        </w:tc>
      </w:tr>
      <w:tr w:rsidR="00682508" w:rsidRPr="001632C4" w14:paraId="01E1F4B5" w14:textId="77777777" w:rsidTr="00682508">
        <w:trPr>
          <w:trHeight w:val="320"/>
          <w:jc w:val="center"/>
        </w:trPr>
        <w:tc>
          <w:tcPr>
            <w:tcW w:w="1218" w:type="dxa"/>
            <w:vMerge/>
            <w:tcBorders>
              <w:top w:val="nil"/>
              <w:left w:val="single" w:sz="4" w:space="0" w:color="auto"/>
              <w:bottom w:val="nil"/>
              <w:right w:val="single" w:sz="4" w:space="0" w:color="auto"/>
            </w:tcBorders>
            <w:vAlign w:val="center"/>
            <w:hideMark/>
          </w:tcPr>
          <w:p w14:paraId="0625709F" w14:textId="77777777" w:rsidR="00682508" w:rsidRPr="001632C4" w:rsidRDefault="00682508" w:rsidP="00682508">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655E3C2E" w14:textId="77777777" w:rsidR="00682508" w:rsidRPr="001632C4" w:rsidRDefault="00682508" w:rsidP="00682508">
            <w:pPr>
              <w:jc w:val="center"/>
              <w:rPr>
                <w:color w:val="000000"/>
                <w:lang w:val="en-US"/>
              </w:rPr>
            </w:pPr>
            <w:r w:rsidRPr="001632C4">
              <w:rPr>
                <w:color w:val="000000"/>
                <w:lang w:val="en-US"/>
              </w:rPr>
              <w:t>Center (V)</w:t>
            </w:r>
          </w:p>
        </w:tc>
        <w:tc>
          <w:tcPr>
            <w:tcW w:w="560" w:type="dxa"/>
            <w:tcBorders>
              <w:top w:val="nil"/>
              <w:left w:val="nil"/>
              <w:bottom w:val="nil"/>
              <w:right w:val="nil"/>
            </w:tcBorders>
            <w:shd w:val="clear" w:color="auto" w:fill="auto"/>
            <w:noWrap/>
            <w:vAlign w:val="bottom"/>
            <w:hideMark/>
          </w:tcPr>
          <w:p w14:paraId="6B37A84B" w14:textId="347469BD" w:rsidR="00682508" w:rsidRPr="001632C4" w:rsidRDefault="00682508" w:rsidP="00682508">
            <w:pPr>
              <w:jc w:val="center"/>
              <w:rPr>
                <w:color w:val="000000"/>
                <w:lang w:val="en-US"/>
              </w:rPr>
            </w:pPr>
            <w:r w:rsidRPr="001632C4">
              <w:rPr>
                <w:color w:val="000000"/>
                <w:lang w:val="en-US"/>
              </w:rPr>
              <w:t>0.</w:t>
            </w:r>
            <w:r>
              <w:rPr>
                <w:color w:val="000000"/>
                <w:lang w:val="en-US"/>
              </w:rPr>
              <w:t>33</w:t>
            </w:r>
          </w:p>
        </w:tc>
        <w:tc>
          <w:tcPr>
            <w:tcW w:w="1381" w:type="dxa"/>
            <w:tcBorders>
              <w:top w:val="nil"/>
              <w:left w:val="nil"/>
              <w:bottom w:val="nil"/>
              <w:right w:val="nil"/>
            </w:tcBorders>
            <w:shd w:val="clear" w:color="auto" w:fill="auto"/>
            <w:noWrap/>
            <w:vAlign w:val="bottom"/>
            <w:hideMark/>
          </w:tcPr>
          <w:p w14:paraId="5140418D" w14:textId="0F77FD63" w:rsidR="00682508" w:rsidRPr="001632C4" w:rsidRDefault="00682508" w:rsidP="00682508">
            <w:pPr>
              <w:jc w:val="center"/>
              <w:rPr>
                <w:color w:val="000000"/>
                <w:lang w:val="en-US"/>
              </w:rPr>
            </w:pPr>
            <w:r w:rsidRPr="001632C4">
              <w:rPr>
                <w:color w:val="000000"/>
                <w:lang w:val="en-US"/>
              </w:rPr>
              <w:t>0.2</w:t>
            </w:r>
            <w:r>
              <w:rPr>
                <w:color w:val="000000"/>
                <w:lang w:val="en-US"/>
              </w:rPr>
              <w:t>5</w:t>
            </w:r>
          </w:p>
        </w:tc>
        <w:tc>
          <w:tcPr>
            <w:tcW w:w="680" w:type="dxa"/>
            <w:tcBorders>
              <w:top w:val="nil"/>
              <w:left w:val="nil"/>
              <w:bottom w:val="nil"/>
              <w:right w:val="nil"/>
            </w:tcBorders>
            <w:shd w:val="clear" w:color="auto" w:fill="auto"/>
            <w:noWrap/>
            <w:vAlign w:val="bottom"/>
            <w:hideMark/>
          </w:tcPr>
          <w:p w14:paraId="291FA540" w14:textId="42BF8F6F" w:rsidR="00682508" w:rsidRPr="001632C4" w:rsidRDefault="00682508" w:rsidP="00682508">
            <w:pPr>
              <w:jc w:val="center"/>
              <w:rPr>
                <w:color w:val="000000"/>
                <w:lang w:val="en-US"/>
              </w:rPr>
            </w:pPr>
            <w:r w:rsidRPr="001632C4">
              <w:rPr>
                <w:color w:val="000000"/>
                <w:lang w:val="en-US"/>
              </w:rPr>
              <w:t>0.2</w:t>
            </w:r>
            <w:r>
              <w:rPr>
                <w:color w:val="000000"/>
                <w:lang w:val="en-US"/>
              </w:rPr>
              <w:t>8</w:t>
            </w:r>
          </w:p>
        </w:tc>
        <w:tc>
          <w:tcPr>
            <w:tcW w:w="1071" w:type="dxa"/>
            <w:tcBorders>
              <w:top w:val="nil"/>
              <w:left w:val="nil"/>
              <w:bottom w:val="nil"/>
              <w:right w:val="single" w:sz="4" w:space="0" w:color="auto"/>
            </w:tcBorders>
            <w:shd w:val="clear" w:color="auto" w:fill="auto"/>
            <w:noWrap/>
            <w:vAlign w:val="bottom"/>
            <w:hideMark/>
          </w:tcPr>
          <w:p w14:paraId="3E1358B9" w14:textId="4AA4A8A7" w:rsidR="00682508" w:rsidRPr="001632C4" w:rsidRDefault="00682508" w:rsidP="00682508">
            <w:pPr>
              <w:jc w:val="center"/>
              <w:rPr>
                <w:color w:val="000000"/>
                <w:lang w:val="en-US"/>
              </w:rPr>
            </w:pPr>
            <w:r w:rsidRPr="001632C4">
              <w:rPr>
                <w:color w:val="000000"/>
                <w:lang w:val="en-US"/>
              </w:rPr>
              <w:t>0.2</w:t>
            </w:r>
            <w:r>
              <w:rPr>
                <w:color w:val="000000"/>
                <w:lang w:val="en-US"/>
              </w:rPr>
              <w:t>6</w:t>
            </w:r>
          </w:p>
        </w:tc>
        <w:tc>
          <w:tcPr>
            <w:tcW w:w="370" w:type="dxa"/>
            <w:tcBorders>
              <w:top w:val="nil"/>
              <w:left w:val="nil"/>
              <w:bottom w:val="nil"/>
              <w:right w:val="nil"/>
            </w:tcBorders>
            <w:shd w:val="clear" w:color="auto" w:fill="auto"/>
            <w:noWrap/>
            <w:vAlign w:val="bottom"/>
            <w:hideMark/>
          </w:tcPr>
          <w:p w14:paraId="073F8E32" w14:textId="77777777" w:rsidR="00682508" w:rsidRPr="001632C4" w:rsidRDefault="00682508" w:rsidP="00682508">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2C3ED79A" w14:textId="1BC16AC1" w:rsidR="00682508" w:rsidRPr="001632C4" w:rsidRDefault="00682508" w:rsidP="00682508">
            <w:pPr>
              <w:jc w:val="center"/>
              <w:rPr>
                <w:color w:val="000000"/>
                <w:lang w:val="en-US"/>
              </w:rPr>
            </w:pPr>
            <w:r w:rsidRPr="001632C4">
              <w:rPr>
                <w:color w:val="000000"/>
                <w:lang w:val="en-US"/>
              </w:rPr>
              <w:t>0.</w:t>
            </w:r>
            <w:r w:rsidR="00446603">
              <w:rPr>
                <w:color w:val="000000"/>
                <w:lang w:val="en-US"/>
              </w:rPr>
              <w:t>25</w:t>
            </w:r>
          </w:p>
        </w:tc>
      </w:tr>
      <w:tr w:rsidR="00682508" w:rsidRPr="001632C4" w14:paraId="16DF56D5" w14:textId="77777777" w:rsidTr="00682508">
        <w:trPr>
          <w:trHeight w:val="320"/>
          <w:jc w:val="center"/>
        </w:trPr>
        <w:tc>
          <w:tcPr>
            <w:tcW w:w="1218" w:type="dxa"/>
            <w:vMerge/>
            <w:tcBorders>
              <w:top w:val="nil"/>
              <w:left w:val="single" w:sz="4" w:space="0" w:color="auto"/>
              <w:bottom w:val="nil"/>
              <w:right w:val="single" w:sz="4" w:space="0" w:color="auto"/>
            </w:tcBorders>
            <w:vAlign w:val="center"/>
            <w:hideMark/>
          </w:tcPr>
          <w:p w14:paraId="54757B5A" w14:textId="77777777" w:rsidR="00682508" w:rsidRPr="001632C4" w:rsidRDefault="00682508" w:rsidP="00682508">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3A09FCFF" w14:textId="77777777" w:rsidR="00682508" w:rsidRPr="001632C4" w:rsidRDefault="00682508" w:rsidP="00682508">
            <w:pPr>
              <w:jc w:val="center"/>
              <w:rPr>
                <w:color w:val="000000"/>
                <w:lang w:val="en-US"/>
              </w:rPr>
            </w:pPr>
            <w:r w:rsidRPr="001632C4">
              <w:rPr>
                <w:color w:val="000000"/>
                <w:lang w:val="en-US"/>
              </w:rPr>
              <w:t xml:space="preserve">Sigma </w:t>
            </w:r>
          </w:p>
        </w:tc>
        <w:tc>
          <w:tcPr>
            <w:tcW w:w="560" w:type="dxa"/>
            <w:tcBorders>
              <w:top w:val="nil"/>
              <w:left w:val="nil"/>
              <w:bottom w:val="nil"/>
              <w:right w:val="nil"/>
            </w:tcBorders>
            <w:shd w:val="clear" w:color="auto" w:fill="auto"/>
            <w:noWrap/>
            <w:vAlign w:val="bottom"/>
            <w:hideMark/>
          </w:tcPr>
          <w:p w14:paraId="2C3B9030" w14:textId="37AFE040" w:rsidR="00682508" w:rsidRPr="001632C4" w:rsidRDefault="00682508" w:rsidP="00682508">
            <w:pPr>
              <w:jc w:val="center"/>
              <w:rPr>
                <w:color w:val="000000"/>
                <w:lang w:val="en-US"/>
              </w:rPr>
            </w:pPr>
            <w:r w:rsidRPr="001632C4">
              <w:rPr>
                <w:color w:val="000000"/>
                <w:lang w:val="en-US"/>
              </w:rPr>
              <w:t>0.1</w:t>
            </w:r>
            <w:r>
              <w:rPr>
                <w:color w:val="000000"/>
                <w:lang w:val="en-US"/>
              </w:rPr>
              <w:t>5</w:t>
            </w:r>
          </w:p>
        </w:tc>
        <w:tc>
          <w:tcPr>
            <w:tcW w:w="1381" w:type="dxa"/>
            <w:tcBorders>
              <w:top w:val="nil"/>
              <w:left w:val="nil"/>
              <w:bottom w:val="nil"/>
              <w:right w:val="nil"/>
            </w:tcBorders>
            <w:shd w:val="clear" w:color="auto" w:fill="auto"/>
            <w:noWrap/>
            <w:vAlign w:val="bottom"/>
            <w:hideMark/>
          </w:tcPr>
          <w:p w14:paraId="04175B35" w14:textId="38D8935C" w:rsidR="00682508" w:rsidRPr="001632C4" w:rsidRDefault="00682508" w:rsidP="00682508">
            <w:pPr>
              <w:jc w:val="center"/>
              <w:rPr>
                <w:color w:val="000000"/>
                <w:lang w:val="en-US"/>
              </w:rPr>
            </w:pPr>
            <w:r w:rsidRPr="001632C4">
              <w:rPr>
                <w:color w:val="000000"/>
                <w:lang w:val="en-US"/>
              </w:rPr>
              <w:t>0.</w:t>
            </w:r>
            <w:r>
              <w:rPr>
                <w:color w:val="000000"/>
                <w:lang w:val="en-US"/>
              </w:rPr>
              <w:t>16</w:t>
            </w:r>
          </w:p>
        </w:tc>
        <w:tc>
          <w:tcPr>
            <w:tcW w:w="680" w:type="dxa"/>
            <w:tcBorders>
              <w:top w:val="nil"/>
              <w:left w:val="nil"/>
              <w:bottom w:val="nil"/>
              <w:right w:val="nil"/>
            </w:tcBorders>
            <w:shd w:val="clear" w:color="auto" w:fill="auto"/>
            <w:noWrap/>
            <w:vAlign w:val="bottom"/>
            <w:hideMark/>
          </w:tcPr>
          <w:p w14:paraId="0F12A499" w14:textId="12FD9362" w:rsidR="00682508" w:rsidRPr="001632C4" w:rsidRDefault="00682508" w:rsidP="00682508">
            <w:pPr>
              <w:jc w:val="center"/>
              <w:rPr>
                <w:color w:val="000000"/>
                <w:lang w:val="en-US"/>
              </w:rPr>
            </w:pPr>
            <w:r w:rsidRPr="001632C4">
              <w:rPr>
                <w:color w:val="000000"/>
                <w:lang w:val="en-US"/>
              </w:rPr>
              <w:t>0.</w:t>
            </w:r>
            <w:r>
              <w:rPr>
                <w:color w:val="000000"/>
                <w:lang w:val="en-US"/>
              </w:rPr>
              <w:t>17</w:t>
            </w:r>
          </w:p>
        </w:tc>
        <w:tc>
          <w:tcPr>
            <w:tcW w:w="1071" w:type="dxa"/>
            <w:tcBorders>
              <w:top w:val="nil"/>
              <w:left w:val="nil"/>
              <w:bottom w:val="nil"/>
              <w:right w:val="single" w:sz="4" w:space="0" w:color="auto"/>
            </w:tcBorders>
            <w:shd w:val="clear" w:color="auto" w:fill="auto"/>
            <w:noWrap/>
            <w:vAlign w:val="bottom"/>
            <w:hideMark/>
          </w:tcPr>
          <w:p w14:paraId="594138BA" w14:textId="1BDFA47A" w:rsidR="00682508" w:rsidRPr="001632C4" w:rsidRDefault="00682508" w:rsidP="00682508">
            <w:pPr>
              <w:jc w:val="center"/>
              <w:rPr>
                <w:color w:val="000000"/>
                <w:lang w:val="en-US"/>
              </w:rPr>
            </w:pPr>
            <w:r w:rsidRPr="001632C4">
              <w:rPr>
                <w:color w:val="000000"/>
                <w:lang w:val="en-US"/>
              </w:rPr>
              <w:t>0.1</w:t>
            </w:r>
            <w:r>
              <w:rPr>
                <w:color w:val="000000"/>
                <w:lang w:val="en-US"/>
              </w:rPr>
              <w:t>3</w:t>
            </w:r>
          </w:p>
        </w:tc>
        <w:tc>
          <w:tcPr>
            <w:tcW w:w="370" w:type="dxa"/>
            <w:tcBorders>
              <w:top w:val="nil"/>
              <w:left w:val="nil"/>
              <w:bottom w:val="nil"/>
              <w:right w:val="nil"/>
            </w:tcBorders>
            <w:shd w:val="clear" w:color="auto" w:fill="auto"/>
            <w:noWrap/>
            <w:vAlign w:val="bottom"/>
            <w:hideMark/>
          </w:tcPr>
          <w:p w14:paraId="362A2BC9" w14:textId="77777777" w:rsidR="00682508" w:rsidRPr="001632C4" w:rsidRDefault="00682508" w:rsidP="00682508">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0ADE8D4C" w14:textId="54288907" w:rsidR="00682508" w:rsidRPr="001632C4" w:rsidRDefault="00682508" w:rsidP="00682508">
            <w:pPr>
              <w:jc w:val="center"/>
              <w:rPr>
                <w:color w:val="000000"/>
                <w:lang w:val="en-US"/>
              </w:rPr>
            </w:pPr>
            <w:r w:rsidRPr="001632C4">
              <w:rPr>
                <w:color w:val="000000"/>
                <w:lang w:val="en-US"/>
              </w:rPr>
              <w:t>0.1</w:t>
            </w:r>
            <w:r w:rsidR="006C0F46">
              <w:rPr>
                <w:color w:val="000000"/>
                <w:lang w:val="en-US"/>
              </w:rPr>
              <w:t>8</w:t>
            </w:r>
          </w:p>
        </w:tc>
      </w:tr>
      <w:tr w:rsidR="00682508" w:rsidRPr="001632C4" w14:paraId="7D80B1DE" w14:textId="77777777" w:rsidTr="00682508">
        <w:trPr>
          <w:trHeight w:val="320"/>
          <w:jc w:val="center"/>
        </w:trPr>
        <w:tc>
          <w:tcPr>
            <w:tcW w:w="1218" w:type="dxa"/>
            <w:tcBorders>
              <w:top w:val="nil"/>
              <w:left w:val="single" w:sz="4" w:space="0" w:color="auto"/>
              <w:bottom w:val="single" w:sz="4" w:space="0" w:color="auto"/>
              <w:right w:val="single" w:sz="4" w:space="0" w:color="auto"/>
            </w:tcBorders>
            <w:shd w:val="clear" w:color="auto" w:fill="auto"/>
            <w:noWrap/>
            <w:vAlign w:val="center"/>
            <w:hideMark/>
          </w:tcPr>
          <w:p w14:paraId="1112E207" w14:textId="77777777" w:rsidR="00682508" w:rsidRPr="001632C4" w:rsidRDefault="00682508" w:rsidP="00682508">
            <w:pPr>
              <w:jc w:val="center"/>
              <w:rPr>
                <w:b/>
                <w:bCs/>
                <w:color w:val="000000"/>
                <w:lang w:val="en-US"/>
              </w:rPr>
            </w:pPr>
            <w:r w:rsidRPr="001632C4">
              <w:rPr>
                <w:b/>
                <w:bCs/>
                <w:color w:val="000000"/>
                <w:lang w:val="en-US"/>
              </w:rPr>
              <w:t> </w:t>
            </w:r>
          </w:p>
        </w:tc>
        <w:tc>
          <w:tcPr>
            <w:tcW w:w="2315" w:type="dxa"/>
            <w:tcBorders>
              <w:top w:val="nil"/>
              <w:left w:val="nil"/>
              <w:bottom w:val="single" w:sz="4" w:space="0" w:color="auto"/>
              <w:right w:val="single" w:sz="4" w:space="0" w:color="auto"/>
            </w:tcBorders>
            <w:shd w:val="clear" w:color="auto" w:fill="auto"/>
            <w:noWrap/>
            <w:vAlign w:val="bottom"/>
            <w:hideMark/>
          </w:tcPr>
          <w:p w14:paraId="1C75E64F" w14:textId="0768EA6A" w:rsidR="00682508" w:rsidRPr="001632C4" w:rsidRDefault="00682508" w:rsidP="00682508">
            <w:pPr>
              <w:jc w:val="center"/>
              <w:rPr>
                <w:color w:val="000000"/>
                <w:lang w:val="en-US"/>
              </w:rPr>
            </w:pPr>
          </w:p>
        </w:tc>
        <w:tc>
          <w:tcPr>
            <w:tcW w:w="560" w:type="dxa"/>
            <w:tcBorders>
              <w:top w:val="nil"/>
              <w:left w:val="nil"/>
              <w:bottom w:val="single" w:sz="4" w:space="0" w:color="auto"/>
              <w:right w:val="nil"/>
            </w:tcBorders>
            <w:shd w:val="clear" w:color="auto" w:fill="auto"/>
            <w:noWrap/>
            <w:vAlign w:val="bottom"/>
            <w:hideMark/>
          </w:tcPr>
          <w:p w14:paraId="72112E47" w14:textId="77777777" w:rsidR="00682508" w:rsidRPr="001632C4" w:rsidRDefault="00682508" w:rsidP="00682508">
            <w:pPr>
              <w:jc w:val="center"/>
              <w:rPr>
                <w:color w:val="000000"/>
                <w:lang w:val="en-US"/>
              </w:rPr>
            </w:pPr>
            <w:r w:rsidRPr="001632C4">
              <w:rPr>
                <w:color w:val="000000"/>
                <w:lang w:val="en-US"/>
              </w:rPr>
              <w:t> </w:t>
            </w:r>
          </w:p>
        </w:tc>
        <w:tc>
          <w:tcPr>
            <w:tcW w:w="1381" w:type="dxa"/>
            <w:tcBorders>
              <w:top w:val="nil"/>
              <w:left w:val="nil"/>
              <w:bottom w:val="single" w:sz="4" w:space="0" w:color="auto"/>
              <w:right w:val="nil"/>
            </w:tcBorders>
            <w:shd w:val="clear" w:color="auto" w:fill="auto"/>
            <w:noWrap/>
            <w:vAlign w:val="bottom"/>
            <w:hideMark/>
          </w:tcPr>
          <w:p w14:paraId="182941DF" w14:textId="77777777" w:rsidR="00682508" w:rsidRPr="001632C4" w:rsidRDefault="00682508" w:rsidP="00682508">
            <w:pPr>
              <w:jc w:val="center"/>
              <w:rPr>
                <w:color w:val="000000"/>
                <w:lang w:val="en-US"/>
              </w:rPr>
            </w:pPr>
            <w:r w:rsidRPr="001632C4">
              <w:rPr>
                <w:color w:val="000000"/>
                <w:lang w:val="en-US"/>
              </w:rPr>
              <w:t> </w:t>
            </w:r>
          </w:p>
        </w:tc>
        <w:tc>
          <w:tcPr>
            <w:tcW w:w="680" w:type="dxa"/>
            <w:tcBorders>
              <w:top w:val="nil"/>
              <w:left w:val="nil"/>
              <w:bottom w:val="single" w:sz="4" w:space="0" w:color="auto"/>
              <w:right w:val="nil"/>
            </w:tcBorders>
            <w:shd w:val="clear" w:color="auto" w:fill="auto"/>
            <w:noWrap/>
            <w:vAlign w:val="bottom"/>
            <w:hideMark/>
          </w:tcPr>
          <w:p w14:paraId="01D0C708" w14:textId="77777777" w:rsidR="00682508" w:rsidRPr="001632C4" w:rsidRDefault="00682508" w:rsidP="00682508">
            <w:pPr>
              <w:jc w:val="center"/>
              <w:rPr>
                <w:color w:val="000000"/>
                <w:lang w:val="en-US"/>
              </w:rPr>
            </w:pPr>
            <w:r w:rsidRPr="001632C4">
              <w:rPr>
                <w:color w:val="000000"/>
                <w:lang w:val="en-US"/>
              </w:rPr>
              <w:t> </w:t>
            </w:r>
          </w:p>
        </w:tc>
        <w:tc>
          <w:tcPr>
            <w:tcW w:w="1071" w:type="dxa"/>
            <w:tcBorders>
              <w:top w:val="nil"/>
              <w:left w:val="nil"/>
              <w:bottom w:val="single" w:sz="4" w:space="0" w:color="auto"/>
              <w:right w:val="single" w:sz="4" w:space="0" w:color="auto"/>
            </w:tcBorders>
            <w:shd w:val="clear" w:color="auto" w:fill="auto"/>
            <w:noWrap/>
            <w:vAlign w:val="bottom"/>
            <w:hideMark/>
          </w:tcPr>
          <w:p w14:paraId="4170282B" w14:textId="77777777" w:rsidR="00682508" w:rsidRPr="001632C4" w:rsidRDefault="00682508" w:rsidP="00682508">
            <w:pPr>
              <w:jc w:val="center"/>
              <w:rPr>
                <w:color w:val="000000"/>
                <w:lang w:val="en-US"/>
              </w:rPr>
            </w:pPr>
            <w:r w:rsidRPr="001632C4">
              <w:rPr>
                <w:color w:val="000000"/>
                <w:lang w:val="en-US"/>
              </w:rPr>
              <w:t> </w:t>
            </w:r>
          </w:p>
        </w:tc>
        <w:tc>
          <w:tcPr>
            <w:tcW w:w="370" w:type="dxa"/>
            <w:tcBorders>
              <w:top w:val="nil"/>
              <w:left w:val="nil"/>
              <w:bottom w:val="nil"/>
              <w:right w:val="nil"/>
            </w:tcBorders>
            <w:shd w:val="clear" w:color="auto" w:fill="auto"/>
            <w:noWrap/>
            <w:vAlign w:val="bottom"/>
            <w:hideMark/>
          </w:tcPr>
          <w:p w14:paraId="06C1BE30" w14:textId="77777777" w:rsidR="00682508" w:rsidRPr="001632C4" w:rsidRDefault="00682508" w:rsidP="00682508">
            <w:pPr>
              <w:jc w:val="center"/>
              <w:rPr>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14:paraId="51A9E345" w14:textId="77777777" w:rsidR="00682508" w:rsidRPr="001632C4" w:rsidRDefault="00682508" w:rsidP="00682508">
            <w:pPr>
              <w:jc w:val="center"/>
              <w:rPr>
                <w:color w:val="000000"/>
                <w:lang w:val="en-US"/>
              </w:rPr>
            </w:pPr>
            <w:r w:rsidRPr="001632C4">
              <w:rPr>
                <w:color w:val="000000"/>
                <w:lang w:val="en-US"/>
              </w:rPr>
              <w:t> </w:t>
            </w:r>
          </w:p>
        </w:tc>
      </w:tr>
      <w:tr w:rsidR="00682508" w:rsidRPr="001632C4" w14:paraId="23A77EED" w14:textId="77777777" w:rsidTr="00682508">
        <w:trPr>
          <w:trHeight w:val="320"/>
          <w:jc w:val="center"/>
        </w:trPr>
        <w:tc>
          <w:tcPr>
            <w:tcW w:w="121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D348FC1" w14:textId="77777777" w:rsidR="00682508" w:rsidRPr="001632C4" w:rsidRDefault="00682508" w:rsidP="00682508">
            <w:pPr>
              <w:jc w:val="center"/>
              <w:rPr>
                <w:b/>
                <w:bCs/>
                <w:color w:val="000000"/>
                <w:lang w:val="en-US"/>
              </w:rPr>
            </w:pPr>
            <w:r w:rsidRPr="001632C4">
              <w:rPr>
                <w:b/>
                <w:bCs/>
                <w:color w:val="000000"/>
                <w:lang w:val="en-US"/>
              </w:rPr>
              <w:t>Gaussian</w:t>
            </w:r>
          </w:p>
        </w:tc>
        <w:tc>
          <w:tcPr>
            <w:tcW w:w="2315" w:type="dxa"/>
            <w:tcBorders>
              <w:top w:val="nil"/>
              <w:left w:val="nil"/>
              <w:bottom w:val="nil"/>
              <w:right w:val="single" w:sz="4" w:space="0" w:color="auto"/>
            </w:tcBorders>
            <w:shd w:val="clear" w:color="auto" w:fill="auto"/>
            <w:noWrap/>
            <w:vAlign w:val="bottom"/>
            <w:hideMark/>
          </w:tcPr>
          <w:p w14:paraId="747BAD8F" w14:textId="77777777" w:rsidR="00682508" w:rsidRPr="001632C4" w:rsidRDefault="00682508" w:rsidP="00682508">
            <w:pPr>
              <w:jc w:val="center"/>
              <w:rPr>
                <w:color w:val="000000"/>
                <w:lang w:val="en-US"/>
              </w:rPr>
            </w:pPr>
            <w:r w:rsidRPr="001632C4">
              <w:rPr>
                <w:color w:val="000000"/>
                <w:lang w:val="en-US"/>
              </w:rPr>
              <w:t>Amplitude (C)</w:t>
            </w:r>
          </w:p>
        </w:tc>
        <w:tc>
          <w:tcPr>
            <w:tcW w:w="560" w:type="dxa"/>
            <w:tcBorders>
              <w:top w:val="nil"/>
              <w:left w:val="nil"/>
              <w:bottom w:val="nil"/>
              <w:right w:val="nil"/>
            </w:tcBorders>
            <w:shd w:val="clear" w:color="auto" w:fill="auto"/>
            <w:noWrap/>
            <w:vAlign w:val="bottom"/>
            <w:hideMark/>
          </w:tcPr>
          <w:p w14:paraId="47BE4DF8" w14:textId="433A42A8" w:rsidR="00682508" w:rsidRPr="001632C4" w:rsidRDefault="00682508" w:rsidP="00682508">
            <w:pPr>
              <w:jc w:val="center"/>
              <w:rPr>
                <w:color w:val="000000"/>
                <w:lang w:val="en-US"/>
              </w:rPr>
            </w:pPr>
            <w:r w:rsidRPr="001632C4">
              <w:rPr>
                <w:color w:val="000000"/>
                <w:lang w:val="en-US"/>
              </w:rPr>
              <w:t>0.</w:t>
            </w:r>
            <w:r>
              <w:rPr>
                <w:color w:val="000000"/>
                <w:lang w:val="en-US"/>
              </w:rPr>
              <w:t>17</w:t>
            </w:r>
          </w:p>
        </w:tc>
        <w:tc>
          <w:tcPr>
            <w:tcW w:w="1381" w:type="dxa"/>
            <w:tcBorders>
              <w:top w:val="nil"/>
              <w:left w:val="nil"/>
              <w:bottom w:val="nil"/>
              <w:right w:val="nil"/>
            </w:tcBorders>
            <w:shd w:val="clear" w:color="auto" w:fill="auto"/>
            <w:noWrap/>
            <w:vAlign w:val="bottom"/>
            <w:hideMark/>
          </w:tcPr>
          <w:p w14:paraId="6AC20938" w14:textId="1973343D" w:rsidR="00682508" w:rsidRPr="001632C4" w:rsidRDefault="00682508" w:rsidP="00682508">
            <w:pPr>
              <w:jc w:val="center"/>
              <w:rPr>
                <w:color w:val="000000"/>
                <w:lang w:val="en-US"/>
              </w:rPr>
            </w:pPr>
            <w:r w:rsidRPr="001632C4">
              <w:rPr>
                <w:color w:val="000000"/>
                <w:lang w:val="en-US"/>
              </w:rPr>
              <w:t>0.</w:t>
            </w:r>
            <w:r>
              <w:rPr>
                <w:color w:val="000000"/>
                <w:lang w:val="en-US"/>
              </w:rPr>
              <w:t>034</w:t>
            </w:r>
          </w:p>
        </w:tc>
        <w:tc>
          <w:tcPr>
            <w:tcW w:w="680" w:type="dxa"/>
            <w:tcBorders>
              <w:top w:val="nil"/>
              <w:left w:val="nil"/>
              <w:bottom w:val="nil"/>
              <w:right w:val="nil"/>
            </w:tcBorders>
            <w:shd w:val="clear" w:color="auto" w:fill="auto"/>
            <w:noWrap/>
            <w:vAlign w:val="bottom"/>
            <w:hideMark/>
          </w:tcPr>
          <w:p w14:paraId="30E8994A" w14:textId="6F0691D9" w:rsidR="00682508" w:rsidRPr="001632C4" w:rsidRDefault="00682508" w:rsidP="00682508">
            <w:pPr>
              <w:jc w:val="center"/>
              <w:rPr>
                <w:color w:val="000000"/>
                <w:lang w:val="en-US"/>
              </w:rPr>
            </w:pPr>
            <w:r w:rsidRPr="001632C4">
              <w:rPr>
                <w:color w:val="000000"/>
                <w:lang w:val="en-US"/>
              </w:rPr>
              <w:t>0.0</w:t>
            </w:r>
            <w:r>
              <w:rPr>
                <w:color w:val="000000"/>
                <w:lang w:val="en-US"/>
              </w:rPr>
              <w:t>17</w:t>
            </w:r>
          </w:p>
        </w:tc>
        <w:tc>
          <w:tcPr>
            <w:tcW w:w="1071" w:type="dxa"/>
            <w:tcBorders>
              <w:top w:val="nil"/>
              <w:left w:val="nil"/>
              <w:bottom w:val="nil"/>
              <w:right w:val="single" w:sz="4" w:space="0" w:color="auto"/>
            </w:tcBorders>
            <w:shd w:val="clear" w:color="auto" w:fill="auto"/>
            <w:noWrap/>
            <w:vAlign w:val="bottom"/>
            <w:hideMark/>
          </w:tcPr>
          <w:p w14:paraId="664D6D98" w14:textId="086F46C6" w:rsidR="00682508" w:rsidRPr="001632C4" w:rsidRDefault="00682508" w:rsidP="00682508">
            <w:pPr>
              <w:jc w:val="center"/>
              <w:rPr>
                <w:color w:val="000000"/>
                <w:lang w:val="en-US"/>
              </w:rPr>
            </w:pPr>
            <w:r w:rsidRPr="001632C4">
              <w:rPr>
                <w:color w:val="000000"/>
                <w:lang w:val="en-US"/>
              </w:rPr>
              <w:t>0.00</w:t>
            </w:r>
            <w:r>
              <w:rPr>
                <w:color w:val="000000"/>
                <w:lang w:val="en-US"/>
              </w:rPr>
              <w:t>3</w:t>
            </w:r>
          </w:p>
        </w:tc>
        <w:tc>
          <w:tcPr>
            <w:tcW w:w="370" w:type="dxa"/>
            <w:tcBorders>
              <w:top w:val="nil"/>
              <w:left w:val="nil"/>
              <w:bottom w:val="nil"/>
              <w:right w:val="nil"/>
            </w:tcBorders>
            <w:shd w:val="clear" w:color="auto" w:fill="auto"/>
            <w:noWrap/>
            <w:vAlign w:val="bottom"/>
            <w:hideMark/>
          </w:tcPr>
          <w:p w14:paraId="43724586" w14:textId="77777777" w:rsidR="00682508" w:rsidRPr="001632C4" w:rsidRDefault="00682508" w:rsidP="00682508">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11E1EF56" w14:textId="35C3719B" w:rsidR="00682508" w:rsidRPr="001632C4" w:rsidRDefault="00682508" w:rsidP="00682508">
            <w:pPr>
              <w:jc w:val="center"/>
              <w:rPr>
                <w:color w:val="000000"/>
                <w:lang w:val="en-US"/>
              </w:rPr>
            </w:pPr>
            <w:r w:rsidRPr="001632C4">
              <w:rPr>
                <w:color w:val="000000"/>
                <w:lang w:val="en-US"/>
              </w:rPr>
              <w:t>0.00</w:t>
            </w:r>
            <w:r w:rsidR="006C0F46">
              <w:rPr>
                <w:color w:val="000000"/>
                <w:lang w:val="en-US"/>
              </w:rPr>
              <w:t>5</w:t>
            </w:r>
          </w:p>
        </w:tc>
      </w:tr>
      <w:tr w:rsidR="00682508" w:rsidRPr="001632C4" w14:paraId="6E853E0F" w14:textId="77777777" w:rsidTr="00682508">
        <w:trPr>
          <w:trHeight w:val="320"/>
          <w:jc w:val="center"/>
        </w:trPr>
        <w:tc>
          <w:tcPr>
            <w:tcW w:w="1218" w:type="dxa"/>
            <w:vMerge/>
            <w:tcBorders>
              <w:top w:val="nil"/>
              <w:left w:val="single" w:sz="4" w:space="0" w:color="auto"/>
              <w:bottom w:val="single" w:sz="4" w:space="0" w:color="000000"/>
              <w:right w:val="single" w:sz="4" w:space="0" w:color="auto"/>
            </w:tcBorders>
            <w:vAlign w:val="center"/>
            <w:hideMark/>
          </w:tcPr>
          <w:p w14:paraId="6BBD04EA" w14:textId="77777777" w:rsidR="00682508" w:rsidRPr="001632C4" w:rsidRDefault="00682508" w:rsidP="00682508">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4D727566" w14:textId="77777777" w:rsidR="00682508" w:rsidRPr="001632C4" w:rsidRDefault="00682508" w:rsidP="00682508">
            <w:pPr>
              <w:jc w:val="center"/>
              <w:rPr>
                <w:color w:val="000000"/>
                <w:lang w:val="en-US"/>
              </w:rPr>
            </w:pPr>
            <w:r w:rsidRPr="001632C4">
              <w:rPr>
                <w:color w:val="000000"/>
                <w:lang w:val="en-US"/>
              </w:rPr>
              <w:t>Center (V)</w:t>
            </w:r>
          </w:p>
        </w:tc>
        <w:tc>
          <w:tcPr>
            <w:tcW w:w="560" w:type="dxa"/>
            <w:tcBorders>
              <w:top w:val="nil"/>
              <w:left w:val="nil"/>
              <w:bottom w:val="nil"/>
              <w:right w:val="nil"/>
            </w:tcBorders>
            <w:shd w:val="clear" w:color="auto" w:fill="auto"/>
            <w:noWrap/>
            <w:vAlign w:val="bottom"/>
            <w:hideMark/>
          </w:tcPr>
          <w:p w14:paraId="3B0EB594" w14:textId="3A0E034C" w:rsidR="00682508" w:rsidRPr="001632C4" w:rsidRDefault="00682508" w:rsidP="00682508">
            <w:pPr>
              <w:jc w:val="center"/>
              <w:rPr>
                <w:color w:val="000000"/>
                <w:lang w:val="en-US"/>
              </w:rPr>
            </w:pPr>
            <w:r w:rsidRPr="001632C4">
              <w:rPr>
                <w:color w:val="000000"/>
                <w:lang w:val="en-US"/>
              </w:rPr>
              <w:t>0.</w:t>
            </w:r>
            <w:r>
              <w:rPr>
                <w:color w:val="000000"/>
                <w:lang w:val="en-US"/>
              </w:rPr>
              <w:t>23</w:t>
            </w:r>
          </w:p>
        </w:tc>
        <w:tc>
          <w:tcPr>
            <w:tcW w:w="1381" w:type="dxa"/>
            <w:tcBorders>
              <w:top w:val="nil"/>
              <w:left w:val="nil"/>
              <w:bottom w:val="nil"/>
              <w:right w:val="nil"/>
            </w:tcBorders>
            <w:shd w:val="clear" w:color="auto" w:fill="auto"/>
            <w:noWrap/>
            <w:vAlign w:val="bottom"/>
            <w:hideMark/>
          </w:tcPr>
          <w:p w14:paraId="3E58BB58" w14:textId="06BBF809" w:rsidR="00682508" w:rsidRPr="001632C4" w:rsidRDefault="00682508" w:rsidP="00682508">
            <w:pPr>
              <w:jc w:val="center"/>
              <w:rPr>
                <w:color w:val="000000"/>
                <w:lang w:val="en-US"/>
              </w:rPr>
            </w:pPr>
            <w:r w:rsidRPr="001632C4">
              <w:rPr>
                <w:color w:val="000000"/>
                <w:lang w:val="en-US"/>
              </w:rPr>
              <w:t>0.2</w:t>
            </w:r>
            <w:r>
              <w:rPr>
                <w:color w:val="000000"/>
                <w:lang w:val="en-US"/>
              </w:rPr>
              <w:t>5</w:t>
            </w:r>
          </w:p>
        </w:tc>
        <w:tc>
          <w:tcPr>
            <w:tcW w:w="680" w:type="dxa"/>
            <w:tcBorders>
              <w:top w:val="nil"/>
              <w:left w:val="nil"/>
              <w:bottom w:val="nil"/>
              <w:right w:val="nil"/>
            </w:tcBorders>
            <w:shd w:val="clear" w:color="auto" w:fill="auto"/>
            <w:noWrap/>
            <w:vAlign w:val="bottom"/>
            <w:hideMark/>
          </w:tcPr>
          <w:p w14:paraId="6D17EADE" w14:textId="4FA5D614" w:rsidR="00682508" w:rsidRPr="001632C4" w:rsidRDefault="00682508" w:rsidP="00682508">
            <w:pPr>
              <w:jc w:val="center"/>
              <w:rPr>
                <w:color w:val="000000"/>
                <w:lang w:val="en-US"/>
              </w:rPr>
            </w:pPr>
            <w:r w:rsidRPr="001632C4">
              <w:rPr>
                <w:color w:val="000000"/>
                <w:lang w:val="en-US"/>
              </w:rPr>
              <w:t>0.2</w:t>
            </w:r>
            <w:r>
              <w:rPr>
                <w:color w:val="000000"/>
                <w:lang w:val="en-US"/>
              </w:rPr>
              <w:t>6</w:t>
            </w:r>
          </w:p>
        </w:tc>
        <w:tc>
          <w:tcPr>
            <w:tcW w:w="1071" w:type="dxa"/>
            <w:tcBorders>
              <w:top w:val="nil"/>
              <w:left w:val="nil"/>
              <w:bottom w:val="nil"/>
              <w:right w:val="single" w:sz="4" w:space="0" w:color="auto"/>
            </w:tcBorders>
            <w:shd w:val="clear" w:color="auto" w:fill="auto"/>
            <w:noWrap/>
            <w:vAlign w:val="bottom"/>
            <w:hideMark/>
          </w:tcPr>
          <w:p w14:paraId="499A46ED" w14:textId="6C3038FF" w:rsidR="00682508" w:rsidRPr="001632C4" w:rsidRDefault="00682508" w:rsidP="00682508">
            <w:pPr>
              <w:jc w:val="center"/>
              <w:rPr>
                <w:color w:val="000000"/>
                <w:lang w:val="en-US"/>
              </w:rPr>
            </w:pPr>
            <w:r w:rsidRPr="001632C4">
              <w:rPr>
                <w:color w:val="000000"/>
                <w:lang w:val="en-US"/>
              </w:rPr>
              <w:t>0.2</w:t>
            </w:r>
            <w:r>
              <w:rPr>
                <w:color w:val="000000"/>
                <w:lang w:val="en-US"/>
              </w:rPr>
              <w:t>7</w:t>
            </w:r>
          </w:p>
        </w:tc>
        <w:tc>
          <w:tcPr>
            <w:tcW w:w="370" w:type="dxa"/>
            <w:tcBorders>
              <w:top w:val="nil"/>
              <w:left w:val="nil"/>
              <w:bottom w:val="nil"/>
              <w:right w:val="nil"/>
            </w:tcBorders>
            <w:shd w:val="clear" w:color="auto" w:fill="auto"/>
            <w:noWrap/>
            <w:vAlign w:val="bottom"/>
            <w:hideMark/>
          </w:tcPr>
          <w:p w14:paraId="3E9FCABD" w14:textId="77777777" w:rsidR="00682508" w:rsidRPr="001632C4" w:rsidRDefault="00682508" w:rsidP="00682508">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133189EE" w14:textId="1E7A2959" w:rsidR="00682508" w:rsidRPr="001632C4" w:rsidRDefault="00682508" w:rsidP="00682508">
            <w:pPr>
              <w:jc w:val="center"/>
              <w:rPr>
                <w:color w:val="000000"/>
                <w:lang w:val="en-US"/>
              </w:rPr>
            </w:pPr>
            <w:r w:rsidRPr="001632C4">
              <w:rPr>
                <w:color w:val="000000"/>
                <w:lang w:val="en-US"/>
              </w:rPr>
              <w:t>0.2</w:t>
            </w:r>
            <w:r w:rsidR="006C0F46">
              <w:rPr>
                <w:color w:val="000000"/>
                <w:lang w:val="en-US"/>
              </w:rPr>
              <w:t>3</w:t>
            </w:r>
          </w:p>
        </w:tc>
      </w:tr>
      <w:tr w:rsidR="00682508" w:rsidRPr="001632C4" w14:paraId="0AFE07F7" w14:textId="77777777" w:rsidTr="00682508">
        <w:trPr>
          <w:trHeight w:val="320"/>
          <w:jc w:val="center"/>
        </w:trPr>
        <w:tc>
          <w:tcPr>
            <w:tcW w:w="1218" w:type="dxa"/>
            <w:vMerge/>
            <w:tcBorders>
              <w:top w:val="nil"/>
              <w:left w:val="single" w:sz="4" w:space="0" w:color="auto"/>
              <w:bottom w:val="single" w:sz="4" w:space="0" w:color="000000"/>
              <w:right w:val="single" w:sz="4" w:space="0" w:color="auto"/>
            </w:tcBorders>
            <w:vAlign w:val="center"/>
            <w:hideMark/>
          </w:tcPr>
          <w:p w14:paraId="08AAB40C" w14:textId="77777777" w:rsidR="00682508" w:rsidRPr="001632C4" w:rsidRDefault="00682508" w:rsidP="00682508">
            <w:pPr>
              <w:rPr>
                <w:b/>
                <w:bCs/>
                <w:color w:val="000000"/>
                <w:lang w:val="en-US"/>
              </w:rPr>
            </w:pPr>
          </w:p>
        </w:tc>
        <w:tc>
          <w:tcPr>
            <w:tcW w:w="2315" w:type="dxa"/>
            <w:tcBorders>
              <w:top w:val="nil"/>
              <w:left w:val="nil"/>
              <w:bottom w:val="nil"/>
              <w:right w:val="single" w:sz="4" w:space="0" w:color="auto"/>
            </w:tcBorders>
            <w:shd w:val="clear" w:color="auto" w:fill="auto"/>
            <w:noWrap/>
            <w:vAlign w:val="bottom"/>
            <w:hideMark/>
          </w:tcPr>
          <w:p w14:paraId="17C9E7BC" w14:textId="77777777" w:rsidR="00682508" w:rsidRPr="001632C4" w:rsidRDefault="00682508" w:rsidP="00682508">
            <w:pPr>
              <w:jc w:val="center"/>
              <w:rPr>
                <w:color w:val="000000"/>
                <w:lang w:val="en-US"/>
              </w:rPr>
            </w:pPr>
            <w:r w:rsidRPr="001632C4">
              <w:rPr>
                <w:color w:val="000000"/>
                <w:lang w:val="en-US"/>
              </w:rPr>
              <w:t>Sigma</w:t>
            </w:r>
          </w:p>
        </w:tc>
        <w:tc>
          <w:tcPr>
            <w:tcW w:w="560" w:type="dxa"/>
            <w:tcBorders>
              <w:top w:val="nil"/>
              <w:left w:val="nil"/>
              <w:bottom w:val="nil"/>
              <w:right w:val="nil"/>
            </w:tcBorders>
            <w:shd w:val="clear" w:color="auto" w:fill="auto"/>
            <w:noWrap/>
            <w:vAlign w:val="bottom"/>
            <w:hideMark/>
          </w:tcPr>
          <w:p w14:paraId="37CBD3B1" w14:textId="27AD6D6D" w:rsidR="00682508" w:rsidRPr="001632C4" w:rsidRDefault="00682508" w:rsidP="00682508">
            <w:pPr>
              <w:jc w:val="center"/>
              <w:rPr>
                <w:color w:val="000000"/>
                <w:lang w:val="en-US"/>
              </w:rPr>
            </w:pPr>
            <w:r w:rsidRPr="001632C4">
              <w:rPr>
                <w:color w:val="000000"/>
                <w:lang w:val="en-US"/>
              </w:rPr>
              <w:t>0.</w:t>
            </w:r>
            <w:r>
              <w:rPr>
                <w:color w:val="000000"/>
                <w:lang w:val="en-US"/>
              </w:rPr>
              <w:t>1</w:t>
            </w:r>
            <w:r w:rsidRPr="001632C4">
              <w:rPr>
                <w:color w:val="000000"/>
                <w:lang w:val="en-US"/>
              </w:rPr>
              <w:t>5</w:t>
            </w:r>
          </w:p>
        </w:tc>
        <w:tc>
          <w:tcPr>
            <w:tcW w:w="1381" w:type="dxa"/>
            <w:tcBorders>
              <w:top w:val="nil"/>
              <w:left w:val="nil"/>
              <w:bottom w:val="nil"/>
              <w:right w:val="nil"/>
            </w:tcBorders>
            <w:shd w:val="clear" w:color="auto" w:fill="auto"/>
            <w:noWrap/>
            <w:vAlign w:val="bottom"/>
            <w:hideMark/>
          </w:tcPr>
          <w:p w14:paraId="2184F037" w14:textId="6517AB2C" w:rsidR="00682508" w:rsidRPr="001632C4" w:rsidRDefault="00682508" w:rsidP="00682508">
            <w:pPr>
              <w:jc w:val="center"/>
              <w:rPr>
                <w:color w:val="000000"/>
                <w:lang w:val="en-US"/>
              </w:rPr>
            </w:pPr>
            <w:r w:rsidRPr="001632C4">
              <w:rPr>
                <w:color w:val="000000"/>
                <w:lang w:val="en-US"/>
              </w:rPr>
              <w:t>0.</w:t>
            </w:r>
            <w:r>
              <w:rPr>
                <w:color w:val="000000"/>
                <w:lang w:val="en-US"/>
              </w:rPr>
              <w:t>16</w:t>
            </w:r>
          </w:p>
        </w:tc>
        <w:tc>
          <w:tcPr>
            <w:tcW w:w="680" w:type="dxa"/>
            <w:tcBorders>
              <w:top w:val="nil"/>
              <w:left w:val="nil"/>
              <w:bottom w:val="nil"/>
              <w:right w:val="nil"/>
            </w:tcBorders>
            <w:shd w:val="clear" w:color="auto" w:fill="auto"/>
            <w:noWrap/>
            <w:vAlign w:val="bottom"/>
            <w:hideMark/>
          </w:tcPr>
          <w:p w14:paraId="04002954" w14:textId="77777777" w:rsidR="00682508" w:rsidRPr="001632C4" w:rsidRDefault="00682508" w:rsidP="00682508">
            <w:pPr>
              <w:jc w:val="center"/>
              <w:rPr>
                <w:color w:val="000000"/>
                <w:lang w:val="en-US"/>
              </w:rPr>
            </w:pPr>
            <w:r w:rsidRPr="001632C4">
              <w:rPr>
                <w:color w:val="000000"/>
                <w:lang w:val="en-US"/>
              </w:rPr>
              <w:t>0.03</w:t>
            </w:r>
          </w:p>
        </w:tc>
        <w:tc>
          <w:tcPr>
            <w:tcW w:w="1071" w:type="dxa"/>
            <w:tcBorders>
              <w:top w:val="nil"/>
              <w:left w:val="nil"/>
              <w:bottom w:val="nil"/>
              <w:right w:val="single" w:sz="4" w:space="0" w:color="auto"/>
            </w:tcBorders>
            <w:shd w:val="clear" w:color="auto" w:fill="auto"/>
            <w:noWrap/>
            <w:vAlign w:val="bottom"/>
            <w:hideMark/>
          </w:tcPr>
          <w:p w14:paraId="153E2999" w14:textId="77777777" w:rsidR="00682508" w:rsidRPr="001632C4" w:rsidRDefault="00682508" w:rsidP="00682508">
            <w:pPr>
              <w:jc w:val="center"/>
              <w:rPr>
                <w:color w:val="000000"/>
                <w:lang w:val="en-US"/>
              </w:rPr>
            </w:pPr>
            <w:r w:rsidRPr="001632C4">
              <w:rPr>
                <w:color w:val="000000"/>
                <w:lang w:val="en-US"/>
              </w:rPr>
              <w:t>0.03</w:t>
            </w:r>
          </w:p>
        </w:tc>
        <w:tc>
          <w:tcPr>
            <w:tcW w:w="370" w:type="dxa"/>
            <w:tcBorders>
              <w:top w:val="nil"/>
              <w:left w:val="nil"/>
              <w:bottom w:val="nil"/>
              <w:right w:val="nil"/>
            </w:tcBorders>
            <w:shd w:val="clear" w:color="auto" w:fill="auto"/>
            <w:noWrap/>
            <w:vAlign w:val="bottom"/>
            <w:hideMark/>
          </w:tcPr>
          <w:p w14:paraId="0CCEA143" w14:textId="77777777" w:rsidR="00682508" w:rsidRPr="001632C4" w:rsidRDefault="00682508" w:rsidP="00682508">
            <w:pPr>
              <w:jc w:val="center"/>
              <w:rPr>
                <w:color w:val="000000"/>
                <w:lang w:val="en-US"/>
              </w:rPr>
            </w:pPr>
          </w:p>
        </w:tc>
        <w:tc>
          <w:tcPr>
            <w:tcW w:w="1660" w:type="dxa"/>
            <w:tcBorders>
              <w:top w:val="nil"/>
              <w:left w:val="single" w:sz="4" w:space="0" w:color="auto"/>
              <w:bottom w:val="nil"/>
              <w:right w:val="single" w:sz="4" w:space="0" w:color="auto"/>
            </w:tcBorders>
            <w:shd w:val="clear" w:color="auto" w:fill="auto"/>
            <w:noWrap/>
            <w:vAlign w:val="bottom"/>
            <w:hideMark/>
          </w:tcPr>
          <w:p w14:paraId="6E0D302C" w14:textId="77777777" w:rsidR="00682508" w:rsidRPr="001632C4" w:rsidRDefault="00682508" w:rsidP="00682508">
            <w:pPr>
              <w:jc w:val="center"/>
              <w:rPr>
                <w:color w:val="000000"/>
                <w:lang w:val="en-US"/>
              </w:rPr>
            </w:pPr>
            <w:r w:rsidRPr="001632C4">
              <w:rPr>
                <w:color w:val="000000"/>
                <w:lang w:val="en-US"/>
              </w:rPr>
              <w:t>0.05</w:t>
            </w:r>
          </w:p>
        </w:tc>
      </w:tr>
      <w:tr w:rsidR="00682508" w:rsidRPr="001632C4" w14:paraId="000E4279" w14:textId="77777777" w:rsidTr="00682508">
        <w:trPr>
          <w:trHeight w:val="320"/>
          <w:jc w:val="center"/>
        </w:trPr>
        <w:tc>
          <w:tcPr>
            <w:tcW w:w="1218" w:type="dxa"/>
            <w:vMerge/>
            <w:tcBorders>
              <w:top w:val="nil"/>
              <w:left w:val="single" w:sz="4" w:space="0" w:color="auto"/>
              <w:bottom w:val="single" w:sz="4" w:space="0" w:color="000000"/>
              <w:right w:val="single" w:sz="4" w:space="0" w:color="auto"/>
            </w:tcBorders>
            <w:vAlign w:val="center"/>
            <w:hideMark/>
          </w:tcPr>
          <w:p w14:paraId="4E844B7F" w14:textId="77777777" w:rsidR="00682508" w:rsidRPr="001632C4" w:rsidRDefault="00682508" w:rsidP="00682508">
            <w:pPr>
              <w:rPr>
                <w:b/>
                <w:bCs/>
                <w:color w:val="000000"/>
                <w:lang w:val="en-US"/>
              </w:rPr>
            </w:pPr>
          </w:p>
        </w:tc>
        <w:tc>
          <w:tcPr>
            <w:tcW w:w="2315" w:type="dxa"/>
            <w:tcBorders>
              <w:top w:val="nil"/>
              <w:left w:val="nil"/>
              <w:bottom w:val="single" w:sz="4" w:space="0" w:color="auto"/>
              <w:right w:val="single" w:sz="4" w:space="0" w:color="auto"/>
            </w:tcBorders>
            <w:shd w:val="clear" w:color="auto" w:fill="auto"/>
            <w:noWrap/>
            <w:vAlign w:val="bottom"/>
            <w:hideMark/>
          </w:tcPr>
          <w:p w14:paraId="44512CE4" w14:textId="5EF59E47" w:rsidR="00682508" w:rsidRPr="001632C4" w:rsidRDefault="00682508" w:rsidP="00682508">
            <w:pPr>
              <w:jc w:val="center"/>
              <w:rPr>
                <w:color w:val="000000"/>
                <w:lang w:val="en-US"/>
              </w:rPr>
            </w:pPr>
          </w:p>
        </w:tc>
        <w:tc>
          <w:tcPr>
            <w:tcW w:w="560" w:type="dxa"/>
            <w:tcBorders>
              <w:top w:val="nil"/>
              <w:left w:val="nil"/>
              <w:bottom w:val="single" w:sz="4" w:space="0" w:color="auto"/>
              <w:right w:val="nil"/>
            </w:tcBorders>
            <w:shd w:val="clear" w:color="auto" w:fill="auto"/>
            <w:noWrap/>
            <w:vAlign w:val="bottom"/>
            <w:hideMark/>
          </w:tcPr>
          <w:p w14:paraId="7933F3ED" w14:textId="77777777" w:rsidR="00682508" w:rsidRPr="001632C4" w:rsidRDefault="00682508" w:rsidP="00682508">
            <w:pPr>
              <w:jc w:val="center"/>
              <w:rPr>
                <w:color w:val="000000"/>
                <w:lang w:val="en-US"/>
              </w:rPr>
            </w:pPr>
            <w:r w:rsidRPr="001632C4">
              <w:rPr>
                <w:color w:val="000000"/>
                <w:lang w:val="en-US"/>
              </w:rPr>
              <w:t> </w:t>
            </w:r>
          </w:p>
        </w:tc>
        <w:tc>
          <w:tcPr>
            <w:tcW w:w="1381" w:type="dxa"/>
            <w:tcBorders>
              <w:top w:val="nil"/>
              <w:left w:val="nil"/>
              <w:bottom w:val="single" w:sz="4" w:space="0" w:color="auto"/>
              <w:right w:val="nil"/>
            </w:tcBorders>
            <w:shd w:val="clear" w:color="auto" w:fill="auto"/>
            <w:noWrap/>
            <w:vAlign w:val="bottom"/>
            <w:hideMark/>
          </w:tcPr>
          <w:p w14:paraId="5921C7C7" w14:textId="77777777" w:rsidR="00682508" w:rsidRPr="001632C4" w:rsidRDefault="00682508" w:rsidP="00682508">
            <w:pPr>
              <w:jc w:val="center"/>
              <w:rPr>
                <w:color w:val="000000"/>
                <w:lang w:val="en-US"/>
              </w:rPr>
            </w:pPr>
            <w:r w:rsidRPr="001632C4">
              <w:rPr>
                <w:color w:val="000000"/>
                <w:lang w:val="en-US"/>
              </w:rPr>
              <w:t> </w:t>
            </w:r>
          </w:p>
        </w:tc>
        <w:tc>
          <w:tcPr>
            <w:tcW w:w="680" w:type="dxa"/>
            <w:tcBorders>
              <w:top w:val="nil"/>
              <w:left w:val="nil"/>
              <w:bottom w:val="single" w:sz="4" w:space="0" w:color="auto"/>
              <w:right w:val="nil"/>
            </w:tcBorders>
            <w:shd w:val="clear" w:color="auto" w:fill="auto"/>
            <w:noWrap/>
            <w:vAlign w:val="bottom"/>
            <w:hideMark/>
          </w:tcPr>
          <w:p w14:paraId="7FFA00B8" w14:textId="77777777" w:rsidR="00682508" w:rsidRPr="001632C4" w:rsidRDefault="00682508" w:rsidP="00682508">
            <w:pPr>
              <w:jc w:val="center"/>
              <w:rPr>
                <w:color w:val="000000"/>
                <w:lang w:val="en-US"/>
              </w:rPr>
            </w:pPr>
            <w:r w:rsidRPr="001632C4">
              <w:rPr>
                <w:color w:val="000000"/>
                <w:lang w:val="en-US"/>
              </w:rPr>
              <w:t> </w:t>
            </w:r>
          </w:p>
        </w:tc>
        <w:tc>
          <w:tcPr>
            <w:tcW w:w="1071" w:type="dxa"/>
            <w:tcBorders>
              <w:top w:val="nil"/>
              <w:left w:val="nil"/>
              <w:bottom w:val="single" w:sz="4" w:space="0" w:color="auto"/>
              <w:right w:val="single" w:sz="4" w:space="0" w:color="auto"/>
            </w:tcBorders>
            <w:shd w:val="clear" w:color="auto" w:fill="auto"/>
            <w:noWrap/>
            <w:vAlign w:val="bottom"/>
            <w:hideMark/>
          </w:tcPr>
          <w:p w14:paraId="34FA9479" w14:textId="77777777" w:rsidR="00682508" w:rsidRPr="001632C4" w:rsidRDefault="00682508" w:rsidP="00682508">
            <w:pPr>
              <w:jc w:val="center"/>
              <w:rPr>
                <w:color w:val="000000"/>
                <w:lang w:val="en-US"/>
              </w:rPr>
            </w:pPr>
            <w:r w:rsidRPr="001632C4">
              <w:rPr>
                <w:color w:val="000000"/>
                <w:lang w:val="en-US"/>
              </w:rPr>
              <w:t> </w:t>
            </w:r>
          </w:p>
        </w:tc>
        <w:tc>
          <w:tcPr>
            <w:tcW w:w="370" w:type="dxa"/>
            <w:tcBorders>
              <w:top w:val="nil"/>
              <w:left w:val="nil"/>
              <w:bottom w:val="nil"/>
              <w:right w:val="nil"/>
            </w:tcBorders>
            <w:shd w:val="clear" w:color="auto" w:fill="auto"/>
            <w:noWrap/>
            <w:vAlign w:val="bottom"/>
            <w:hideMark/>
          </w:tcPr>
          <w:p w14:paraId="0C1EA2BA" w14:textId="77777777" w:rsidR="00682508" w:rsidRPr="001632C4" w:rsidRDefault="00682508" w:rsidP="00682508">
            <w:pPr>
              <w:jc w:val="center"/>
              <w:rPr>
                <w:color w:val="000000"/>
                <w:lang w:val="en-US"/>
              </w:rPr>
            </w:pP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14:paraId="0E5578F7" w14:textId="77777777" w:rsidR="00682508" w:rsidRPr="001632C4" w:rsidRDefault="00682508" w:rsidP="00682508">
            <w:pPr>
              <w:jc w:val="center"/>
              <w:rPr>
                <w:color w:val="000000"/>
                <w:lang w:val="en-US"/>
              </w:rPr>
            </w:pPr>
            <w:r w:rsidRPr="001632C4">
              <w:rPr>
                <w:color w:val="000000"/>
                <w:lang w:val="en-US"/>
              </w:rPr>
              <w:t> </w:t>
            </w:r>
          </w:p>
        </w:tc>
      </w:tr>
    </w:tbl>
    <w:p w14:paraId="1803681B" w14:textId="55BD84A9" w:rsidR="00166C7F" w:rsidRPr="001632C4" w:rsidRDefault="00166C7F" w:rsidP="00166C7F">
      <w:pPr>
        <w:rPr>
          <w:noProof/>
          <w:lang w:val="en-US"/>
        </w:rPr>
      </w:pPr>
    </w:p>
    <w:p w14:paraId="123E25A5" w14:textId="77777777" w:rsidR="00166C7F" w:rsidRPr="001632C4" w:rsidRDefault="00166C7F" w:rsidP="00166C7F">
      <w:pPr>
        <w:rPr>
          <w:noProof/>
          <w:lang w:val="en-US"/>
        </w:rPr>
      </w:pPr>
    </w:p>
    <w:p w14:paraId="54133410" w14:textId="35E9A223" w:rsidR="00FD5E16" w:rsidRPr="006D652D" w:rsidRDefault="00FD5E16" w:rsidP="006D652D">
      <w:pPr>
        <w:pStyle w:val="Ttulo1"/>
        <w:rPr>
          <w:rFonts w:ascii="Times New Roman" w:hAnsi="Times New Roman" w:cs="Times New Roman"/>
          <w:color w:val="auto"/>
          <w:sz w:val="28"/>
          <w:szCs w:val="28"/>
        </w:rPr>
      </w:pPr>
      <w:bookmarkStart w:id="2" w:name="_Toc104545472"/>
      <w:bookmarkStart w:id="3" w:name="_Toc104545490"/>
      <w:r w:rsidRPr="006D652D">
        <w:rPr>
          <w:rFonts w:ascii="Times New Roman" w:hAnsi="Times New Roman" w:cs="Times New Roman"/>
          <w:color w:val="auto"/>
          <w:sz w:val="28"/>
          <w:szCs w:val="28"/>
        </w:rPr>
        <w:t>Note 2. Raman spectroscopy and optical image</w:t>
      </w:r>
      <w:bookmarkEnd w:id="2"/>
      <w:bookmarkEnd w:id="3"/>
    </w:p>
    <w:p w14:paraId="07AB013F" w14:textId="77777777" w:rsidR="00594992" w:rsidRDefault="00594992" w:rsidP="00594992">
      <w:pPr>
        <w:rPr>
          <w:lang w:val="en-US"/>
        </w:rPr>
      </w:pPr>
    </w:p>
    <w:p w14:paraId="31BD959B" w14:textId="77777777" w:rsidR="00FD5E16" w:rsidRPr="001632C4" w:rsidRDefault="00FD5E16" w:rsidP="00FD5E16">
      <w:pPr>
        <w:rPr>
          <w:b/>
          <w:bCs/>
          <w:lang w:val="en-US"/>
        </w:rPr>
      </w:pPr>
    </w:p>
    <w:p w14:paraId="51212650" w14:textId="034AD56C" w:rsidR="00FD5E16" w:rsidRPr="001632C4" w:rsidRDefault="00FD5E16" w:rsidP="00FD5E16">
      <w:pPr>
        <w:spacing w:line="360" w:lineRule="auto"/>
        <w:jc w:val="both"/>
        <w:rPr>
          <w:lang w:val="en-US"/>
        </w:rPr>
      </w:pPr>
      <w:r w:rsidRPr="001632C4">
        <w:rPr>
          <w:lang w:val="en-US"/>
        </w:rPr>
        <w:t xml:space="preserve">Optical images and Raman spectroscopy demonstrate the formation of high-quality single layer graphene. </w:t>
      </w:r>
    </w:p>
    <w:p w14:paraId="28086F5C" w14:textId="68EA370C" w:rsidR="00FD5E16" w:rsidRPr="001632C4" w:rsidRDefault="0094392B" w:rsidP="00FD5E16">
      <w:pPr>
        <w:rPr>
          <w:lang w:val="en-US"/>
        </w:rPr>
      </w:pPr>
      <w:r>
        <w:rPr>
          <w:noProof/>
          <w:lang w:val="en-US"/>
        </w:rPr>
        <mc:AlternateContent>
          <mc:Choice Requires="wps">
            <w:drawing>
              <wp:anchor distT="0" distB="0" distL="114300" distR="114300" simplePos="0" relativeHeight="251661312" behindDoc="0" locked="0" layoutInCell="1" allowOverlap="1" wp14:anchorId="15972DF2" wp14:editId="700F4440">
                <wp:simplePos x="0" y="0"/>
                <wp:positionH relativeFrom="column">
                  <wp:posOffset>309880</wp:posOffset>
                </wp:positionH>
                <wp:positionV relativeFrom="paragraph">
                  <wp:posOffset>-4445</wp:posOffset>
                </wp:positionV>
                <wp:extent cx="4677410" cy="41021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4677410" cy="410210"/>
                        </a:xfrm>
                        <a:prstGeom prst="rect">
                          <a:avLst/>
                        </a:prstGeom>
                        <a:noFill/>
                        <a:ln w="6350">
                          <a:noFill/>
                        </a:ln>
                      </wps:spPr>
                      <wps:txbx>
                        <w:txbxContent>
                          <w:p w14:paraId="71007DF2" w14:textId="35DE20CE" w:rsidR="00407DF6" w:rsidRPr="00407DF6" w:rsidRDefault="00407DF6" w:rsidP="00407DF6">
                            <w:pPr>
                              <w:ind w:left="360"/>
                              <w:rPr>
                                <w:rFonts w:ascii="Calibri" w:hAnsi="Calibri" w:cs="Calibri"/>
                              </w:rPr>
                            </w:pPr>
                            <w:r w:rsidRPr="00407DF6">
                              <w:rPr>
                                <w:rFonts w:ascii="Calibri" w:hAnsi="Calibri" w:cs="Calibri"/>
                              </w:rPr>
                              <w:t xml:space="preserve">a)                                          </w:t>
                            </w:r>
                            <w:r>
                              <w:rPr>
                                <w:rFonts w:ascii="Calibri" w:hAnsi="Calibri" w:cs="Calibri"/>
                              </w:rPr>
                              <w:t xml:space="preserve">      </w:t>
                            </w:r>
                            <w:r w:rsidRPr="00407DF6">
                              <w:rPr>
                                <w:rFonts w:ascii="Calibri" w:hAnsi="Calibri" w:cs="Calibri"/>
                              </w:rPr>
                              <w:t xml:space="preserve">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5972DF2" id="_x0000_t202" coordsize="21600,21600" o:spt="202" path="m,l,21600r21600,l21600,xe">
                <v:stroke joinstyle="miter"/>
                <v:path gradientshapeok="t" o:connecttype="rect"/>
              </v:shapetype>
              <v:shape id="Cuadro de texto 3" o:spid="_x0000_s1026" type="#_x0000_t202" style="position:absolute;margin-left:24.4pt;margin-top:-.35pt;width:368.3pt;height:32.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" filled="f" stroked="f" strokeweight=".5pt">
                <v:textbox>
                  <w:txbxContent>
                    <w:p w14:paraId="71007DF2" w14:textId="35DE20CE" w:rsidR="00407DF6" w:rsidRPr="00407DF6" w:rsidRDefault="00407DF6" w:rsidP="00407DF6">
                      <w:pPr>
                        <w:ind w:left="360"/>
                        <w:rPr>
                          <w:rFonts w:ascii="Calibri" w:hAnsi="Calibri" w:cs="Calibri"/>
                        </w:rPr>
                      </w:pPr>
                      <w:r w:rsidRPr="00407DF6">
                        <w:rPr>
                          <w:rFonts w:ascii="Calibri" w:hAnsi="Calibri" w:cs="Calibri"/>
                        </w:rPr>
                        <w:t xml:space="preserve">a)                                          </w:t>
                      </w:r>
                      <w:r>
                        <w:rPr>
                          <w:rFonts w:ascii="Calibri" w:hAnsi="Calibri" w:cs="Calibri"/>
                        </w:rPr>
                        <w:t xml:space="preserve">      </w:t>
                      </w:r>
                      <w:r w:rsidRPr="00407DF6">
                        <w:rPr>
                          <w:rFonts w:ascii="Calibri" w:hAnsi="Calibri" w:cs="Calibri"/>
                        </w:rPr>
                        <w:t xml:space="preserve">                        b)</w:t>
                      </w:r>
                    </w:p>
                  </w:txbxContent>
                </v:textbox>
              </v:shape>
            </w:pict>
          </mc:Fallback>
        </mc:AlternateContent>
      </w:r>
    </w:p>
    <w:p w14:paraId="66A4ED44" w14:textId="0B3A2956" w:rsidR="00FD5E16" w:rsidRPr="001632C4" w:rsidRDefault="00FD5E16" w:rsidP="00073462">
      <w:pPr>
        <w:jc w:val="center"/>
        <w:rPr>
          <w:lang w:val="en-US"/>
        </w:rPr>
      </w:pPr>
      <w:r w:rsidRPr="001632C4">
        <w:rPr>
          <w:noProof/>
          <w:lang w:val="en-US"/>
        </w:rPr>
        <w:drawing>
          <wp:inline distT="0" distB="0" distL="0" distR="0" wp14:anchorId="4D4FFB81" wp14:editId="29AD249F">
            <wp:extent cx="5135528" cy="1979295"/>
            <wp:effectExtent l="0" t="0" r="0" b="1905"/>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0340" t="30213" r="19252" b="28398"/>
                    <a:stretch/>
                  </pic:blipFill>
                  <pic:spPr bwMode="auto">
                    <a:xfrm>
                      <a:off x="0" y="0"/>
                      <a:ext cx="5137357" cy="1980000"/>
                    </a:xfrm>
                    <a:prstGeom prst="rect">
                      <a:avLst/>
                    </a:prstGeom>
                    <a:ln>
                      <a:noFill/>
                    </a:ln>
                    <a:extLst>
                      <a:ext uri="{53640926-AAD7-44D8-BBD7-CCE9431645EC}">
                        <a14:shadowObscured xmlns:a14="http://schemas.microsoft.com/office/drawing/2010/main"/>
                      </a:ext>
                    </a:extLst>
                  </pic:spPr>
                </pic:pic>
              </a:graphicData>
            </a:graphic>
          </wp:inline>
        </w:drawing>
      </w:r>
    </w:p>
    <w:p w14:paraId="79B39BE0" w14:textId="77777777" w:rsidR="00A025A4" w:rsidRDefault="00A025A4" w:rsidP="00D62305">
      <w:pPr>
        <w:spacing w:line="276" w:lineRule="auto"/>
        <w:rPr>
          <w:b/>
          <w:bCs/>
          <w:noProof/>
          <w:lang w:val="en-US"/>
        </w:rPr>
      </w:pPr>
    </w:p>
    <w:p w14:paraId="602F4987" w14:textId="2C488C66" w:rsidR="00FD5E16" w:rsidRPr="001632C4" w:rsidRDefault="00FD5E16" w:rsidP="00D62305">
      <w:pPr>
        <w:spacing w:line="276" w:lineRule="auto"/>
        <w:rPr>
          <w:lang w:val="en-US"/>
        </w:rPr>
      </w:pPr>
      <w:r w:rsidRPr="001632C4">
        <w:rPr>
          <w:b/>
          <w:bCs/>
          <w:noProof/>
          <w:lang w:val="en-US"/>
        </w:rPr>
        <w:t>Figure S</w:t>
      </w:r>
      <w:r w:rsidR="00F41F49">
        <w:rPr>
          <w:b/>
          <w:bCs/>
          <w:noProof/>
          <w:lang w:val="en-US"/>
        </w:rPr>
        <w:t>4</w:t>
      </w:r>
      <w:r w:rsidRPr="001632C4">
        <w:rPr>
          <w:b/>
          <w:bCs/>
          <w:noProof/>
          <w:lang w:val="en-US"/>
        </w:rPr>
        <w:t xml:space="preserve">. Optical </w:t>
      </w:r>
      <w:r w:rsidR="00207C76" w:rsidRPr="001632C4">
        <w:rPr>
          <w:b/>
          <w:bCs/>
          <w:noProof/>
          <w:lang w:val="en-US"/>
        </w:rPr>
        <w:t xml:space="preserve">and Raman spectroscopy </w:t>
      </w:r>
      <w:r w:rsidRPr="001632C4">
        <w:rPr>
          <w:b/>
          <w:bCs/>
          <w:noProof/>
          <w:lang w:val="en-US"/>
        </w:rPr>
        <w:t>char</w:t>
      </w:r>
      <w:r w:rsidR="0081495E">
        <w:rPr>
          <w:b/>
          <w:bCs/>
          <w:noProof/>
          <w:lang w:val="en-US"/>
        </w:rPr>
        <w:t>ac</w:t>
      </w:r>
      <w:r w:rsidRPr="001632C4">
        <w:rPr>
          <w:b/>
          <w:bCs/>
          <w:noProof/>
          <w:lang w:val="en-US"/>
        </w:rPr>
        <w:t>terization of a</w:t>
      </w:r>
      <w:r w:rsidR="00207C76" w:rsidRPr="001632C4">
        <w:rPr>
          <w:b/>
          <w:bCs/>
          <w:noProof/>
          <w:lang w:val="en-US"/>
        </w:rPr>
        <w:t xml:space="preserve"> CVD</w:t>
      </w:r>
      <w:r w:rsidRPr="001632C4">
        <w:rPr>
          <w:b/>
          <w:bCs/>
          <w:noProof/>
          <w:lang w:val="en-US"/>
        </w:rPr>
        <w:t xml:space="preserve"> graphene</w:t>
      </w:r>
      <w:r w:rsidR="00207C76" w:rsidRPr="001632C4">
        <w:rPr>
          <w:b/>
          <w:bCs/>
          <w:noProof/>
          <w:lang w:val="en-US"/>
        </w:rPr>
        <w:t xml:space="preserve"> layer transferred on a silicon wafer</w:t>
      </w:r>
      <w:r w:rsidRPr="001632C4">
        <w:rPr>
          <w:b/>
          <w:bCs/>
          <w:noProof/>
          <w:lang w:val="en-US"/>
        </w:rPr>
        <w:t>.</w:t>
      </w:r>
      <w:r w:rsidRPr="001632C4">
        <w:rPr>
          <w:lang w:val="en-US"/>
        </w:rPr>
        <w:t xml:space="preserve"> (</w:t>
      </w:r>
      <w:r w:rsidRPr="001632C4">
        <w:rPr>
          <w:b/>
          <w:lang w:val="en-US"/>
        </w:rPr>
        <w:t>a</w:t>
      </w:r>
      <w:r w:rsidRPr="001632C4">
        <w:rPr>
          <w:lang w:val="en-US"/>
        </w:rPr>
        <w:t xml:space="preserve">) Raman spectra from single and multilayer zones. </w:t>
      </w:r>
      <w:r w:rsidRPr="001632C4">
        <w:rPr>
          <w:b/>
          <w:bCs/>
          <w:lang w:val="en-US"/>
        </w:rPr>
        <w:t>(b)</w:t>
      </w:r>
      <w:r w:rsidR="00AE6365">
        <w:rPr>
          <w:b/>
          <w:bCs/>
          <w:lang w:val="en-US"/>
        </w:rPr>
        <w:t xml:space="preserve"> </w:t>
      </w:r>
      <w:r w:rsidRPr="001632C4">
        <w:rPr>
          <w:lang w:val="en-US"/>
        </w:rPr>
        <w:t>Optical image of the CVD grown graphene</w:t>
      </w:r>
      <w:r w:rsidR="00207C76" w:rsidRPr="001632C4">
        <w:rPr>
          <w:lang w:val="en-US"/>
        </w:rPr>
        <w:t>.</w:t>
      </w:r>
    </w:p>
    <w:p w14:paraId="1124BB9A" w14:textId="77777777" w:rsidR="00FD5E16" w:rsidRPr="001632C4" w:rsidRDefault="00FD5E16" w:rsidP="00D62305">
      <w:pPr>
        <w:spacing w:line="276" w:lineRule="auto"/>
        <w:rPr>
          <w:b/>
          <w:lang w:val="en-US"/>
        </w:rPr>
      </w:pPr>
      <w:r w:rsidRPr="001632C4">
        <w:rPr>
          <w:lang w:val="en-US"/>
        </w:rPr>
        <w:br w:type="page"/>
      </w:r>
    </w:p>
    <w:p w14:paraId="62915C1E" w14:textId="77777777" w:rsidR="00FD5E16" w:rsidRPr="006D652D" w:rsidRDefault="00FD5E16" w:rsidP="006D652D">
      <w:pPr>
        <w:pStyle w:val="Ttulo1"/>
        <w:rPr>
          <w:rFonts w:ascii="Times New Roman" w:hAnsi="Times New Roman" w:cs="Times New Roman"/>
          <w:color w:val="auto"/>
          <w:sz w:val="28"/>
          <w:szCs w:val="28"/>
        </w:rPr>
      </w:pPr>
      <w:bookmarkStart w:id="4" w:name="_Toc104545473"/>
      <w:bookmarkStart w:id="5" w:name="_Toc104545491"/>
      <w:r w:rsidRPr="006D652D">
        <w:rPr>
          <w:rFonts w:ascii="Times New Roman" w:hAnsi="Times New Roman" w:cs="Times New Roman"/>
          <w:color w:val="auto"/>
          <w:sz w:val="28"/>
          <w:szCs w:val="28"/>
        </w:rPr>
        <w:lastRenderedPageBreak/>
        <w:t>Note 3. X-ray photoelectron spectroscopy</w:t>
      </w:r>
      <w:bookmarkEnd w:id="4"/>
      <w:bookmarkEnd w:id="5"/>
    </w:p>
    <w:p w14:paraId="7D87C841" w14:textId="77777777" w:rsidR="00FD5E16" w:rsidRPr="001632C4" w:rsidRDefault="00FD5E16" w:rsidP="00FD5E16">
      <w:pPr>
        <w:rPr>
          <w:lang w:val="en-US"/>
        </w:rPr>
      </w:pPr>
    </w:p>
    <w:p w14:paraId="3BFD5511" w14:textId="43B949AD" w:rsidR="001E4091" w:rsidRDefault="00FD5E16" w:rsidP="001E4091">
      <w:pPr>
        <w:spacing w:line="360" w:lineRule="auto"/>
        <w:jc w:val="both"/>
        <w:rPr>
          <w:lang w:val="en-US"/>
        </w:rPr>
      </w:pPr>
      <w:r w:rsidRPr="001632C4">
        <w:rPr>
          <w:lang w:val="en-US"/>
        </w:rPr>
        <w:t>In Figure S</w:t>
      </w:r>
      <w:r w:rsidR="00A025A4">
        <w:rPr>
          <w:lang w:val="en-US"/>
        </w:rPr>
        <w:t>5</w:t>
      </w:r>
      <w:r w:rsidRPr="001632C4">
        <w:rPr>
          <w:lang w:val="en-US"/>
        </w:rPr>
        <w:t>a, two peaks can be seen, located at E</w:t>
      </w:r>
      <w:r w:rsidRPr="001632C4">
        <w:rPr>
          <w:vertAlign w:val="subscript"/>
          <w:lang w:val="en-US"/>
        </w:rPr>
        <w:t xml:space="preserve">b </w:t>
      </w:r>
      <w:r w:rsidRPr="001632C4">
        <w:rPr>
          <w:lang w:val="en-US"/>
        </w:rPr>
        <w:t>= 163.</w:t>
      </w:r>
      <w:r w:rsidR="00314C56">
        <w:rPr>
          <w:lang w:val="en-US"/>
        </w:rPr>
        <w:t>0</w:t>
      </w:r>
      <w:r w:rsidRPr="001632C4">
        <w:rPr>
          <w:lang w:val="en-US"/>
        </w:rPr>
        <w:t xml:space="preserve"> eV and E</w:t>
      </w:r>
      <w:r w:rsidRPr="001632C4">
        <w:rPr>
          <w:vertAlign w:val="subscript"/>
          <w:lang w:val="en-US"/>
        </w:rPr>
        <w:t>b</w:t>
      </w:r>
      <w:r w:rsidRPr="001632C4">
        <w:rPr>
          <w:lang w:val="en-US"/>
        </w:rPr>
        <w:t xml:space="preserve"> = 161.8 eV which are assigned to S2p ½ and S 2p 3/2 core levels, respectively while in Figure S</w:t>
      </w:r>
      <w:r w:rsidR="00A025A4">
        <w:rPr>
          <w:lang w:val="en-US"/>
        </w:rPr>
        <w:t>5</w:t>
      </w:r>
      <w:r w:rsidRPr="001632C4">
        <w:rPr>
          <w:lang w:val="en-US"/>
        </w:rPr>
        <w:t>b the values are almost the same, E</w:t>
      </w:r>
      <w:r w:rsidRPr="001632C4">
        <w:rPr>
          <w:vertAlign w:val="subscript"/>
          <w:lang w:val="en-US"/>
        </w:rPr>
        <w:t xml:space="preserve">b </w:t>
      </w:r>
      <w:r w:rsidRPr="001632C4">
        <w:rPr>
          <w:lang w:val="en-US"/>
        </w:rPr>
        <w:t>= 163.0 eV and E</w:t>
      </w:r>
      <w:r w:rsidRPr="001632C4">
        <w:rPr>
          <w:vertAlign w:val="subscript"/>
          <w:lang w:val="en-US"/>
        </w:rPr>
        <w:t>b</w:t>
      </w:r>
      <w:r w:rsidRPr="001632C4">
        <w:rPr>
          <w:lang w:val="en-US"/>
        </w:rPr>
        <w:t xml:space="preserve"> = 161.7 eV. These peaks fall slightly below the value of a S thiol bonded to Au (162.5 eV for S 2p 3/2).</w:t>
      </w:r>
      <w:r w:rsidR="001E4091">
        <w:rPr>
          <w:lang w:val="en-US"/>
        </w:rPr>
        <w:t xml:space="preserve"> T</w:t>
      </w:r>
      <w:r w:rsidR="001E4091" w:rsidRPr="00B21BF5">
        <w:rPr>
          <w:lang w:val="en-US"/>
        </w:rPr>
        <w:t xml:space="preserve">he study </w:t>
      </w:r>
      <w:r w:rsidR="001E4091">
        <w:rPr>
          <w:lang w:val="en-US"/>
        </w:rPr>
        <w:t xml:space="preserve">that agrees with </w:t>
      </w:r>
      <w:r w:rsidR="001E4091" w:rsidRPr="00B21BF5">
        <w:rPr>
          <w:lang w:val="en-US"/>
        </w:rPr>
        <w:t xml:space="preserve">earlier </w:t>
      </w:r>
      <w:r w:rsidR="005170F0">
        <w:rPr>
          <w:lang w:val="en-US"/>
        </w:rPr>
        <w:t>reports</w:t>
      </w:r>
      <w:r w:rsidR="00A90A70">
        <w:rPr>
          <w:rStyle w:val="Refdenotaalpie"/>
          <w:lang w:val="en-US"/>
        </w:rPr>
        <w:fldChar w:fldCharType="begin" w:fldLock="1"/>
      </w:r>
      <w:r w:rsidR="00882E2D">
        <w:rPr>
          <w:lang w:val="en-US"/>
        </w:rPr>
        <w:instrText>ADDIN CSL_CITATION {"citationItems":[{"id":"ITEM-1","itemData":{"DOI":"10.1016/0039-6028(80)90623-8","ISSN":"00396028","abstract":"Monomolecular and multilayers of ferrocene derivatives have been deposited on or bonded to electrodes and examined by XPS. In many cases the preparation leaves the modified surface in an oxidized, ferricenium state. Evidence supporting this and possible oxidative mechanisms is discussed. © 1980.","author":[{"dropping-particle":"","family":"Umaña","given":"M.","non-dropping-particle":"","parse-names":false,"suffix":""},{"dropping-particle":"","family":"Rolison","given":"D. R.","non-dropping-particle":"","parse-names":false,"suffix":""},{"dropping-particle":"","family":"Nowak","given":"R.","non-dropping-particle":"","parse-names":false,"suffix":""},{"dropping-particle":"","family":"Daum","given":"P.","non-dropping-particle":"","parse-names":false,"suffix":""},{"dropping-particle":"","family":"Murray","given":"Royce W.","non-dropping-particle":"","parse-names":false,"suffix":""}],"container-title":"Surface Science","id":"ITEM-1","issue":"1-3","issued":{"date-parts":[["1980","12","1"]]},"page":"295-309","publisher":"North-Holland","title":"X-ray photoelectron spectroscopy of metal, metal oxide, and carbon electrode surfaces chemically modified with ferrocene and ferricenium","type":"article-journal","volume":"101"},"uris":["http://www.mendeley.com/documents/?uuid=e55199bb-519b-3884-9dcd-2c403f793c95"]},{"id":"ITEM-2","itemData":{"DOI":"10.1063/1.4795575","ISSN":"00219606","abstract":"Self-assembled monolayers (SAMs) containing electroactive functional groups are excellent model systems for the formation of electronic devices by self-assembly. In particular ferrocene-terminated alkanethiol SAMs have been extensively studied in the past. However, there are still open questions related with their electronic structure including the influence of the ferrocene group in the SAM-induced work function changes of the underlying metal. We have thus carried out a thorough experimental and theoretical investigation in order to determine the molecular and electronic structure of ferrocene-terminated alkanethiol SAMs on Au surfaces. In agreement with previous studies we found that the Fc-containing alkanethiol molecules adsorb forming a thiolate bond with the Au surface with a molecular geometry 30° tilted with respect to the surface normal. Measured surface coverages indicate the formation of a compact monolayer. We found for the first time that the ferrocene group has little influence on the observed work function decrease which is largely determined by the alkanethiol. Furthermore, the ferrocene moiety lies 14 Å above the metal surface covalently bonded to the alkanethiol SAM and its HOMO is located at -1.6 eV below the Fermi level. Our results provide new valuable insight into the molecular and electronic structure of electroactive SAMs which are of fundamental importance in the field of molecular electronics. © 2013 American Institute of Physics.","author":[{"dropping-particle":"","family":"Leo","given":"Lucila P.Méndez","non-dropping-particle":"De","parse-names":false,"suffix":""},{"dropping-particle":"","family":"La Llave","given":"Ezequiel","non-dropping-particle":"De","parse-names":false,"suffix":""},{"dropping-particle":"","family":"Scherlis","given":"Damián","non-dropping-particle":"","parse-names":false,"suffix":""},{"dropping-particle":"","family":"Williams","given":"Federico J.","non-dropping-particle":"","parse-names":false,"suffix":""}],"container-title":"Journal of Chemical Physics","id":"ITEM-2","issue":"11","issued":{"date-parts":[["2013","3","21"]]},"page":"114707","publisher":"American Institute of PhysicsAIP","title":"Molecular and electronic structure of electroactive self-assembled monolayers","type":"article-journal","volume":"138"},"uris":["http://www.mendeley.com/documents/?uuid=3d81eab5-cc36-3db2-b998-1178433f7d08"]},{"id":"ITEM-3","itemData":{"DOI":"10.1016/j.aca.2016.04.010","ISBN":"2165598559","author":[{"dropping-particle":"","family":"Rabti","given":"Amal","non-dropping-particle":"","parse-names":false,"suffix":""},{"dropping-particle":"","family":"Mayorga-martinez","given":"Carmen C","non-dropping-particle":"","parse-names":false,"suffix":""},{"dropping-particle":"","family":"Baptista-pires","given":"Luis","non-dropping-particle":"","parse-names":false,"suffix":""},{"dropping-particle":"","family":"Raoua","given":"Noureddine","non-dropping-particle":"","parse-names":false,"suffix":""},{"dropping-particle":"","family":"Merkoçi","given":"Arben","non-dropping-particle":"","parse-names":false,"suffix":""}],"container-title":"Analytica Chimica Acta journal","id":"ITEM-3","issued":{"date-parts":[["2016"]]},"page":"28-35","title":"Ferrocene-functionalized graphene electrode for biosensing applications","type":"article-journal","volume":"926"},"uris":["http://www.mendeley.com/documents/?uuid=bbf2f996-f061-415f-8d17-6b82be8ddf2f"]},{"id":"ITEM-4","itemData":{"DOI":"10.1021/jp808938d","ISSN":"19327447","abstract":"Mixed self-assembled monolayers of 11-ferrocene-1-undecanethiol (FcC 11) and decanethiol (C10) were prepared by two different methods: from a mixed solution and by subsequent immersion. These preparations result in self-assembled monolayers (SAMs) with different portions of FcC 11 molecules, orientations, and degrees of order in the SAM. The structure of these layers was studied by high-resolution X-ray photoelectron spectroscopy (HRXPS) and near-edge X-ray absorption fine structure (NEXAFS) spectroscopy, and their effect on the surface electronic properties was investigated by Kelvin probe. The fraction of FcC11 in C10 thiol could be estimated from the intensity of the HRXPS Fe 2p3/2 peaks. The SAM prepared from the mixed solution was of high quality, and the portion of FcC11 molecules in this film was about 60%. The interaction of neighboring ferrocene moieties indicated phase separation between FcC11 and C10 species in the film. For the SAMs prepared by subsequent immersion in C10 and FcC11 solutions, the portion of FcC11 molecules varied from 35% to 55% dependent on the immersion times in the C10 solution. The degree of orientational order of the alkyl hains increased with increasing immersion time in C10. In addition, the adsorption of C10 decreased the work function of the gold surface while the adsorption of FcC11 increased this value. By varying the fraction of FcC11 in the SAMs with different preparation schemes, the work function of the gold surface could be varied in a controllable way. © 2009 American Chemical Society.","author":[{"dropping-particle":"","family":"Watcharinyanon","given":"Somsakul","non-dropping-particle":"","parse-names":false,"suffix":""},{"dropping-particle":"","family":"Moons","given":"Ellen","non-dropping-particle":"","parse-names":false,"suffix":""},{"dropping-particle":"","family":"Johansson","given":"Lars S.O.","non-dropping-particle":"","parse-names":false,"suffix":""}],"container-title":"Journal of Physical Chemistry C","id":"ITEM-4","issue":"5","issued":{"date-parts":[["2009"]]},"page":"1972-1979","title":"Mixed self-assembled monolayers of ferrocene-terminated and unsubstituted alkanethiols on gold: Surface structure and work function","type":"article-journal","volume":"113"},"uris":["http://www.mendeley.com/documents/?uuid=5cc08320-0983-4c37-a695-a2b4bec2a439"]}],"mendeley":{"formattedCitation":"&lt;sup&gt;11–14&lt;/sup&gt;","plainTextFormattedCitation":"11–14","previouslyFormattedCitation":"&lt;sup&gt;11–14&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11–14</w:t>
      </w:r>
      <w:r w:rsidR="00A90A70">
        <w:rPr>
          <w:rStyle w:val="Refdenotaalpie"/>
          <w:lang w:val="en-US"/>
        </w:rPr>
        <w:fldChar w:fldCharType="end"/>
      </w:r>
      <w:r w:rsidR="001E4091">
        <w:rPr>
          <w:lang w:val="en-US"/>
        </w:rPr>
        <w:t xml:space="preserve"> </w:t>
      </w:r>
      <w:r w:rsidR="001E4091" w:rsidRPr="00B21BF5">
        <w:rPr>
          <w:lang w:val="en-US"/>
        </w:rPr>
        <w:t>includ</w:t>
      </w:r>
      <w:r w:rsidR="001E4091">
        <w:rPr>
          <w:lang w:val="en-US"/>
        </w:rPr>
        <w:t>es</w:t>
      </w:r>
      <w:r w:rsidR="001E4091" w:rsidRPr="00B21BF5">
        <w:rPr>
          <w:lang w:val="en-US"/>
        </w:rPr>
        <w:t xml:space="preserve"> fresh and aged (60 days at ambient conditions) samples to highlights</w:t>
      </w:r>
      <w:r w:rsidR="005170F0">
        <w:rPr>
          <w:lang w:val="en-US"/>
        </w:rPr>
        <w:t xml:space="preserve"> the</w:t>
      </w:r>
      <w:r w:rsidR="001E4091" w:rsidRPr="00B21BF5">
        <w:rPr>
          <w:lang w:val="en-US"/>
        </w:rPr>
        <w:t xml:space="preserve"> effect on the encapsulation over the time</w:t>
      </w:r>
      <w:r w:rsidR="001E4091">
        <w:rPr>
          <w:lang w:val="en-US"/>
        </w:rPr>
        <w:t>.</w:t>
      </w:r>
    </w:p>
    <w:p w14:paraId="08F44A20" w14:textId="77777777" w:rsidR="008660E7" w:rsidRPr="00B21BF5" w:rsidRDefault="008660E7" w:rsidP="001E4091">
      <w:pPr>
        <w:spacing w:line="360" w:lineRule="auto"/>
        <w:jc w:val="both"/>
        <w:rPr>
          <w:lang w:val="en-US"/>
        </w:rPr>
      </w:pPr>
    </w:p>
    <w:p w14:paraId="7137046E" w14:textId="7CFB3120" w:rsidR="003A5A57" w:rsidRPr="001632C4" w:rsidRDefault="00B76A6F" w:rsidP="001530EB">
      <w:pPr>
        <w:spacing w:line="360" w:lineRule="auto"/>
        <w:jc w:val="both"/>
        <w:rPr>
          <w:lang w:val="en-US"/>
        </w:rPr>
      </w:pPr>
      <w:r w:rsidRPr="00B76A6F">
        <w:rPr>
          <w:noProof/>
        </w:rPr>
        <w:drawing>
          <wp:inline distT="0" distB="0" distL="0" distR="0" wp14:anchorId="4B989E26" wp14:editId="45E7E4BB">
            <wp:extent cx="5760720" cy="2391410"/>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2391410"/>
                    </a:xfrm>
                    <a:prstGeom prst="rect">
                      <a:avLst/>
                    </a:prstGeom>
                  </pic:spPr>
                </pic:pic>
              </a:graphicData>
            </a:graphic>
          </wp:inline>
        </w:drawing>
      </w:r>
    </w:p>
    <w:p w14:paraId="345BC040" w14:textId="4BA76734" w:rsidR="0065657B" w:rsidRPr="001632C4" w:rsidRDefault="0065657B" w:rsidP="00D62305">
      <w:pPr>
        <w:spacing w:line="276" w:lineRule="auto"/>
        <w:jc w:val="both"/>
        <w:rPr>
          <w:noProof/>
          <w:lang w:val="en-US"/>
        </w:rPr>
      </w:pPr>
      <w:r w:rsidRPr="001632C4">
        <w:rPr>
          <w:b/>
          <w:bCs/>
          <w:noProof/>
          <w:lang w:val="en-US"/>
        </w:rPr>
        <w:t>Figure S</w:t>
      </w:r>
      <w:r w:rsidR="00F41F49">
        <w:rPr>
          <w:b/>
          <w:bCs/>
          <w:noProof/>
          <w:lang w:val="en-US"/>
        </w:rPr>
        <w:t>5</w:t>
      </w:r>
      <w:r w:rsidRPr="001632C4">
        <w:rPr>
          <w:b/>
          <w:bCs/>
          <w:noProof/>
          <w:lang w:val="en-US"/>
        </w:rPr>
        <w:t xml:space="preserve"> .XPS spectra of a ferrocenyl SAM samples, covered and uncovered</w:t>
      </w:r>
      <w:r w:rsidR="005170F0">
        <w:rPr>
          <w:b/>
          <w:bCs/>
          <w:noProof/>
          <w:lang w:val="en-US"/>
        </w:rPr>
        <w:t xml:space="preserve"> by Gr</w:t>
      </w:r>
      <w:r w:rsidRPr="001632C4">
        <w:rPr>
          <w:b/>
          <w:bCs/>
          <w:noProof/>
          <w:lang w:val="en-US"/>
        </w:rPr>
        <w:t>.</w:t>
      </w:r>
      <w:r w:rsidRPr="001632C4">
        <w:rPr>
          <w:noProof/>
          <w:lang w:val="en-US"/>
        </w:rPr>
        <w:t xml:space="preserve"> Core energy levels: </w:t>
      </w:r>
      <w:r w:rsidRPr="001632C4">
        <w:rPr>
          <w:b/>
          <w:bCs/>
          <w:noProof/>
          <w:lang w:val="en-US"/>
        </w:rPr>
        <w:t>(a)</w:t>
      </w:r>
      <w:r w:rsidRPr="001632C4">
        <w:rPr>
          <w:noProof/>
          <w:lang w:val="en-US"/>
        </w:rPr>
        <w:t xml:space="preserve"> S2p on a sample without graphene, </w:t>
      </w:r>
      <w:r w:rsidRPr="001632C4">
        <w:rPr>
          <w:b/>
          <w:bCs/>
          <w:noProof/>
          <w:lang w:val="en-US"/>
        </w:rPr>
        <w:t>(b)</w:t>
      </w:r>
      <w:r w:rsidRPr="001632C4">
        <w:rPr>
          <w:noProof/>
          <w:lang w:val="en-US"/>
        </w:rPr>
        <w:t xml:space="preserve"> S2p in a sample with graphene</w:t>
      </w:r>
      <w:r w:rsidR="00966CCE">
        <w:rPr>
          <w:noProof/>
          <w:lang w:val="en-US"/>
        </w:rPr>
        <w:t xml:space="preserve"> </w:t>
      </w:r>
      <w:r w:rsidR="00966CCE" w:rsidRPr="001632C4">
        <w:rPr>
          <w:lang w:val="en-US"/>
        </w:rPr>
        <w:t>before and after aging</w:t>
      </w:r>
      <w:r w:rsidR="00620DF0">
        <w:rPr>
          <w:noProof/>
          <w:lang w:val="en-US"/>
        </w:rPr>
        <w:t>.</w:t>
      </w:r>
    </w:p>
    <w:p w14:paraId="7ECF17AE" w14:textId="3D909F06" w:rsidR="007B2181" w:rsidRDefault="007B2181" w:rsidP="00FD5E16">
      <w:pPr>
        <w:jc w:val="both"/>
        <w:rPr>
          <w:noProof/>
          <w:lang w:val="en-US"/>
        </w:rPr>
      </w:pPr>
    </w:p>
    <w:p w14:paraId="1E40910F" w14:textId="77777777" w:rsidR="001530EB" w:rsidRDefault="001530EB">
      <w:pPr>
        <w:rPr>
          <w:lang w:val="en-US"/>
        </w:rPr>
      </w:pPr>
      <w:r>
        <w:rPr>
          <w:lang w:val="en-US"/>
        </w:rPr>
        <w:br w:type="page"/>
      </w:r>
    </w:p>
    <w:p w14:paraId="3B4D8007" w14:textId="2A20520B" w:rsidR="00FC51BC" w:rsidRDefault="00FC51BC" w:rsidP="00EC0DE7">
      <w:pPr>
        <w:spacing w:line="360" w:lineRule="auto"/>
        <w:jc w:val="both"/>
        <w:rPr>
          <w:lang w:val="en-US"/>
        </w:rPr>
      </w:pPr>
      <w:r w:rsidRPr="00FC51BC">
        <w:rPr>
          <w:lang w:val="en-US"/>
        </w:rPr>
        <w:lastRenderedPageBreak/>
        <w:t>The XPS C1s spectra of the unprotected and graphene protected sample and its evolution with time are shown in the Figure S6. For the unprotected ferrocene fresh sample (lower curve of S6a) the main peak is located at 284.6 eV, and we do not distinguish the different contributions of the carbon chain and the carbon in the ferrocene rings. There is some contamination, corresponding to C-OH or C-O components at 286 eV, probably coming from the ferrocene deposition method. For the fresh graphene protected sample (lower curve S6b) the main peak appears at a similar binding energy of 284.7 eV, and we cannot distinguish the graphene from the contribution of the underneath ferrocene. In this sample some other peaks appears at 286, 287.7 y 289 eV, that are compatible with contamination and remaining residues of the transfer process</w:t>
      </w:r>
      <w:r>
        <w:rPr>
          <w:lang w:val="en-US"/>
        </w:rPr>
        <w:fldChar w:fldCharType="begin" w:fldLock="1"/>
      </w:r>
      <w:r w:rsidR="00882E2D">
        <w:rPr>
          <w:lang w:val="en-US"/>
        </w:rPr>
        <w:instrText>ADDIN CSL_CITATION {"citationItems":[{"id":"ITEM-1","itemData":{"DOI":"10.1063/1.3643444","ISSN":"00036951","abstract":"The effects of residues introduced during the transfer of chemical vapor deposited graphene from a Cu substrate to an insulating (SiO2) substrate on the physical and electrical of the transferred graphene are studied. X-ray photoelectron spectroscopy and atomic force microscopy show that this residue can be substantially reduced by annealing in vacuum. The impact of the removal of poly(methyl methacrylate) residue on the electrical properties of graphene field effect devices is demonstrated, including a nearly 2 increase in average mobility from 1400 to 2700 cm2/Vs. The electrical results are compared with graphene doping measurements by Raman spectroscopy. © 2011 American Institute of Physics.","author":[{"dropping-particle":"","family":"Pirkle","given":"A.","non-dropping-particle":"","parse-names":false,"suffix":""},{"dropping-particle":"","family":"Chan","given":"J.","non-dropping-particle":"","parse-names":false,"suffix":""},{"dropping-particle":"","family":"Venugopal","given":"A.","non-dropping-particle":"","parse-names":false,"suffix":""},{"dropping-particle":"","family":"Hinojos","given":"D.","non-dropping-particle":"","parse-names":false,"suffix":""},{"dropping-particle":"","family":"Magnuson","given":"C. W.","non-dropping-particle":"","parse-names":false,"suffix":""},{"dropping-particle":"","family":"McDonnell","given":"S.","non-dropping-particle":"","parse-names":false,"suffix":""},{"dropping-particle":"","family":"Colombo","given":"L.","non-dropping-particle":"","parse-names":false,"suffix":""},{"dropping-particle":"","family":"Vogel","given":"E. M.","non-dropping-particle":"","parse-names":false,"suffix":""},{"dropping-particle":"","family":"Ruoff","given":"R. S.","non-dropping-particle":"","parse-names":false,"suffix":""},{"dropping-particle":"","family":"Wallace","given":"R. M.","non-dropping-particle":"","parse-names":false,"suffix":""}],"container-title":"Applied Physics Letters","id":"ITEM-1","issue":"12","issued":{"date-parts":[["2011"]]},"page":"2009-2012","title":"The effect of chemical residues on the physical and electrical properties of chemical vapor deposited graphene transferred to SiO2","type":"article-journal","volume":"99"},"uris":["http://www.mendeley.com/documents/?uuid=c7a1397d-f6f6-434a-be0e-53a7c415bc07"]}],"mendeley":{"formattedCitation":"&lt;sup&gt;15&lt;/sup&gt;","plainTextFormattedCitation":"15","previouslyFormattedCitation":"&lt;sup&gt;15&lt;/sup&gt;"},"properties":{"noteIndex":0},"schema":"https://github.com/citation-style-language/schema/raw/master/csl-citation.json"}</w:instrText>
      </w:r>
      <w:r>
        <w:rPr>
          <w:lang w:val="en-US"/>
        </w:rPr>
        <w:fldChar w:fldCharType="separate"/>
      </w:r>
      <w:r w:rsidR="00882E2D" w:rsidRPr="00882E2D">
        <w:rPr>
          <w:noProof/>
          <w:vertAlign w:val="superscript"/>
          <w:lang w:val="en-US"/>
        </w:rPr>
        <w:t>15</w:t>
      </w:r>
      <w:r>
        <w:rPr>
          <w:lang w:val="en-US"/>
        </w:rPr>
        <w:fldChar w:fldCharType="end"/>
      </w:r>
      <w:r w:rsidRPr="00FC51BC">
        <w:rPr>
          <w:lang w:val="en-US"/>
        </w:rPr>
        <w:t>For the aged samples (upper curves of S6a and S6b) we observe a clear increase of the carbon contamination peaks in the unprotected sample, but a similar amount of contamination/residues in the fresh and aged graphene sample.</w:t>
      </w:r>
    </w:p>
    <w:p w14:paraId="22CE0F68" w14:textId="77777777" w:rsidR="00966CCE" w:rsidRDefault="00966CCE" w:rsidP="00FD5E16">
      <w:pPr>
        <w:jc w:val="both"/>
        <w:rPr>
          <w:noProof/>
          <w:lang w:val="en-US"/>
        </w:rPr>
      </w:pPr>
    </w:p>
    <w:p w14:paraId="5DB06915" w14:textId="65AA124C" w:rsidR="0065657B" w:rsidRPr="001632C4" w:rsidRDefault="00B76A6F" w:rsidP="00FD5E16">
      <w:pPr>
        <w:jc w:val="both"/>
        <w:rPr>
          <w:lang w:val="en-US"/>
        </w:rPr>
      </w:pPr>
      <w:r w:rsidRPr="00B76A6F">
        <w:rPr>
          <w:noProof/>
        </w:rPr>
        <w:drawing>
          <wp:inline distT="0" distB="0" distL="0" distR="0" wp14:anchorId="488CDBFB" wp14:editId="5084F640">
            <wp:extent cx="5760720" cy="2214245"/>
            <wp:effectExtent l="0" t="0" r="508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2214245"/>
                    </a:xfrm>
                    <a:prstGeom prst="rect">
                      <a:avLst/>
                    </a:prstGeom>
                  </pic:spPr>
                </pic:pic>
              </a:graphicData>
            </a:graphic>
          </wp:inline>
        </w:drawing>
      </w:r>
    </w:p>
    <w:p w14:paraId="1852EBE1" w14:textId="65708636" w:rsidR="0065657B" w:rsidRPr="001632C4" w:rsidRDefault="0065657B" w:rsidP="00FD5E16">
      <w:pPr>
        <w:jc w:val="both"/>
        <w:rPr>
          <w:lang w:val="en-US"/>
        </w:rPr>
      </w:pPr>
    </w:p>
    <w:p w14:paraId="0BB30F1C" w14:textId="115AE1B0" w:rsidR="00407DF6" w:rsidRDefault="0065657B" w:rsidP="001E4091">
      <w:pPr>
        <w:spacing w:line="276" w:lineRule="auto"/>
        <w:jc w:val="both"/>
        <w:rPr>
          <w:lang w:val="en-US"/>
        </w:rPr>
      </w:pPr>
      <w:r w:rsidRPr="001632C4">
        <w:rPr>
          <w:b/>
          <w:bCs/>
          <w:lang w:val="en-US"/>
        </w:rPr>
        <w:t>Figure S</w:t>
      </w:r>
      <w:r w:rsidR="00F41F49">
        <w:rPr>
          <w:b/>
          <w:bCs/>
          <w:lang w:val="en-US"/>
        </w:rPr>
        <w:t>6</w:t>
      </w:r>
      <w:r w:rsidRPr="001632C4">
        <w:rPr>
          <w:b/>
          <w:bCs/>
          <w:lang w:val="en-US"/>
        </w:rPr>
        <w:t>. C1s core level spectrum</w:t>
      </w:r>
      <w:r w:rsidRPr="001632C4">
        <w:rPr>
          <w:lang w:val="en-US"/>
        </w:rPr>
        <w:t xml:space="preserve"> obtained from the measurement of </w:t>
      </w:r>
      <w:r w:rsidRPr="001632C4">
        <w:rPr>
          <w:b/>
          <w:bCs/>
          <w:lang w:val="en-US"/>
        </w:rPr>
        <w:t>(a)</w:t>
      </w:r>
      <w:r w:rsidRPr="001632C4">
        <w:rPr>
          <w:lang w:val="en-US"/>
        </w:rPr>
        <w:t xml:space="preserve"> Au/FcC</w:t>
      </w:r>
      <w:r w:rsidRPr="001632C4">
        <w:rPr>
          <w:vertAlign w:val="subscript"/>
          <w:lang w:val="en-US"/>
        </w:rPr>
        <w:t>11</w:t>
      </w:r>
      <w:r w:rsidRPr="001632C4">
        <w:rPr>
          <w:lang w:val="en-US"/>
        </w:rPr>
        <w:t xml:space="preserve"> and </w:t>
      </w:r>
      <w:r w:rsidRPr="001632C4">
        <w:rPr>
          <w:b/>
          <w:bCs/>
          <w:lang w:val="en-US"/>
        </w:rPr>
        <w:t>(b)</w:t>
      </w:r>
      <w:r w:rsidRPr="001632C4">
        <w:rPr>
          <w:lang w:val="en-US"/>
        </w:rPr>
        <w:t xml:space="preserve"> A</w:t>
      </w:r>
      <w:r w:rsidR="00966CCE">
        <w:rPr>
          <w:lang w:val="en-US"/>
        </w:rPr>
        <w:t>u</w:t>
      </w:r>
      <w:r w:rsidRPr="001632C4">
        <w:rPr>
          <w:lang w:val="en-US"/>
        </w:rPr>
        <w:t>FcC</w:t>
      </w:r>
      <w:r w:rsidRPr="001632C4">
        <w:rPr>
          <w:vertAlign w:val="subscript"/>
          <w:lang w:val="en-US"/>
        </w:rPr>
        <w:t>11</w:t>
      </w:r>
      <w:r w:rsidR="00966CCE" w:rsidRPr="00966CCE">
        <w:rPr>
          <w:lang w:val="en-US"/>
        </w:rPr>
        <w:t>//</w:t>
      </w:r>
      <w:r w:rsidRPr="001632C4">
        <w:rPr>
          <w:lang w:val="en-US"/>
        </w:rPr>
        <w:t>Gr</w:t>
      </w:r>
      <w:r w:rsidR="00966CCE" w:rsidRPr="00966CCE">
        <w:rPr>
          <w:lang w:val="en-US"/>
        </w:rPr>
        <w:t xml:space="preserve"> </w:t>
      </w:r>
      <w:r w:rsidR="00966CCE" w:rsidRPr="001632C4">
        <w:rPr>
          <w:lang w:val="en-US"/>
        </w:rPr>
        <w:t>before and after aging</w:t>
      </w:r>
      <w:r w:rsidRPr="001632C4">
        <w:rPr>
          <w:lang w:val="en-US"/>
        </w:rPr>
        <w:t>. The main peak of the spectrum, at 284.</w:t>
      </w:r>
      <w:r w:rsidR="00ED2CBF">
        <w:rPr>
          <w:lang w:val="en-US"/>
        </w:rPr>
        <w:t>6</w:t>
      </w:r>
      <w:r w:rsidRPr="001632C4">
        <w:rPr>
          <w:lang w:val="en-US"/>
        </w:rPr>
        <w:t xml:space="preserve"> eV, encompasses both the peaks belonging to the ferrocene and the graphene, being both C-C bonds.</w:t>
      </w:r>
    </w:p>
    <w:p w14:paraId="6728A76E" w14:textId="0FC972CE" w:rsidR="00407DF6" w:rsidRDefault="00407DF6" w:rsidP="0009564B">
      <w:pPr>
        <w:spacing w:line="276" w:lineRule="auto"/>
        <w:jc w:val="both"/>
        <w:rPr>
          <w:lang w:val="en-US"/>
        </w:rPr>
      </w:pPr>
    </w:p>
    <w:p w14:paraId="75887FAC" w14:textId="77777777" w:rsidR="001530EB" w:rsidRDefault="001530EB">
      <w:pPr>
        <w:rPr>
          <w:lang w:val="en-US"/>
        </w:rPr>
      </w:pPr>
      <w:r>
        <w:rPr>
          <w:lang w:val="en-US"/>
        </w:rPr>
        <w:br w:type="page"/>
      </w:r>
    </w:p>
    <w:p w14:paraId="320CD785" w14:textId="577D4A5B" w:rsidR="007B2181" w:rsidRDefault="006538F3" w:rsidP="00166C7F">
      <w:pPr>
        <w:jc w:val="both"/>
        <w:rPr>
          <w:lang w:val="en-US"/>
        </w:rPr>
      </w:pPr>
      <w:r>
        <w:rPr>
          <w:lang w:val="en-US"/>
        </w:rPr>
        <w:lastRenderedPageBreak/>
        <w:t>During operando measurements shifts in the spectra proportional to the applied voltages are obtained</w:t>
      </w:r>
      <w:r w:rsidR="009E1CB7">
        <w:rPr>
          <w:lang w:val="en-US"/>
        </w:rPr>
        <w:t xml:space="preserve"> both in the Fc 2p and Au 4f core levels</w:t>
      </w:r>
      <w:r>
        <w:rPr>
          <w:lang w:val="en-US"/>
        </w:rPr>
        <w:t xml:space="preserve">. </w:t>
      </w:r>
      <w:r w:rsidR="001E4091">
        <w:rPr>
          <w:lang w:val="en-US"/>
        </w:rPr>
        <w:t xml:space="preserve">Additionally, a </w:t>
      </w:r>
      <w:r w:rsidR="003F24D4">
        <w:rPr>
          <w:lang w:val="en-US"/>
        </w:rPr>
        <w:t xml:space="preserve">reversible </w:t>
      </w:r>
      <w:r w:rsidR="001E4091">
        <w:rPr>
          <w:lang w:val="en-US"/>
        </w:rPr>
        <w:t xml:space="preserve">decrease in the intensity </w:t>
      </w:r>
      <w:r w:rsidR="003F24D4">
        <w:rPr>
          <w:lang w:val="en-US"/>
        </w:rPr>
        <w:t xml:space="preserve">while applying a voltage </w:t>
      </w:r>
      <w:r w:rsidR="001E4091">
        <w:rPr>
          <w:lang w:val="en-US"/>
        </w:rPr>
        <w:t>is observed for the Fc 2p core level</w:t>
      </w:r>
      <w:r w:rsidR="003F24D4">
        <w:rPr>
          <w:lang w:val="en-US"/>
        </w:rPr>
        <w:t xml:space="preserve">. This reduction is not observed in </w:t>
      </w:r>
      <w:r w:rsidR="001E4091">
        <w:rPr>
          <w:lang w:val="en-US"/>
        </w:rPr>
        <w:t xml:space="preserve">the Au 4f core level </w:t>
      </w:r>
      <w:r w:rsidR="009E1CB7">
        <w:rPr>
          <w:lang w:val="en-US"/>
        </w:rPr>
        <w:t xml:space="preserve">intensities </w:t>
      </w:r>
      <w:r w:rsidR="003F24D4">
        <w:rPr>
          <w:lang w:val="en-US"/>
        </w:rPr>
        <w:t xml:space="preserve">that </w:t>
      </w:r>
      <w:r w:rsidR="001E4091">
        <w:rPr>
          <w:lang w:val="en-US"/>
        </w:rPr>
        <w:t>remains unvarying</w:t>
      </w:r>
      <w:r w:rsidR="009E1CB7">
        <w:rPr>
          <w:lang w:val="en-US"/>
        </w:rPr>
        <w:t xml:space="preserve"> independently of the applied voltage</w:t>
      </w:r>
      <w:r w:rsidR="001E4091">
        <w:rPr>
          <w:lang w:val="en-US"/>
        </w:rPr>
        <w:t>.</w:t>
      </w:r>
    </w:p>
    <w:p w14:paraId="48A18E8F" w14:textId="77777777" w:rsidR="001E4091" w:rsidRPr="001632C4" w:rsidRDefault="001E4091" w:rsidP="00166C7F">
      <w:pPr>
        <w:jc w:val="both"/>
        <w:rPr>
          <w:lang w:val="en-US"/>
        </w:rPr>
      </w:pPr>
    </w:p>
    <w:p w14:paraId="1FC66DF3" w14:textId="57555E3B" w:rsidR="007B2181" w:rsidRPr="001632C4" w:rsidRDefault="007B2181" w:rsidP="00166C7F">
      <w:pPr>
        <w:jc w:val="both"/>
        <w:rPr>
          <w:lang w:val="en-US"/>
        </w:rPr>
      </w:pPr>
    </w:p>
    <w:p w14:paraId="2AC2EE8B" w14:textId="1CBB9B78" w:rsidR="0065657B" w:rsidRPr="001632C4" w:rsidRDefault="00B76A6F" w:rsidP="00615F0B">
      <w:pPr>
        <w:jc w:val="center"/>
        <w:rPr>
          <w:lang w:val="en-US"/>
        </w:rPr>
      </w:pPr>
      <w:r w:rsidRPr="00B76A6F">
        <w:rPr>
          <w:noProof/>
        </w:rPr>
        <w:drawing>
          <wp:inline distT="0" distB="0" distL="0" distR="0" wp14:anchorId="64480017" wp14:editId="2581D538">
            <wp:extent cx="5760720" cy="2261870"/>
            <wp:effectExtent l="0" t="0" r="508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2261870"/>
                    </a:xfrm>
                    <a:prstGeom prst="rect">
                      <a:avLst/>
                    </a:prstGeom>
                  </pic:spPr>
                </pic:pic>
              </a:graphicData>
            </a:graphic>
          </wp:inline>
        </w:drawing>
      </w:r>
    </w:p>
    <w:p w14:paraId="134614AE" w14:textId="2D691DD8" w:rsidR="0065657B" w:rsidRPr="001632C4" w:rsidRDefault="0065657B" w:rsidP="00D62305">
      <w:pPr>
        <w:spacing w:line="276" w:lineRule="auto"/>
        <w:jc w:val="both"/>
        <w:rPr>
          <w:lang w:val="en-US"/>
        </w:rPr>
      </w:pPr>
      <w:r w:rsidRPr="001632C4">
        <w:rPr>
          <w:b/>
          <w:bCs/>
          <w:lang w:val="en-US"/>
        </w:rPr>
        <w:t>Figure S</w:t>
      </w:r>
      <w:r w:rsidR="00F4621A">
        <w:rPr>
          <w:b/>
          <w:bCs/>
          <w:lang w:val="en-US"/>
        </w:rPr>
        <w:t>7</w:t>
      </w:r>
      <w:r w:rsidRPr="001632C4">
        <w:rPr>
          <w:b/>
          <w:bCs/>
          <w:lang w:val="en-US"/>
        </w:rPr>
        <w:t xml:space="preserve">. </w:t>
      </w:r>
      <w:r w:rsidR="006538F3">
        <w:rPr>
          <w:b/>
          <w:bCs/>
          <w:lang w:val="en-US"/>
        </w:rPr>
        <w:t>XPS o</w:t>
      </w:r>
      <w:r w:rsidR="006538F3" w:rsidRPr="006538F3">
        <w:rPr>
          <w:b/>
          <w:bCs/>
          <w:lang w:val="en-US"/>
        </w:rPr>
        <w:t>perando spectra.</w:t>
      </w:r>
      <w:r w:rsidR="006538F3">
        <w:rPr>
          <w:lang w:val="en-US"/>
        </w:rPr>
        <w:t xml:space="preserve"> </w:t>
      </w:r>
      <w:r w:rsidR="00AE6365" w:rsidRPr="00AE6365">
        <w:rPr>
          <w:b/>
          <w:bCs/>
          <w:lang w:val="en-US"/>
        </w:rPr>
        <w:t>(</w:t>
      </w:r>
      <w:r w:rsidR="006538F3" w:rsidRPr="00AE6365">
        <w:rPr>
          <w:b/>
          <w:bCs/>
          <w:lang w:val="en-US"/>
        </w:rPr>
        <w:t>a)</w:t>
      </w:r>
      <w:r w:rsidR="006538F3">
        <w:rPr>
          <w:lang w:val="en-US"/>
        </w:rPr>
        <w:t xml:space="preserve"> </w:t>
      </w:r>
      <w:r w:rsidR="006538F3" w:rsidRPr="006538F3">
        <w:rPr>
          <w:lang w:val="en-US"/>
        </w:rPr>
        <w:t xml:space="preserve">XPS spectra of Fe 2p core level of </w:t>
      </w:r>
      <w:proofErr w:type="gramStart"/>
      <w:r w:rsidR="006538F3" w:rsidRPr="006538F3">
        <w:rPr>
          <w:lang w:val="en-US"/>
        </w:rPr>
        <w:t>a</w:t>
      </w:r>
      <w:proofErr w:type="gramEnd"/>
      <w:r w:rsidR="006538F3" w:rsidRPr="006538F3">
        <w:rPr>
          <w:lang w:val="en-US"/>
        </w:rPr>
        <w:t xml:space="preserve"> Au/SC11Fc//Gr sample to which a range of voltages was applied. </w:t>
      </w:r>
      <w:r w:rsidR="00AE6365" w:rsidRPr="00AE6365">
        <w:rPr>
          <w:b/>
          <w:bCs/>
          <w:lang w:val="en-US"/>
        </w:rPr>
        <w:t>(</w:t>
      </w:r>
      <w:r w:rsidR="006538F3" w:rsidRPr="00AE6365">
        <w:rPr>
          <w:b/>
          <w:bCs/>
          <w:lang w:val="en-US"/>
        </w:rPr>
        <w:t>b)</w:t>
      </w:r>
      <w:r w:rsidR="006538F3">
        <w:rPr>
          <w:lang w:val="en-US"/>
        </w:rPr>
        <w:t xml:space="preserve"> </w:t>
      </w:r>
      <w:r w:rsidR="006538F3" w:rsidRPr="006538F3">
        <w:rPr>
          <w:lang w:val="en-US"/>
        </w:rPr>
        <w:t>Au 4f core level spectra of the same sample</w:t>
      </w:r>
      <w:r w:rsidR="006538F3">
        <w:rPr>
          <w:lang w:val="en-US"/>
        </w:rPr>
        <w:t>.</w:t>
      </w:r>
    </w:p>
    <w:p w14:paraId="4D779B4B" w14:textId="1B00DEBC" w:rsidR="00FD5E16" w:rsidRPr="001632C4" w:rsidRDefault="00FD5E16" w:rsidP="00166C7F">
      <w:pPr>
        <w:rPr>
          <w:lang w:val="en-US" w:eastAsia="ja-JP"/>
        </w:rPr>
      </w:pPr>
    </w:p>
    <w:p w14:paraId="008D5FCC" w14:textId="30297446" w:rsidR="00FD5E16" w:rsidRDefault="00166C7F" w:rsidP="00AC11A2">
      <w:pPr>
        <w:pStyle w:val="Ttulo1"/>
        <w:rPr>
          <w:rFonts w:ascii="Times New Roman" w:hAnsi="Times New Roman" w:cs="Times New Roman"/>
          <w:color w:val="auto"/>
          <w:sz w:val="28"/>
          <w:szCs w:val="28"/>
        </w:rPr>
      </w:pPr>
      <w:r w:rsidRPr="001632C4">
        <w:rPr>
          <w:b/>
          <w:bCs/>
        </w:rPr>
        <w:br w:type="page"/>
      </w:r>
      <w:bookmarkStart w:id="6" w:name="_Toc104545474"/>
      <w:bookmarkStart w:id="7" w:name="_Toc104545492"/>
      <w:r w:rsidR="00FD5E16" w:rsidRPr="00AC11A2">
        <w:rPr>
          <w:rFonts w:ascii="Times New Roman" w:hAnsi="Times New Roman" w:cs="Times New Roman"/>
          <w:color w:val="auto"/>
          <w:sz w:val="28"/>
          <w:szCs w:val="28"/>
        </w:rPr>
        <w:lastRenderedPageBreak/>
        <w:t>Note 4</w:t>
      </w:r>
      <w:r w:rsidR="00AC11A2" w:rsidRPr="00AC11A2">
        <w:rPr>
          <w:rFonts w:ascii="Times New Roman" w:hAnsi="Times New Roman" w:cs="Times New Roman"/>
          <w:color w:val="auto"/>
          <w:sz w:val="28"/>
          <w:szCs w:val="28"/>
        </w:rPr>
        <w:t xml:space="preserve">. </w:t>
      </w:r>
      <w:r w:rsidR="00FD5E16" w:rsidRPr="00AC11A2">
        <w:rPr>
          <w:rFonts w:ascii="Times New Roman" w:hAnsi="Times New Roman" w:cs="Times New Roman"/>
          <w:color w:val="auto"/>
          <w:sz w:val="28"/>
          <w:szCs w:val="28"/>
        </w:rPr>
        <w:t>Band diagram</w:t>
      </w:r>
      <w:bookmarkEnd w:id="6"/>
      <w:bookmarkEnd w:id="7"/>
    </w:p>
    <w:p w14:paraId="415E641E" w14:textId="77777777" w:rsidR="00B76A6F" w:rsidRPr="00B76A6F" w:rsidRDefault="00B76A6F" w:rsidP="00B76A6F">
      <w:pPr>
        <w:rPr>
          <w:lang w:val="en-US" w:eastAsia="ja-JP"/>
        </w:rPr>
      </w:pPr>
    </w:p>
    <w:p w14:paraId="4AA0B687" w14:textId="77777777" w:rsidR="00FD5E16" w:rsidRPr="001632C4" w:rsidRDefault="00FD5E16" w:rsidP="00FD5E16">
      <w:pPr>
        <w:rPr>
          <w:lang w:val="en-US"/>
        </w:rPr>
      </w:pPr>
    </w:p>
    <w:p w14:paraId="12873356" w14:textId="180F878E" w:rsidR="00FD5E16" w:rsidRPr="001632C4" w:rsidRDefault="003B0887" w:rsidP="00D51CB1">
      <w:pPr>
        <w:jc w:val="center"/>
        <w:rPr>
          <w:lang w:val="en-US"/>
        </w:rPr>
      </w:pPr>
      <w:r w:rsidRPr="001632C4">
        <w:rPr>
          <w:noProof/>
          <w:lang w:val="en-US"/>
        </w:rPr>
        <w:drawing>
          <wp:inline distT="0" distB="0" distL="0" distR="0" wp14:anchorId="5D93A53B" wp14:editId="4594308F">
            <wp:extent cx="6109234" cy="217304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36765"/>
                    <a:stretch/>
                  </pic:blipFill>
                  <pic:spPr bwMode="auto">
                    <a:xfrm>
                      <a:off x="0" y="0"/>
                      <a:ext cx="6144762" cy="2185682"/>
                    </a:xfrm>
                    <a:prstGeom prst="rect">
                      <a:avLst/>
                    </a:prstGeom>
                    <a:ln>
                      <a:noFill/>
                    </a:ln>
                    <a:extLst>
                      <a:ext uri="{53640926-AAD7-44D8-BBD7-CCE9431645EC}">
                        <a14:shadowObscured xmlns:a14="http://schemas.microsoft.com/office/drawing/2010/main"/>
                      </a:ext>
                    </a:extLst>
                  </pic:spPr>
                </pic:pic>
              </a:graphicData>
            </a:graphic>
          </wp:inline>
        </w:drawing>
      </w:r>
    </w:p>
    <w:p w14:paraId="67C92476" w14:textId="77777777" w:rsidR="00FD5E16" w:rsidRPr="001632C4" w:rsidRDefault="00FD5E16" w:rsidP="00FD5E16">
      <w:pPr>
        <w:rPr>
          <w:lang w:val="en-US"/>
        </w:rPr>
      </w:pPr>
    </w:p>
    <w:p w14:paraId="75468E0B" w14:textId="484637DF" w:rsidR="0009564B" w:rsidRDefault="00FD5E16" w:rsidP="00FD5E16">
      <w:pPr>
        <w:rPr>
          <w:b/>
          <w:bCs/>
          <w:noProof/>
          <w:lang w:val="en-US"/>
        </w:rPr>
      </w:pPr>
      <w:r w:rsidRPr="001632C4">
        <w:rPr>
          <w:b/>
          <w:bCs/>
          <w:noProof/>
          <w:lang w:val="en-US"/>
        </w:rPr>
        <w:t>Figure S</w:t>
      </w:r>
      <w:r w:rsidR="00F4621A">
        <w:rPr>
          <w:b/>
          <w:bCs/>
          <w:noProof/>
          <w:lang w:val="en-US"/>
        </w:rPr>
        <w:t>8</w:t>
      </w:r>
      <w:r w:rsidRPr="001632C4">
        <w:rPr>
          <w:b/>
          <w:bCs/>
          <w:noProof/>
          <w:lang w:val="en-US"/>
        </w:rPr>
        <w:t>. Band diagrams</w:t>
      </w:r>
      <w:r w:rsidR="00B76A6F">
        <w:rPr>
          <w:b/>
          <w:bCs/>
          <w:noProof/>
          <w:lang w:val="en-US"/>
        </w:rPr>
        <w:t xml:space="preserve"> of a gold/molecule/graphene junction</w:t>
      </w:r>
      <w:r w:rsidRPr="001632C4">
        <w:rPr>
          <w:b/>
          <w:bCs/>
          <w:noProof/>
          <w:lang w:val="en-US"/>
        </w:rPr>
        <w:t xml:space="preserve">. (a) </w:t>
      </w:r>
      <w:r w:rsidRPr="001632C4">
        <w:rPr>
          <w:noProof/>
          <w:lang w:val="en-US"/>
        </w:rPr>
        <w:t>Before equilibrium,</w:t>
      </w:r>
      <w:r w:rsidRPr="001632C4">
        <w:rPr>
          <w:b/>
          <w:bCs/>
          <w:noProof/>
          <w:lang w:val="en-US"/>
        </w:rPr>
        <w:t xml:space="preserve"> (b) </w:t>
      </w:r>
      <w:r w:rsidRPr="001632C4">
        <w:rPr>
          <w:noProof/>
          <w:lang w:val="en-US"/>
        </w:rPr>
        <w:t>in equilibrium</w:t>
      </w:r>
      <w:r w:rsidR="00D422E7">
        <w:rPr>
          <w:noProof/>
          <w:lang w:val="en-US"/>
        </w:rPr>
        <w:t>. Work functions are expressed in eV.</w:t>
      </w:r>
    </w:p>
    <w:p w14:paraId="371E5B1B" w14:textId="77777777" w:rsidR="0009564B" w:rsidRDefault="0009564B" w:rsidP="00FD5E16">
      <w:pPr>
        <w:rPr>
          <w:b/>
          <w:bCs/>
          <w:noProof/>
          <w:lang w:val="en-US"/>
        </w:rPr>
      </w:pPr>
    </w:p>
    <w:p w14:paraId="2A88A1E1" w14:textId="2EC42DD0" w:rsidR="00FD5E16" w:rsidRPr="001632C4" w:rsidRDefault="00FD5E16" w:rsidP="00FD5E16">
      <w:pPr>
        <w:rPr>
          <w:b/>
          <w:lang w:val="en-US"/>
        </w:rPr>
      </w:pPr>
      <w:r w:rsidRPr="001632C4">
        <w:rPr>
          <w:lang w:val="en-US"/>
        </w:rPr>
        <w:br w:type="page"/>
      </w:r>
    </w:p>
    <w:p w14:paraId="56B6F480" w14:textId="77777777" w:rsidR="00FD5E16" w:rsidRPr="006D652D" w:rsidRDefault="00FD5E16" w:rsidP="006D652D">
      <w:pPr>
        <w:pStyle w:val="Ttulo1"/>
        <w:rPr>
          <w:rFonts w:ascii="Times New Roman" w:hAnsi="Times New Roman" w:cs="Times New Roman"/>
          <w:color w:val="auto"/>
          <w:sz w:val="28"/>
          <w:szCs w:val="28"/>
        </w:rPr>
      </w:pPr>
      <w:bookmarkStart w:id="8" w:name="_Toc104545475"/>
      <w:bookmarkStart w:id="9" w:name="_Toc104545493"/>
      <w:r w:rsidRPr="006D652D">
        <w:rPr>
          <w:rFonts w:ascii="Times New Roman" w:hAnsi="Times New Roman" w:cs="Times New Roman"/>
          <w:color w:val="auto"/>
          <w:sz w:val="28"/>
          <w:szCs w:val="28"/>
        </w:rPr>
        <w:lastRenderedPageBreak/>
        <w:t>Note 5. Density functional theory</w:t>
      </w:r>
      <w:bookmarkEnd w:id="8"/>
      <w:bookmarkEnd w:id="9"/>
    </w:p>
    <w:p w14:paraId="49D4098F" w14:textId="77777777" w:rsidR="006D652D" w:rsidRDefault="006D652D" w:rsidP="00FD5E16">
      <w:pPr>
        <w:spacing w:line="360" w:lineRule="auto"/>
        <w:jc w:val="both"/>
        <w:rPr>
          <w:lang w:val="en-US"/>
        </w:rPr>
      </w:pPr>
    </w:p>
    <w:p w14:paraId="6E065120" w14:textId="55C5577E" w:rsidR="00FD5E16" w:rsidRDefault="00FD5E16" w:rsidP="00FD5E16">
      <w:pPr>
        <w:spacing w:line="360" w:lineRule="auto"/>
        <w:jc w:val="both"/>
        <w:rPr>
          <w:lang w:val="en-US"/>
        </w:rPr>
      </w:pPr>
      <w:r w:rsidRPr="001632C4">
        <w:rPr>
          <w:lang w:val="en-US"/>
        </w:rPr>
        <w:t xml:space="preserve">The corresponding atomic configuration is represented in Figure </w:t>
      </w:r>
      <w:r w:rsidR="00AE78DC">
        <w:rPr>
          <w:lang w:val="en-US"/>
        </w:rPr>
        <w:t>S</w:t>
      </w:r>
      <w:r w:rsidR="00F4621A">
        <w:rPr>
          <w:lang w:val="en-US"/>
        </w:rPr>
        <w:t>9</w:t>
      </w:r>
      <w:r w:rsidRPr="001632C4">
        <w:rPr>
          <w:lang w:val="en-US"/>
        </w:rPr>
        <w:t xml:space="preserve">. Within a Density Functional Theory (DFT) formalism, we determine the electronic structure and in particular the projected Density of States (PDOS) of the molecule between the gold and graphene electrodes (Figure </w:t>
      </w:r>
      <w:r w:rsidR="00AE6365">
        <w:rPr>
          <w:lang w:val="en-US"/>
        </w:rPr>
        <w:t>S10</w:t>
      </w:r>
      <w:r w:rsidRPr="001632C4">
        <w:rPr>
          <w:lang w:val="en-US"/>
        </w:rPr>
        <w:t xml:space="preserve">b). As a result, we can notice a quasi-symmetric distribution of the electronic levels near the Fermi level (at around -0.5 and +0.35 eV). Such distribution </w:t>
      </w:r>
      <w:r w:rsidR="00D422E7">
        <w:rPr>
          <w:lang w:val="en-US"/>
        </w:rPr>
        <w:t>let us</w:t>
      </w:r>
      <w:r w:rsidRPr="001632C4">
        <w:rPr>
          <w:lang w:val="en-US"/>
        </w:rPr>
        <w:t xml:space="preserve"> anticipate a low rectification of the molecular junction, as well as a symmetric evolution of the electronic current when gating the system.</w:t>
      </w:r>
    </w:p>
    <w:p w14:paraId="48D97F4D" w14:textId="04659DF6" w:rsidR="0094392B" w:rsidRPr="001632C4" w:rsidRDefault="0094392B" w:rsidP="00FD5E16">
      <w:pPr>
        <w:spacing w:line="360" w:lineRule="auto"/>
        <w:jc w:val="both"/>
        <w:rPr>
          <w:lang w:val="en-US"/>
        </w:rPr>
      </w:pPr>
    </w:p>
    <w:p w14:paraId="03631DEF" w14:textId="49699127" w:rsidR="00FD5E16" w:rsidRPr="001632C4" w:rsidRDefault="0094392B" w:rsidP="00FD5E16">
      <w:pPr>
        <w:spacing w:line="360" w:lineRule="auto"/>
        <w:jc w:val="both"/>
        <w:rPr>
          <w:bCs/>
          <w:vertAlign w:val="superscript"/>
          <w:lang w:val="en-US"/>
        </w:rPr>
      </w:pPr>
      <w:r>
        <w:rPr>
          <w:noProof/>
          <w:lang w:val="en-US"/>
        </w:rPr>
        <mc:AlternateContent>
          <mc:Choice Requires="wps">
            <w:drawing>
              <wp:anchor distT="0" distB="0" distL="114300" distR="114300" simplePos="0" relativeHeight="251669504" behindDoc="0" locked="0" layoutInCell="1" allowOverlap="1" wp14:anchorId="7A5CBFBE" wp14:editId="096BB39A">
                <wp:simplePos x="0" y="0"/>
                <wp:positionH relativeFrom="column">
                  <wp:posOffset>434091</wp:posOffset>
                </wp:positionH>
                <wp:positionV relativeFrom="paragraph">
                  <wp:posOffset>67779</wp:posOffset>
                </wp:positionV>
                <wp:extent cx="4678017" cy="410817"/>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4678017" cy="410817"/>
                        </a:xfrm>
                        <a:prstGeom prst="rect">
                          <a:avLst/>
                        </a:prstGeom>
                        <a:noFill/>
                        <a:ln w="6350">
                          <a:noFill/>
                        </a:ln>
                      </wps:spPr>
                      <wps:txbx>
                        <w:txbxContent>
                          <w:p w14:paraId="5AF59951" w14:textId="5596C8DE" w:rsidR="0094392B" w:rsidRPr="0094392B" w:rsidRDefault="0094392B" w:rsidP="0094392B">
                            <w:pPr>
                              <w:ind w:left="360"/>
                              <w:rPr>
                                <w:rFonts w:ascii="Calibri" w:hAnsi="Calibri" w:cs="Calibri"/>
                              </w:rPr>
                            </w:pPr>
                            <w:r>
                              <w:rPr>
                                <w:rFonts w:ascii="Calibri" w:hAnsi="Calibri" w:cs="Calibri"/>
                              </w:rPr>
                              <w:t>a)</w:t>
                            </w:r>
                            <w:r w:rsidRPr="0094392B">
                              <w:rPr>
                                <w:rFonts w:ascii="Calibri" w:hAnsi="Calibri" w:cs="Calibri"/>
                              </w:rPr>
                              <w:t xml:space="preserve">                                                          b)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A5CBFBE" id="Cuadro de texto 20" o:spid="_x0000_s1027" type="#_x0000_t202" style="position:absolute;left:0;text-align:left;margin-left:34.2pt;margin-top:5.35pt;width:368.35pt;height:32.3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" filled="f" stroked="f" strokeweight=".5pt">
                <v:textbox>
                  <w:txbxContent>
                    <w:p w14:paraId="5AF59951" w14:textId="5596C8DE" w:rsidR="0094392B" w:rsidRPr="0094392B" w:rsidRDefault="0094392B" w:rsidP="0094392B">
                      <w:pPr>
                        <w:ind w:left="360"/>
                        <w:rPr>
                          <w:rFonts w:ascii="Calibri" w:hAnsi="Calibri" w:cs="Calibri"/>
                        </w:rPr>
                      </w:pPr>
                      <w:r>
                        <w:rPr>
                          <w:rFonts w:ascii="Calibri" w:hAnsi="Calibri" w:cs="Calibri"/>
                        </w:rPr>
                        <w:t>a)</w:t>
                      </w:r>
                      <w:r w:rsidRPr="0094392B">
                        <w:rPr>
                          <w:rFonts w:ascii="Calibri" w:hAnsi="Calibri" w:cs="Calibri"/>
                        </w:rPr>
                        <w:t xml:space="preserve">                                                          b) </w:t>
                      </w:r>
                    </w:p>
                  </w:txbxContent>
                </v:textbox>
              </v:shape>
            </w:pict>
          </mc:Fallback>
        </mc:AlternateContent>
      </w:r>
    </w:p>
    <w:p w14:paraId="0C7FFD1E" w14:textId="77777777" w:rsidR="00FD5E16" w:rsidRPr="001632C4" w:rsidRDefault="00FD5E16" w:rsidP="00FD5E16">
      <w:pPr>
        <w:spacing w:line="360" w:lineRule="auto"/>
        <w:jc w:val="center"/>
        <w:rPr>
          <w:bCs/>
          <w:vertAlign w:val="superscript"/>
          <w:lang w:val="en-US"/>
        </w:rPr>
      </w:pPr>
      <w:r w:rsidRPr="001632C4">
        <w:rPr>
          <w:noProof/>
          <w:lang w:val="en-US"/>
        </w:rPr>
        <w:drawing>
          <wp:inline distT="0" distB="0" distL="0" distR="0" wp14:anchorId="4C265C6E" wp14:editId="0D8EA2F4">
            <wp:extent cx="4462301" cy="1980000"/>
            <wp:effectExtent l="0" t="0" r="0" b="127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7501" t="26178" r="23683" b="27425"/>
                    <a:stretch/>
                  </pic:blipFill>
                  <pic:spPr bwMode="auto">
                    <a:xfrm>
                      <a:off x="0" y="0"/>
                      <a:ext cx="4462301" cy="1980000"/>
                    </a:xfrm>
                    <a:prstGeom prst="rect">
                      <a:avLst/>
                    </a:prstGeom>
                    <a:ln>
                      <a:noFill/>
                    </a:ln>
                    <a:extLst>
                      <a:ext uri="{53640926-AAD7-44D8-BBD7-CCE9431645EC}">
                        <a14:shadowObscured xmlns:a14="http://schemas.microsoft.com/office/drawing/2010/main"/>
                      </a:ext>
                    </a:extLst>
                  </pic:spPr>
                </pic:pic>
              </a:graphicData>
            </a:graphic>
          </wp:inline>
        </w:drawing>
      </w:r>
    </w:p>
    <w:p w14:paraId="251E3095" w14:textId="02A30040" w:rsidR="00FD5E16" w:rsidRPr="001632C4" w:rsidRDefault="00FD5E16" w:rsidP="00D62305">
      <w:pPr>
        <w:spacing w:line="276" w:lineRule="auto"/>
        <w:jc w:val="both"/>
        <w:rPr>
          <w:b/>
          <w:lang w:val="en-US"/>
        </w:rPr>
      </w:pPr>
      <w:r w:rsidRPr="001632C4">
        <w:rPr>
          <w:b/>
          <w:bCs/>
          <w:lang w:val="en-US"/>
        </w:rPr>
        <w:t>Figure S</w:t>
      </w:r>
      <w:r w:rsidR="00F4621A">
        <w:rPr>
          <w:b/>
          <w:bCs/>
          <w:lang w:val="en-US"/>
        </w:rPr>
        <w:t>9</w:t>
      </w:r>
      <w:r w:rsidRPr="001632C4">
        <w:rPr>
          <w:b/>
          <w:bCs/>
          <w:lang w:val="en-US"/>
        </w:rPr>
        <w:t xml:space="preserve">. </w:t>
      </w:r>
      <w:r w:rsidR="00AE6365" w:rsidRPr="00AE6365">
        <w:rPr>
          <w:b/>
          <w:bCs/>
          <w:lang w:val="en-US"/>
        </w:rPr>
        <w:t>Density Functional Theory</w:t>
      </w:r>
      <w:r w:rsidR="00AE6365">
        <w:rPr>
          <w:b/>
          <w:bCs/>
          <w:lang w:val="en-US"/>
        </w:rPr>
        <w:t>.</w:t>
      </w:r>
      <w:r w:rsidR="00AE6365" w:rsidRPr="00AE6365">
        <w:rPr>
          <w:b/>
          <w:bCs/>
          <w:lang w:val="en-US"/>
        </w:rPr>
        <w:t xml:space="preserve"> </w:t>
      </w:r>
      <w:r w:rsidRPr="001632C4">
        <w:rPr>
          <w:b/>
          <w:lang w:val="en-US"/>
        </w:rPr>
        <w:t xml:space="preserve">(a) </w:t>
      </w:r>
      <w:r w:rsidRPr="001632C4">
        <w:rPr>
          <w:bCs/>
          <w:lang w:val="en-US"/>
        </w:rPr>
        <w:t xml:space="preserve">Calculated </w:t>
      </w:r>
      <w:r w:rsidRPr="001632C4">
        <w:rPr>
          <w:lang w:val="en-US"/>
        </w:rPr>
        <w:t>representation of a single molecule junction</w:t>
      </w:r>
      <w:r w:rsidR="00AE6365">
        <w:rPr>
          <w:lang w:val="en-US"/>
        </w:rPr>
        <w:t>,</w:t>
      </w:r>
      <w:r w:rsidRPr="001632C4">
        <w:rPr>
          <w:b/>
          <w:bCs/>
          <w:lang w:val="en-US"/>
        </w:rPr>
        <w:t xml:space="preserve"> </w:t>
      </w:r>
      <w:r w:rsidRPr="001632C4">
        <w:rPr>
          <w:b/>
          <w:lang w:val="en-US"/>
        </w:rPr>
        <w:t xml:space="preserve">(b) </w:t>
      </w:r>
      <w:r w:rsidRPr="001632C4">
        <w:rPr>
          <w:bCs/>
          <w:lang w:val="en-US"/>
        </w:rPr>
        <w:t>Calculated</w:t>
      </w:r>
      <w:r w:rsidRPr="001632C4">
        <w:rPr>
          <w:b/>
          <w:lang w:val="en-US"/>
        </w:rPr>
        <w:t xml:space="preserve"> </w:t>
      </w:r>
      <w:r w:rsidRPr="001632C4">
        <w:rPr>
          <w:lang w:val="en-US"/>
        </w:rPr>
        <w:t>Density of states of the system of the molecules in the molecular junction.</w:t>
      </w:r>
    </w:p>
    <w:p w14:paraId="123A7EF3" w14:textId="012BF544" w:rsidR="00FD5E16" w:rsidRDefault="00FD5E16" w:rsidP="00FD5E16">
      <w:pPr>
        <w:jc w:val="both"/>
        <w:rPr>
          <w:lang w:val="en-US"/>
        </w:rPr>
      </w:pPr>
    </w:p>
    <w:p w14:paraId="7F982911" w14:textId="60F3C762" w:rsidR="00AE6365" w:rsidRDefault="00AE6365" w:rsidP="00B21BF5">
      <w:pPr>
        <w:spacing w:line="360" w:lineRule="auto"/>
        <w:jc w:val="both"/>
        <w:rPr>
          <w:lang w:val="en-US"/>
        </w:rPr>
      </w:pPr>
      <w:r>
        <w:rPr>
          <w:lang w:val="en-US"/>
        </w:rPr>
        <w:t>T</w:t>
      </w:r>
      <w:r w:rsidR="0009564B" w:rsidRPr="001632C4">
        <w:rPr>
          <w:lang w:val="en-US"/>
        </w:rPr>
        <w:t>he electronic transmission of the junction as a function of the energy is presented in</w:t>
      </w:r>
      <w:r w:rsidR="00B21BF5">
        <w:rPr>
          <w:lang w:val="en-US"/>
        </w:rPr>
        <w:t xml:space="preserve"> </w:t>
      </w:r>
      <w:r>
        <w:rPr>
          <w:lang w:val="en-US"/>
        </w:rPr>
        <w:t xml:space="preserve">Figure </w:t>
      </w:r>
      <w:r w:rsidRPr="00AE6365">
        <w:rPr>
          <w:lang w:val="en-US"/>
        </w:rPr>
        <w:t>S1</w:t>
      </w:r>
      <w:r w:rsidR="00F4621A">
        <w:rPr>
          <w:lang w:val="en-US"/>
        </w:rPr>
        <w:t>0</w:t>
      </w:r>
      <w:r w:rsidR="00B21BF5">
        <w:rPr>
          <w:lang w:val="en-US"/>
        </w:rPr>
        <w:t xml:space="preserve">. </w:t>
      </w:r>
      <w:r>
        <w:rPr>
          <w:lang w:val="en-US"/>
        </w:rPr>
        <w:t>T</w:t>
      </w:r>
      <w:r w:rsidR="0009564B" w:rsidRPr="001632C4">
        <w:rPr>
          <w:lang w:val="en-US"/>
        </w:rPr>
        <w:t>he molecular junction with a graphene electrode presents a higher conductance tha</w:t>
      </w:r>
      <w:r w:rsidR="00D422E7">
        <w:rPr>
          <w:lang w:val="en-US"/>
        </w:rPr>
        <w:t>n</w:t>
      </w:r>
      <w:r w:rsidR="0009564B" w:rsidRPr="001632C4">
        <w:rPr>
          <w:lang w:val="en-US"/>
        </w:rPr>
        <w:t xml:space="preserve"> the junction with only gold electrodes. </w:t>
      </w:r>
      <w:r>
        <w:rPr>
          <w:lang w:val="en-US"/>
        </w:rPr>
        <w:t>T</w:t>
      </w:r>
      <w:r w:rsidR="0009564B" w:rsidRPr="001632C4">
        <w:rPr>
          <w:lang w:val="en-US"/>
        </w:rPr>
        <w:t>he introduction of graphene removes the rectification in the Fc junctions</w:t>
      </w:r>
      <w:r>
        <w:rPr>
          <w:lang w:val="en-US"/>
        </w:rPr>
        <w:t>.</w:t>
      </w:r>
    </w:p>
    <w:p w14:paraId="6A8B8C6F" w14:textId="77777777" w:rsidR="00AE6365" w:rsidRDefault="00AE6365">
      <w:pPr>
        <w:rPr>
          <w:lang w:val="en-US"/>
        </w:rPr>
      </w:pPr>
      <w:r>
        <w:rPr>
          <w:lang w:val="en-US"/>
        </w:rPr>
        <w:br w:type="page"/>
      </w:r>
    </w:p>
    <w:p w14:paraId="12546B18" w14:textId="77777777" w:rsidR="0009564B" w:rsidRPr="001632C4" w:rsidRDefault="0009564B" w:rsidP="00B21BF5">
      <w:pPr>
        <w:spacing w:line="360" w:lineRule="auto"/>
        <w:jc w:val="both"/>
        <w:rPr>
          <w:lang w:val="en-US"/>
        </w:rPr>
      </w:pPr>
    </w:p>
    <w:p w14:paraId="0E6CD97E" w14:textId="3D7C0204" w:rsidR="00EB0AA9" w:rsidRDefault="00EB0AA9" w:rsidP="00FD5E16">
      <w:pPr>
        <w:jc w:val="both"/>
        <w:rPr>
          <w:lang w:val="en-US"/>
        </w:rPr>
      </w:pPr>
    </w:p>
    <w:p w14:paraId="6924FA4E" w14:textId="56B9812D" w:rsidR="00FD5E16" w:rsidRDefault="00AE4989" w:rsidP="00B21BF5">
      <w:pPr>
        <w:spacing w:line="360" w:lineRule="auto"/>
        <w:jc w:val="center"/>
        <w:rPr>
          <w:lang w:val="en-US"/>
        </w:rPr>
      </w:pPr>
      <w:r w:rsidRPr="00AE4989">
        <w:rPr>
          <w:noProof/>
        </w:rPr>
        <w:drawing>
          <wp:inline distT="0" distB="0" distL="0" distR="0" wp14:anchorId="3A1D3F58" wp14:editId="3EF0AD6A">
            <wp:extent cx="2555682" cy="1980000"/>
            <wp:effectExtent l="0" t="0" r="0" b="127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555682" cy="1980000"/>
                    </a:xfrm>
                    <a:prstGeom prst="rect">
                      <a:avLst/>
                    </a:prstGeom>
                  </pic:spPr>
                </pic:pic>
              </a:graphicData>
            </a:graphic>
          </wp:inline>
        </w:drawing>
      </w:r>
    </w:p>
    <w:p w14:paraId="59D2F46E" w14:textId="4F6D688D" w:rsidR="00E81104" w:rsidRDefault="00F41F49" w:rsidP="00E81104">
      <w:pPr>
        <w:spacing w:before="100" w:beforeAutospacing="1" w:after="100" w:afterAutospacing="1" w:line="276" w:lineRule="auto"/>
        <w:jc w:val="both"/>
        <w:rPr>
          <w:b/>
          <w:bCs/>
          <w:lang w:val="en-US"/>
        </w:rPr>
      </w:pPr>
      <w:r w:rsidRPr="001632C4">
        <w:rPr>
          <w:b/>
          <w:bCs/>
          <w:lang w:val="en-US"/>
        </w:rPr>
        <w:t>Figure S1</w:t>
      </w:r>
      <w:r w:rsidR="00F4621A">
        <w:rPr>
          <w:b/>
          <w:bCs/>
          <w:lang w:val="en-US"/>
        </w:rPr>
        <w:t>0</w:t>
      </w:r>
      <w:r w:rsidRPr="001632C4">
        <w:rPr>
          <w:b/>
          <w:bCs/>
          <w:lang w:val="en-US"/>
        </w:rPr>
        <w:t xml:space="preserve">. </w:t>
      </w:r>
      <w:r w:rsidR="00AE6365" w:rsidRPr="00AE6365">
        <w:rPr>
          <w:b/>
          <w:bCs/>
          <w:lang w:val="en-US"/>
        </w:rPr>
        <w:t>Density Functional Theory</w:t>
      </w:r>
      <w:r w:rsidR="00AE6365">
        <w:rPr>
          <w:b/>
          <w:bCs/>
          <w:lang w:val="en-US"/>
        </w:rPr>
        <w:t>.</w:t>
      </w:r>
      <w:r w:rsidR="00AE6365" w:rsidRPr="00AE6365">
        <w:rPr>
          <w:b/>
          <w:bCs/>
          <w:lang w:val="en-US"/>
        </w:rPr>
        <w:t xml:space="preserve"> </w:t>
      </w:r>
      <w:r w:rsidR="00AE4989" w:rsidRPr="001632C4">
        <w:rPr>
          <w:lang w:val="en-US"/>
        </w:rPr>
        <w:t xml:space="preserve">DFT calculated electronic transmission </w:t>
      </w:r>
      <w:r w:rsidR="00AE4989" w:rsidRPr="001632C4">
        <w:rPr>
          <w:i/>
          <w:iCs/>
          <w:lang w:val="en-US"/>
        </w:rPr>
        <w:t>T(E)</w:t>
      </w:r>
      <w:r w:rsidR="00AE4989" w:rsidRPr="001632C4">
        <w:rPr>
          <w:lang w:val="en-US"/>
        </w:rPr>
        <w:t xml:space="preserve"> for the represented source-drain voltages. In inset, the atomic configuration of the model molecular junction used for the calculations. </w:t>
      </w:r>
    </w:p>
    <w:p w14:paraId="2E6B6E7A" w14:textId="0334ED05" w:rsidR="00FD5E16" w:rsidRPr="001632C4" w:rsidRDefault="00FD5E16" w:rsidP="00E81104">
      <w:pPr>
        <w:spacing w:before="100" w:beforeAutospacing="1" w:after="100" w:afterAutospacing="1" w:line="276" w:lineRule="auto"/>
        <w:jc w:val="both"/>
        <w:rPr>
          <w:lang w:val="en-US"/>
        </w:rPr>
      </w:pPr>
      <w:r w:rsidRPr="001632C4">
        <w:rPr>
          <w:lang w:val="en-US"/>
        </w:rPr>
        <w:t>We can notice the Dirac point is close to the Fermi level. That indicates there is no doping of graphene by ferrocene. Additionally, the total charge of graphene on Fc SAMs is almost equivalent to that of isolated graphene. This can probably be explained by the strong interaction on the other side between gold and thiol, the latter removing the charge from the molecule and the ferrocene, so there is no transfer with graphene.</w:t>
      </w:r>
    </w:p>
    <w:p w14:paraId="6A7A0D4B" w14:textId="77777777" w:rsidR="00FD5E16" w:rsidRPr="001632C4" w:rsidRDefault="00FD5E16" w:rsidP="00FD5E16">
      <w:pPr>
        <w:jc w:val="center"/>
        <w:rPr>
          <w:lang w:val="en-US"/>
        </w:rPr>
      </w:pPr>
      <w:r w:rsidRPr="001632C4">
        <w:rPr>
          <w:noProof/>
          <w:lang w:val="en-US"/>
        </w:rPr>
        <w:drawing>
          <wp:inline distT="0" distB="0" distL="0" distR="0" wp14:anchorId="0FA3E556" wp14:editId="648BEF30">
            <wp:extent cx="1722698" cy="2880000"/>
            <wp:effectExtent l="0" t="0" r="5080" b="317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22698" cy="2880000"/>
                    </a:xfrm>
                    <a:prstGeom prst="rect">
                      <a:avLst/>
                    </a:prstGeom>
                  </pic:spPr>
                </pic:pic>
              </a:graphicData>
            </a:graphic>
          </wp:inline>
        </w:drawing>
      </w:r>
    </w:p>
    <w:p w14:paraId="675CE151" w14:textId="77777777" w:rsidR="00FD5E16" w:rsidRPr="001632C4" w:rsidRDefault="00FD5E16" w:rsidP="00FD5E16">
      <w:pPr>
        <w:rPr>
          <w:b/>
          <w:lang w:val="en-US"/>
        </w:rPr>
      </w:pPr>
    </w:p>
    <w:p w14:paraId="713CCFEB" w14:textId="3FD8E623" w:rsidR="00FD5E16" w:rsidRPr="001632C4" w:rsidRDefault="00FD5E16" w:rsidP="00D62305">
      <w:pPr>
        <w:spacing w:line="276" w:lineRule="auto"/>
        <w:rPr>
          <w:lang w:val="en-US"/>
        </w:rPr>
      </w:pPr>
      <w:r w:rsidRPr="001632C4">
        <w:rPr>
          <w:b/>
          <w:bCs/>
          <w:lang w:val="en-US"/>
        </w:rPr>
        <w:t>Figure S1</w:t>
      </w:r>
      <w:r w:rsidR="00F4621A">
        <w:rPr>
          <w:b/>
          <w:bCs/>
          <w:lang w:val="en-US"/>
        </w:rPr>
        <w:t>1</w:t>
      </w:r>
      <w:r w:rsidRPr="001632C4">
        <w:rPr>
          <w:b/>
          <w:bCs/>
          <w:lang w:val="en-US"/>
        </w:rPr>
        <w:t xml:space="preserve">. </w:t>
      </w:r>
      <w:r w:rsidR="00E81104" w:rsidRPr="00AE6365">
        <w:rPr>
          <w:b/>
          <w:bCs/>
          <w:lang w:val="en-US"/>
        </w:rPr>
        <w:t>Density Functional Theory</w:t>
      </w:r>
      <w:r w:rsidR="00E81104">
        <w:rPr>
          <w:b/>
          <w:bCs/>
          <w:lang w:val="en-US"/>
        </w:rPr>
        <w:t>.</w:t>
      </w:r>
      <w:r w:rsidR="00E81104" w:rsidRPr="00AE6365">
        <w:rPr>
          <w:b/>
          <w:bCs/>
          <w:lang w:val="en-US"/>
        </w:rPr>
        <w:t xml:space="preserve"> </w:t>
      </w:r>
      <w:r w:rsidRPr="001632C4">
        <w:rPr>
          <w:lang w:val="en-US"/>
        </w:rPr>
        <w:t>Au/SC</w:t>
      </w:r>
      <w:r w:rsidRPr="001632C4">
        <w:rPr>
          <w:vertAlign w:val="subscript"/>
          <w:lang w:val="en-US"/>
        </w:rPr>
        <w:t>11</w:t>
      </w:r>
      <w:r w:rsidRPr="001632C4">
        <w:rPr>
          <w:lang w:val="en-US"/>
        </w:rPr>
        <w:t>Fc//Gr single molecule system band structure. Highlighted the Graphene Dirac point at Γ.</w:t>
      </w:r>
    </w:p>
    <w:p w14:paraId="45014F00" w14:textId="77777777" w:rsidR="00FD5E16" w:rsidRPr="001632C4" w:rsidRDefault="00FD5E16" w:rsidP="00FD5E16">
      <w:pPr>
        <w:spacing w:line="360" w:lineRule="auto"/>
        <w:jc w:val="both"/>
        <w:rPr>
          <w:b/>
          <w:lang w:val="en-US"/>
        </w:rPr>
      </w:pPr>
    </w:p>
    <w:p w14:paraId="5E408ABD" w14:textId="77777777" w:rsidR="00FD5E16" w:rsidRPr="001632C4" w:rsidRDefault="00FD5E16" w:rsidP="00FD5E16">
      <w:pPr>
        <w:jc w:val="both"/>
        <w:rPr>
          <w:lang w:val="en-US"/>
        </w:rPr>
      </w:pPr>
    </w:p>
    <w:p w14:paraId="6D176965" w14:textId="77777777" w:rsidR="00FD5E16" w:rsidRPr="001632C4" w:rsidRDefault="00FD5E16" w:rsidP="00FD5E16">
      <w:pPr>
        <w:rPr>
          <w:b/>
          <w:lang w:val="en-US"/>
        </w:rPr>
      </w:pPr>
      <w:r w:rsidRPr="001632C4">
        <w:rPr>
          <w:lang w:val="en-US"/>
        </w:rPr>
        <w:br w:type="page"/>
      </w:r>
    </w:p>
    <w:p w14:paraId="363347BF" w14:textId="6D360EE3" w:rsidR="00FD5E16" w:rsidRPr="006D652D" w:rsidRDefault="00FD5E16" w:rsidP="006D652D">
      <w:pPr>
        <w:pStyle w:val="Ttulo1"/>
        <w:rPr>
          <w:rFonts w:ascii="Times New Roman" w:hAnsi="Times New Roman" w:cs="Times New Roman"/>
          <w:color w:val="auto"/>
          <w:sz w:val="28"/>
          <w:szCs w:val="28"/>
        </w:rPr>
      </w:pPr>
      <w:bookmarkStart w:id="10" w:name="_Toc104545476"/>
      <w:bookmarkStart w:id="11" w:name="_Toc104545494"/>
      <w:r w:rsidRPr="006D652D">
        <w:rPr>
          <w:rFonts w:ascii="Times New Roman" w:hAnsi="Times New Roman" w:cs="Times New Roman"/>
          <w:color w:val="auto"/>
          <w:sz w:val="28"/>
          <w:szCs w:val="28"/>
        </w:rPr>
        <w:lastRenderedPageBreak/>
        <w:t xml:space="preserve">Note </w:t>
      </w:r>
      <w:r w:rsidR="002A2058" w:rsidRPr="006D652D">
        <w:rPr>
          <w:rFonts w:ascii="Times New Roman" w:hAnsi="Times New Roman" w:cs="Times New Roman"/>
          <w:color w:val="auto"/>
          <w:sz w:val="28"/>
          <w:szCs w:val="28"/>
        </w:rPr>
        <w:t>6</w:t>
      </w:r>
      <w:r w:rsidRPr="006D652D">
        <w:rPr>
          <w:rFonts w:ascii="Times New Roman" w:hAnsi="Times New Roman" w:cs="Times New Roman"/>
          <w:color w:val="auto"/>
          <w:sz w:val="28"/>
          <w:szCs w:val="28"/>
        </w:rPr>
        <w:t xml:space="preserve">. </w:t>
      </w:r>
      <w:r w:rsidR="00EC003D" w:rsidRPr="006D652D">
        <w:rPr>
          <w:rFonts w:ascii="Times New Roman" w:hAnsi="Times New Roman" w:cs="Times New Roman"/>
          <w:color w:val="auto"/>
          <w:sz w:val="28"/>
          <w:szCs w:val="28"/>
        </w:rPr>
        <w:t xml:space="preserve">Platform fabrication: </w:t>
      </w:r>
      <w:r w:rsidR="002E088A" w:rsidRPr="006D652D">
        <w:rPr>
          <w:rFonts w:ascii="Times New Roman" w:hAnsi="Times New Roman" w:cs="Times New Roman"/>
          <w:color w:val="auto"/>
          <w:sz w:val="28"/>
          <w:szCs w:val="28"/>
        </w:rPr>
        <w:t xml:space="preserve">Optical, </w:t>
      </w:r>
      <w:r w:rsidRPr="006D652D">
        <w:rPr>
          <w:rFonts w:ascii="Times New Roman" w:hAnsi="Times New Roman" w:cs="Times New Roman"/>
          <w:color w:val="auto"/>
          <w:sz w:val="28"/>
          <w:szCs w:val="28"/>
        </w:rPr>
        <w:t>AFM and CAFM images</w:t>
      </w:r>
      <w:r w:rsidR="002E088A" w:rsidRPr="006D652D">
        <w:rPr>
          <w:rFonts w:ascii="Times New Roman" w:hAnsi="Times New Roman" w:cs="Times New Roman"/>
          <w:color w:val="auto"/>
          <w:sz w:val="28"/>
          <w:szCs w:val="28"/>
        </w:rPr>
        <w:t xml:space="preserve"> of </w:t>
      </w:r>
      <w:r w:rsidR="002821C3" w:rsidRPr="006D652D">
        <w:rPr>
          <w:rFonts w:ascii="Times New Roman" w:hAnsi="Times New Roman" w:cs="Times New Roman"/>
          <w:color w:val="auto"/>
          <w:sz w:val="28"/>
          <w:szCs w:val="28"/>
        </w:rPr>
        <w:t>m-GFET</w:t>
      </w:r>
      <w:r w:rsidR="002E088A" w:rsidRPr="006D652D">
        <w:rPr>
          <w:rFonts w:ascii="Times New Roman" w:hAnsi="Times New Roman" w:cs="Times New Roman"/>
          <w:color w:val="auto"/>
          <w:sz w:val="28"/>
          <w:szCs w:val="28"/>
        </w:rPr>
        <w:t xml:space="preserve"> device</w:t>
      </w:r>
      <w:bookmarkEnd w:id="10"/>
      <w:bookmarkEnd w:id="11"/>
    </w:p>
    <w:p w14:paraId="40A8B8E9" w14:textId="77777777" w:rsidR="00EC003D" w:rsidRDefault="00EC003D" w:rsidP="00FD5E16">
      <w:pPr>
        <w:spacing w:line="360" w:lineRule="auto"/>
        <w:jc w:val="both"/>
        <w:rPr>
          <w:lang w:val="en-US"/>
        </w:rPr>
      </w:pPr>
    </w:p>
    <w:p w14:paraId="4912F87E" w14:textId="4D5EB68B" w:rsidR="0094392B" w:rsidRDefault="00FD5E16" w:rsidP="00FD5E16">
      <w:pPr>
        <w:spacing w:line="360" w:lineRule="auto"/>
        <w:jc w:val="both"/>
        <w:rPr>
          <w:lang w:val="en-US"/>
        </w:rPr>
      </w:pPr>
      <w:r w:rsidRPr="001632C4">
        <w:rPr>
          <w:lang w:val="en-US"/>
        </w:rPr>
        <w:t xml:space="preserve">Optical images are helpful to discern between single or multiple graphene monolayers as well as its quality. In </w:t>
      </w:r>
      <w:r w:rsidR="005C709E">
        <w:rPr>
          <w:lang w:val="en-US"/>
        </w:rPr>
        <w:t>Figure S1</w:t>
      </w:r>
      <w:r w:rsidR="00F4621A">
        <w:rPr>
          <w:lang w:val="en-US"/>
        </w:rPr>
        <w:t>2</w:t>
      </w:r>
      <w:r w:rsidR="005C709E">
        <w:rPr>
          <w:lang w:val="en-US"/>
        </w:rPr>
        <w:t>a</w:t>
      </w:r>
      <w:r w:rsidRPr="001632C4">
        <w:rPr>
          <w:lang w:val="en-US"/>
        </w:rPr>
        <w:t xml:space="preserve"> we can appreciate zones with high quality monolayer, bilayer and multilayers. Once mounted the graphene </w:t>
      </w:r>
      <w:r w:rsidR="00D422E7">
        <w:rPr>
          <w:lang w:val="en-US"/>
        </w:rPr>
        <w:t>is mounted in</w:t>
      </w:r>
      <w:r w:rsidRPr="001632C4">
        <w:rPr>
          <w:lang w:val="en-US"/>
        </w:rPr>
        <w:t xml:space="preserve"> a </w:t>
      </w:r>
      <w:r w:rsidR="002821C3">
        <w:rPr>
          <w:lang w:val="en-US"/>
        </w:rPr>
        <w:t>m-GFET</w:t>
      </w:r>
      <w:r w:rsidRPr="001632C4">
        <w:rPr>
          <w:lang w:val="en-US"/>
        </w:rPr>
        <w:t xml:space="preserve"> </w:t>
      </w:r>
      <w:r w:rsidR="00D422E7">
        <w:rPr>
          <w:lang w:val="en-US"/>
        </w:rPr>
        <w:t>it</w:t>
      </w:r>
      <w:r w:rsidRPr="001632C4">
        <w:rPr>
          <w:lang w:val="en-US"/>
        </w:rPr>
        <w:t xml:space="preserve"> is reshaped in the</w:t>
      </w:r>
      <w:r w:rsidR="00D422E7">
        <w:rPr>
          <w:lang w:val="en-US"/>
        </w:rPr>
        <w:t xml:space="preserve"> area</w:t>
      </w:r>
      <w:r w:rsidRPr="001632C4">
        <w:rPr>
          <w:lang w:val="en-US"/>
        </w:rPr>
        <w:t xml:space="preserve"> highlighted by the dotted line graphene channel</w:t>
      </w:r>
      <w:r w:rsidR="00D422E7">
        <w:rPr>
          <w:lang w:val="en-US"/>
        </w:rPr>
        <w:t xml:space="preserve"> in Figure S12b</w:t>
      </w:r>
      <w:r w:rsidRPr="001632C4">
        <w:rPr>
          <w:lang w:val="en-US"/>
        </w:rPr>
        <w:t>. 2400 µm</w:t>
      </w:r>
      <w:r w:rsidRPr="001632C4">
        <w:rPr>
          <w:vertAlign w:val="superscript"/>
          <w:lang w:val="en-US"/>
        </w:rPr>
        <w:t>2</w:t>
      </w:r>
      <w:r w:rsidRPr="001632C4">
        <w:rPr>
          <w:lang w:val="en-US"/>
        </w:rPr>
        <w:t xml:space="preserve"> of graphene is directly back gated between the silicon highly doped through the SiO</w:t>
      </w:r>
      <w:r w:rsidRPr="001632C4">
        <w:rPr>
          <w:vertAlign w:val="subscript"/>
          <w:lang w:val="en-US"/>
        </w:rPr>
        <w:t>2</w:t>
      </w:r>
      <w:r w:rsidR="00D422E7">
        <w:rPr>
          <w:lang w:val="en-US"/>
        </w:rPr>
        <w:t xml:space="preserve">. Note that </w:t>
      </w:r>
      <w:r w:rsidRPr="001632C4">
        <w:rPr>
          <w:lang w:val="en-US"/>
        </w:rPr>
        <w:t>70% of the graphene is not screened by the electrodes.</w:t>
      </w:r>
    </w:p>
    <w:p w14:paraId="129B3488" w14:textId="7F0C96E4" w:rsidR="0094392B" w:rsidRPr="001632C4" w:rsidRDefault="0094392B" w:rsidP="00FD5E16">
      <w:pPr>
        <w:spacing w:line="360" w:lineRule="auto"/>
        <w:jc w:val="both"/>
        <w:rPr>
          <w:lang w:val="en-US"/>
        </w:rPr>
      </w:pPr>
      <w:r>
        <w:rPr>
          <w:noProof/>
          <w:lang w:val="en-US"/>
        </w:rPr>
        <mc:AlternateContent>
          <mc:Choice Requires="wps">
            <w:drawing>
              <wp:anchor distT="0" distB="0" distL="114300" distR="114300" simplePos="0" relativeHeight="251671552" behindDoc="0" locked="0" layoutInCell="1" allowOverlap="1" wp14:anchorId="0890659F" wp14:editId="5A4A3FC6">
                <wp:simplePos x="0" y="0"/>
                <wp:positionH relativeFrom="column">
                  <wp:posOffset>867300</wp:posOffset>
                </wp:positionH>
                <wp:positionV relativeFrom="paragraph">
                  <wp:posOffset>5715</wp:posOffset>
                </wp:positionV>
                <wp:extent cx="4678017" cy="410817"/>
                <wp:effectExtent l="0" t="0" r="0" b="0"/>
                <wp:wrapNone/>
                <wp:docPr id="22" name="Cuadro de texto 22"/>
                <wp:cNvGraphicFramePr/>
                <a:graphic xmlns:a="http://schemas.openxmlformats.org/drawingml/2006/main">
                  <a:graphicData uri="http://schemas.microsoft.com/office/word/2010/wordprocessingShape">
                    <wps:wsp>
                      <wps:cNvSpPr txBox="1"/>
                      <wps:spPr>
                        <a:xfrm>
                          <a:off x="0" y="0"/>
                          <a:ext cx="4678017" cy="410817"/>
                        </a:xfrm>
                        <a:prstGeom prst="rect">
                          <a:avLst/>
                        </a:prstGeom>
                        <a:noFill/>
                        <a:ln w="6350">
                          <a:noFill/>
                        </a:ln>
                      </wps:spPr>
                      <wps:txbx>
                        <w:txbxContent>
                          <w:p w14:paraId="673B03D2" w14:textId="2105ADD4" w:rsidR="0094392B" w:rsidRPr="0094392B" w:rsidRDefault="0094392B" w:rsidP="0094392B">
                            <w:pPr>
                              <w:ind w:left="360"/>
                              <w:rPr>
                                <w:rFonts w:ascii="Calibri" w:hAnsi="Calibri" w:cs="Calibri"/>
                              </w:rPr>
                            </w:pP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b)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90659F" id="Cuadro de texto 22" o:spid="_x0000_s1028" type="#_x0000_t202" style="position:absolute;left:0;text-align:left;margin-left:68.3pt;margin-top:.45pt;width:368.35pt;height:32.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" filled="f" stroked="f" strokeweight=".5pt">
                <v:textbox>
                  <w:txbxContent>
                    <w:p w14:paraId="673B03D2" w14:textId="2105ADD4" w:rsidR="0094392B" w:rsidRPr="0094392B" w:rsidRDefault="0094392B" w:rsidP="0094392B">
                      <w:pPr>
                        <w:ind w:left="360"/>
                        <w:rPr>
                          <w:rFonts w:ascii="Calibri" w:hAnsi="Calibri" w:cs="Calibri"/>
                        </w:rPr>
                      </w:pP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b) </w:t>
                      </w:r>
                    </w:p>
                  </w:txbxContent>
                </v:textbox>
              </v:shape>
            </w:pict>
          </mc:Fallback>
        </mc:AlternateContent>
      </w:r>
    </w:p>
    <w:p w14:paraId="31CBE1E1" w14:textId="77777777" w:rsidR="00FD5E16" w:rsidRPr="001632C4" w:rsidRDefault="00FD5E16" w:rsidP="00D51CB1">
      <w:pPr>
        <w:jc w:val="center"/>
        <w:rPr>
          <w:rFonts w:eastAsiaTheme="majorEastAsia"/>
          <w:lang w:val="en-US"/>
        </w:rPr>
      </w:pPr>
      <w:r w:rsidRPr="001632C4">
        <w:rPr>
          <w:rFonts w:eastAsiaTheme="majorEastAsia"/>
          <w:noProof/>
          <w:lang w:val="en-US" w:eastAsia="en-US"/>
        </w:rPr>
        <w:drawing>
          <wp:inline distT="0" distB="0" distL="0" distR="0" wp14:anchorId="3CF3947B" wp14:editId="316D34E9">
            <wp:extent cx="4479925" cy="1655128"/>
            <wp:effectExtent l="0" t="0" r="317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20516" b="13803"/>
                    <a:stretch/>
                  </pic:blipFill>
                  <pic:spPr bwMode="auto">
                    <a:xfrm>
                      <a:off x="0" y="0"/>
                      <a:ext cx="4480365" cy="1655291"/>
                    </a:xfrm>
                    <a:prstGeom prst="rect">
                      <a:avLst/>
                    </a:prstGeom>
                    <a:ln>
                      <a:noFill/>
                    </a:ln>
                    <a:extLst>
                      <a:ext uri="{53640926-AAD7-44D8-BBD7-CCE9431645EC}">
                        <a14:shadowObscured xmlns:a14="http://schemas.microsoft.com/office/drawing/2010/main"/>
                      </a:ext>
                    </a:extLst>
                  </pic:spPr>
                </pic:pic>
              </a:graphicData>
            </a:graphic>
          </wp:inline>
        </w:drawing>
      </w:r>
    </w:p>
    <w:p w14:paraId="75A5523F" w14:textId="0FE1D5B4" w:rsidR="00FD5E16" w:rsidRPr="001632C4" w:rsidRDefault="00FD5E16" w:rsidP="00D62305">
      <w:pPr>
        <w:spacing w:line="276" w:lineRule="auto"/>
        <w:rPr>
          <w:iCs/>
          <w:lang w:val="en-US"/>
        </w:rPr>
      </w:pPr>
      <w:r w:rsidRPr="001632C4">
        <w:rPr>
          <w:b/>
          <w:bCs/>
          <w:iCs/>
          <w:lang w:val="en-US"/>
        </w:rPr>
        <w:t>Figure S1</w:t>
      </w:r>
      <w:r w:rsidR="00F4621A">
        <w:rPr>
          <w:b/>
          <w:bCs/>
          <w:iCs/>
          <w:lang w:val="en-US"/>
        </w:rPr>
        <w:t>2</w:t>
      </w:r>
      <w:r w:rsidRPr="001632C4">
        <w:rPr>
          <w:b/>
          <w:bCs/>
          <w:iCs/>
          <w:lang w:val="en-US"/>
        </w:rPr>
        <w:t xml:space="preserve"> Graphene optical images. (a) </w:t>
      </w:r>
      <w:r w:rsidRPr="001632C4">
        <w:rPr>
          <w:iCs/>
          <w:lang w:val="en-US"/>
        </w:rPr>
        <w:t xml:space="preserve">50 x 50 µm image shows areas with multilayer that may play a role especially during the electron transfer. </w:t>
      </w:r>
      <w:r w:rsidRPr="001632C4">
        <w:rPr>
          <w:b/>
          <w:bCs/>
          <w:iCs/>
          <w:lang w:val="en-US"/>
        </w:rPr>
        <w:t xml:space="preserve">(b) </w:t>
      </w:r>
      <w:r w:rsidRPr="001632C4">
        <w:rPr>
          <w:iCs/>
          <w:lang w:val="en-US"/>
        </w:rPr>
        <w:t>Optical</w:t>
      </w:r>
      <w:r w:rsidRPr="001632C4">
        <w:rPr>
          <w:b/>
          <w:bCs/>
          <w:iCs/>
          <w:lang w:val="en-US"/>
        </w:rPr>
        <w:t xml:space="preserve"> </w:t>
      </w:r>
      <w:r w:rsidRPr="001632C4">
        <w:rPr>
          <w:iCs/>
          <w:lang w:val="en-US"/>
        </w:rPr>
        <w:t xml:space="preserve">image of a </w:t>
      </w:r>
      <w:r w:rsidR="002821C3">
        <w:rPr>
          <w:iCs/>
          <w:lang w:val="en-US"/>
        </w:rPr>
        <w:t>m-GFET</w:t>
      </w:r>
      <w:r w:rsidRPr="001632C4">
        <w:rPr>
          <w:iCs/>
          <w:lang w:val="en-US"/>
        </w:rPr>
        <w:t xml:space="preserve">. </w:t>
      </w:r>
    </w:p>
    <w:p w14:paraId="62512F19" w14:textId="5A0E2658" w:rsidR="00FD5E16" w:rsidRPr="001632C4" w:rsidRDefault="00FD5E16" w:rsidP="00FD5E16">
      <w:pPr>
        <w:rPr>
          <w:iCs/>
          <w:lang w:val="en-US"/>
        </w:rPr>
      </w:pPr>
    </w:p>
    <w:p w14:paraId="3A5A5345" w14:textId="32E820AD" w:rsidR="002E088A" w:rsidRPr="001632C4" w:rsidRDefault="002E088A" w:rsidP="007F0533">
      <w:pPr>
        <w:spacing w:line="360" w:lineRule="auto"/>
        <w:jc w:val="both"/>
        <w:rPr>
          <w:lang w:val="en-US"/>
        </w:rPr>
      </w:pPr>
      <w:r w:rsidRPr="001632C4">
        <w:rPr>
          <w:lang w:val="en-US"/>
        </w:rPr>
        <w:t xml:space="preserve">The </w:t>
      </w:r>
      <w:r w:rsidR="00BE7ADA" w:rsidRPr="001632C4">
        <w:rPr>
          <w:lang w:val="en-US"/>
        </w:rPr>
        <w:t>topography</w:t>
      </w:r>
      <w:r w:rsidR="008F320F" w:rsidRPr="001632C4">
        <w:rPr>
          <w:lang w:val="en-US"/>
        </w:rPr>
        <w:t xml:space="preserve"> </w:t>
      </w:r>
      <w:r w:rsidRPr="001632C4">
        <w:rPr>
          <w:lang w:val="en-US"/>
        </w:rPr>
        <w:t xml:space="preserve">study of the electrodes prior of molecular functionalization demonstrate </w:t>
      </w:r>
      <w:r w:rsidR="00D422E7">
        <w:rPr>
          <w:lang w:val="en-US"/>
        </w:rPr>
        <w:t xml:space="preserve">that </w:t>
      </w:r>
      <w:r w:rsidRPr="001632C4">
        <w:rPr>
          <w:lang w:val="en-US"/>
        </w:rPr>
        <w:t>the HfO</w:t>
      </w:r>
      <w:r w:rsidRPr="001632C4">
        <w:rPr>
          <w:vertAlign w:val="subscript"/>
          <w:lang w:val="en-US"/>
        </w:rPr>
        <w:t>2</w:t>
      </w:r>
      <w:r w:rsidRPr="001632C4">
        <w:rPr>
          <w:lang w:val="en-US"/>
        </w:rPr>
        <w:t xml:space="preserve"> etching </w:t>
      </w:r>
      <w:r w:rsidR="00D422E7">
        <w:rPr>
          <w:lang w:val="en-US"/>
        </w:rPr>
        <w:t>is</w:t>
      </w:r>
      <w:r w:rsidRPr="001632C4">
        <w:rPr>
          <w:lang w:val="en-US"/>
        </w:rPr>
        <w:t xml:space="preserve"> roughly 8 nm </w:t>
      </w:r>
      <w:r w:rsidR="00D422E7">
        <w:rPr>
          <w:lang w:val="en-US"/>
        </w:rPr>
        <w:t>dep</w:t>
      </w:r>
      <w:r w:rsidR="00BF3909">
        <w:rPr>
          <w:lang w:val="en-US"/>
        </w:rPr>
        <w:t xml:space="preserve">th </w:t>
      </w:r>
      <w:r w:rsidRPr="001632C4">
        <w:rPr>
          <w:lang w:val="en-US"/>
        </w:rPr>
        <w:t xml:space="preserve">and </w:t>
      </w:r>
      <w:r w:rsidR="00BF3909">
        <w:rPr>
          <w:lang w:val="en-US"/>
        </w:rPr>
        <w:t>the</w:t>
      </w:r>
      <w:r w:rsidRPr="001632C4">
        <w:rPr>
          <w:lang w:val="en-US"/>
        </w:rPr>
        <w:t xml:space="preserve"> CAFM current versus voltage </w:t>
      </w:r>
      <w:r w:rsidR="00BF3909">
        <w:rPr>
          <w:lang w:val="en-US"/>
        </w:rPr>
        <w:t>demonstrates an ohmic contact with the metallic electrode</w:t>
      </w:r>
      <w:r w:rsidRPr="001632C4">
        <w:rPr>
          <w:lang w:val="en-US"/>
        </w:rPr>
        <w:t xml:space="preserve"> (c). </w:t>
      </w:r>
    </w:p>
    <w:p w14:paraId="031AF4F0" w14:textId="7E854CEF" w:rsidR="00CA67DD" w:rsidRPr="001632C4" w:rsidRDefault="00CA67DD" w:rsidP="002E088A">
      <w:pPr>
        <w:rPr>
          <w:lang w:val="en-US"/>
        </w:rPr>
      </w:pPr>
    </w:p>
    <w:p w14:paraId="36395FC6" w14:textId="3A295F51" w:rsidR="002E088A" w:rsidRPr="001632C4" w:rsidRDefault="007F0533" w:rsidP="002E088A">
      <w:pPr>
        <w:rPr>
          <w:lang w:val="en-US"/>
        </w:rPr>
      </w:pPr>
      <w:r w:rsidRPr="001632C4">
        <w:rPr>
          <w:noProof/>
          <w:lang w:val="en-US"/>
        </w:rPr>
        <w:drawing>
          <wp:inline distT="0" distB="0" distL="0" distR="0" wp14:anchorId="60C18C36" wp14:editId="357062F0">
            <wp:extent cx="6150891" cy="1980000"/>
            <wp:effectExtent l="0" t="0" r="0" b="127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19676" b="23097"/>
                    <a:stretch/>
                  </pic:blipFill>
                  <pic:spPr bwMode="auto">
                    <a:xfrm>
                      <a:off x="0" y="0"/>
                      <a:ext cx="6150891" cy="1980000"/>
                    </a:xfrm>
                    <a:prstGeom prst="rect">
                      <a:avLst/>
                    </a:prstGeom>
                    <a:ln>
                      <a:noFill/>
                    </a:ln>
                    <a:extLst>
                      <a:ext uri="{53640926-AAD7-44D8-BBD7-CCE9431645EC}">
                        <a14:shadowObscured xmlns:a14="http://schemas.microsoft.com/office/drawing/2010/main"/>
                      </a:ext>
                    </a:extLst>
                  </pic:spPr>
                </pic:pic>
              </a:graphicData>
            </a:graphic>
          </wp:inline>
        </w:drawing>
      </w:r>
    </w:p>
    <w:p w14:paraId="603A6F8E" w14:textId="77777777" w:rsidR="007F0533" w:rsidRPr="001632C4" w:rsidRDefault="007F0533" w:rsidP="002E088A">
      <w:pPr>
        <w:rPr>
          <w:lang w:val="en-US"/>
        </w:rPr>
      </w:pPr>
    </w:p>
    <w:p w14:paraId="521C0360" w14:textId="07F18136" w:rsidR="002E088A" w:rsidRPr="001632C4" w:rsidRDefault="002E088A" w:rsidP="00D62305">
      <w:pPr>
        <w:spacing w:line="276" w:lineRule="auto"/>
        <w:jc w:val="both"/>
        <w:rPr>
          <w:lang w:val="en-US"/>
        </w:rPr>
      </w:pPr>
      <w:r w:rsidRPr="001632C4">
        <w:rPr>
          <w:b/>
          <w:bCs/>
          <w:iCs/>
          <w:lang w:val="en-US"/>
        </w:rPr>
        <w:t>Figure S1</w:t>
      </w:r>
      <w:r w:rsidR="00F4621A">
        <w:rPr>
          <w:b/>
          <w:bCs/>
          <w:iCs/>
          <w:lang w:val="en-US"/>
        </w:rPr>
        <w:t>3</w:t>
      </w:r>
      <w:r w:rsidRPr="001632C4">
        <w:rPr>
          <w:b/>
          <w:bCs/>
          <w:iCs/>
          <w:lang w:val="en-US"/>
        </w:rPr>
        <w:t xml:space="preserve">. Structural characterization of the electrode. (a) </w:t>
      </w:r>
      <w:r w:rsidRPr="001632C4">
        <w:rPr>
          <w:iCs/>
          <w:lang w:val="en-US"/>
        </w:rPr>
        <w:t>AFM image of the electrode. (</w:t>
      </w:r>
      <w:r w:rsidRPr="001632C4">
        <w:rPr>
          <w:b/>
          <w:bCs/>
          <w:iCs/>
          <w:lang w:val="en-US"/>
        </w:rPr>
        <w:t xml:space="preserve">b) </w:t>
      </w:r>
      <w:r w:rsidRPr="001632C4">
        <w:rPr>
          <w:iCs/>
          <w:lang w:val="en-US"/>
        </w:rPr>
        <w:t>Topographical cross section. (</w:t>
      </w:r>
      <w:r w:rsidRPr="001632C4">
        <w:rPr>
          <w:b/>
          <w:bCs/>
          <w:iCs/>
          <w:lang w:val="en-US"/>
        </w:rPr>
        <w:t xml:space="preserve">c) </w:t>
      </w:r>
      <w:r w:rsidRPr="001632C4">
        <w:rPr>
          <w:iCs/>
          <w:lang w:val="en-US"/>
        </w:rPr>
        <w:t xml:space="preserve">IV curve between the AFM conductive tip and the gold substrate </w:t>
      </w:r>
      <w:r w:rsidR="00BF3909">
        <w:rPr>
          <w:iCs/>
          <w:lang w:val="en-US"/>
        </w:rPr>
        <w:t>in</w:t>
      </w:r>
      <w:r w:rsidRPr="001632C4">
        <w:rPr>
          <w:iCs/>
          <w:lang w:val="en-US"/>
        </w:rPr>
        <w:t xml:space="preserve"> the etched zone. </w:t>
      </w:r>
    </w:p>
    <w:p w14:paraId="5631830E" w14:textId="77777777" w:rsidR="002E088A" w:rsidRPr="001632C4" w:rsidRDefault="002E088A">
      <w:pPr>
        <w:rPr>
          <w:b/>
          <w:lang w:val="en-US"/>
        </w:rPr>
      </w:pPr>
      <w:r w:rsidRPr="001632C4">
        <w:rPr>
          <w:b/>
          <w:bCs/>
          <w:lang w:val="en-US"/>
        </w:rPr>
        <w:br w:type="page"/>
      </w:r>
    </w:p>
    <w:p w14:paraId="5F88C7CB" w14:textId="2C876871" w:rsidR="00FD5E16" w:rsidRDefault="00FD5E16" w:rsidP="006D652D">
      <w:pPr>
        <w:pStyle w:val="Ttulo1"/>
        <w:rPr>
          <w:rFonts w:ascii="Times New Roman" w:hAnsi="Times New Roman" w:cs="Times New Roman"/>
          <w:color w:val="auto"/>
          <w:sz w:val="28"/>
          <w:szCs w:val="28"/>
        </w:rPr>
      </w:pPr>
      <w:bookmarkStart w:id="12" w:name="_Toc104545477"/>
      <w:bookmarkStart w:id="13" w:name="_Toc104545495"/>
      <w:r w:rsidRPr="006D652D">
        <w:rPr>
          <w:rFonts w:ascii="Times New Roman" w:hAnsi="Times New Roman" w:cs="Times New Roman"/>
          <w:color w:val="auto"/>
          <w:sz w:val="28"/>
          <w:szCs w:val="28"/>
        </w:rPr>
        <w:lastRenderedPageBreak/>
        <w:t xml:space="preserve">Note </w:t>
      </w:r>
      <w:r w:rsidR="002A2058" w:rsidRPr="006D652D">
        <w:rPr>
          <w:rFonts w:ascii="Times New Roman" w:hAnsi="Times New Roman" w:cs="Times New Roman"/>
          <w:color w:val="auto"/>
          <w:sz w:val="28"/>
          <w:szCs w:val="28"/>
        </w:rPr>
        <w:t>7</w:t>
      </w:r>
      <w:r w:rsidRPr="006D652D">
        <w:rPr>
          <w:rFonts w:ascii="Times New Roman" w:hAnsi="Times New Roman" w:cs="Times New Roman"/>
          <w:color w:val="auto"/>
          <w:sz w:val="28"/>
          <w:szCs w:val="28"/>
        </w:rPr>
        <w:t xml:space="preserve">. Electrical </w:t>
      </w:r>
      <w:r w:rsidR="00214BDA" w:rsidRPr="006D652D">
        <w:rPr>
          <w:rFonts w:ascii="Times New Roman" w:hAnsi="Times New Roman" w:cs="Times New Roman"/>
          <w:color w:val="auto"/>
          <w:sz w:val="28"/>
          <w:szCs w:val="28"/>
        </w:rPr>
        <w:t>transport characteristics</w:t>
      </w:r>
      <w:bookmarkEnd w:id="12"/>
      <w:bookmarkEnd w:id="13"/>
    </w:p>
    <w:p w14:paraId="61BE92C3" w14:textId="67112944" w:rsidR="00700F49" w:rsidRDefault="00700F49" w:rsidP="00700F49">
      <w:pPr>
        <w:rPr>
          <w:lang w:val="en-US" w:eastAsia="ja-JP"/>
        </w:rPr>
      </w:pPr>
    </w:p>
    <w:p w14:paraId="1868FB29" w14:textId="16B137B6" w:rsidR="00700F49" w:rsidRPr="00700F49" w:rsidRDefault="00700F49" w:rsidP="0002074D">
      <w:pPr>
        <w:spacing w:line="360" w:lineRule="auto"/>
        <w:rPr>
          <w:lang w:val="en-US" w:eastAsia="ja-JP"/>
        </w:rPr>
      </w:pPr>
      <w:r>
        <w:rPr>
          <w:lang w:val="en-US"/>
        </w:rPr>
        <w:t>In our fabricated graphene field effect transistors (GFETs) the contact resistance</w:t>
      </w:r>
      <w:r w:rsidR="005C3229">
        <w:rPr>
          <w:lang w:val="en-US"/>
        </w:rPr>
        <w:t xml:space="preserve"> is in order of KΩ while the </w:t>
      </w:r>
      <w:r w:rsidR="00BF3909">
        <w:rPr>
          <w:lang w:val="en-US"/>
        </w:rPr>
        <w:t xml:space="preserve">graphene channel </w:t>
      </w:r>
      <w:r w:rsidR="005C3229">
        <w:rPr>
          <w:lang w:val="en-US"/>
        </w:rPr>
        <w:t>resistance is one order of magnitude lowe</w:t>
      </w:r>
      <w:r w:rsidR="005C3229" w:rsidRPr="005C3229">
        <w:rPr>
          <w:lang w:val="en-US"/>
        </w:rPr>
        <w:t>r.</w:t>
      </w:r>
    </w:p>
    <w:p w14:paraId="67DF9344" w14:textId="07218793" w:rsidR="00E449C2" w:rsidRDefault="00E449C2" w:rsidP="0002074D">
      <w:pPr>
        <w:pStyle w:val="Head1"/>
        <w:rPr>
          <w:b/>
          <w:bCs w:val="0"/>
          <w:lang w:val="en-US"/>
        </w:rPr>
      </w:pPr>
    </w:p>
    <w:p w14:paraId="1D659E4D" w14:textId="77777777" w:rsidR="00FD5E16" w:rsidRPr="001632C4" w:rsidRDefault="00FD5E16" w:rsidP="00FD5E16">
      <w:pPr>
        <w:spacing w:line="276" w:lineRule="auto"/>
        <w:jc w:val="center"/>
        <w:rPr>
          <w:lang w:val="en-US"/>
        </w:rPr>
      </w:pPr>
      <w:r w:rsidRPr="001632C4">
        <w:rPr>
          <w:noProof/>
          <w:lang w:val="en-US" w:eastAsia="en-US"/>
        </w:rPr>
        <w:drawing>
          <wp:inline distT="0" distB="0" distL="0" distR="0" wp14:anchorId="34EDCB26" wp14:editId="168A9F42">
            <wp:extent cx="2475001" cy="1980000"/>
            <wp:effectExtent l="0" t="0" r="1905" b="127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10802" t="21923" r="53256" b="26960"/>
                    <a:stretch/>
                  </pic:blipFill>
                  <pic:spPr bwMode="auto">
                    <a:xfrm>
                      <a:off x="0" y="0"/>
                      <a:ext cx="2475001" cy="1980000"/>
                    </a:xfrm>
                    <a:prstGeom prst="rect">
                      <a:avLst/>
                    </a:prstGeom>
                    <a:ln>
                      <a:noFill/>
                    </a:ln>
                    <a:extLst>
                      <a:ext uri="{53640926-AAD7-44D8-BBD7-CCE9431645EC}">
                        <a14:shadowObscured xmlns:a14="http://schemas.microsoft.com/office/drawing/2010/main"/>
                      </a:ext>
                    </a:extLst>
                  </pic:spPr>
                </pic:pic>
              </a:graphicData>
            </a:graphic>
          </wp:inline>
        </w:drawing>
      </w:r>
    </w:p>
    <w:p w14:paraId="1E42E08B" w14:textId="67021BB1" w:rsidR="00700F49" w:rsidRDefault="00FD5E16" w:rsidP="00700F49">
      <w:pPr>
        <w:spacing w:line="360" w:lineRule="auto"/>
        <w:jc w:val="both"/>
        <w:rPr>
          <w:lang w:val="en-US"/>
        </w:rPr>
      </w:pPr>
      <w:r w:rsidRPr="001632C4">
        <w:rPr>
          <w:b/>
          <w:bCs/>
          <w:noProof/>
          <w:lang w:val="en-US"/>
        </w:rPr>
        <w:t>Figure S1</w:t>
      </w:r>
      <w:r w:rsidR="00F4621A">
        <w:rPr>
          <w:b/>
          <w:bCs/>
          <w:noProof/>
          <w:lang w:val="en-US"/>
        </w:rPr>
        <w:t>4</w:t>
      </w:r>
      <w:r w:rsidRPr="001632C4">
        <w:rPr>
          <w:b/>
          <w:bCs/>
          <w:noProof/>
          <w:lang w:val="en-US"/>
        </w:rPr>
        <w:t>. Electrical characerization of the G-FET.</w:t>
      </w:r>
      <w:r w:rsidRPr="001632C4">
        <w:rPr>
          <w:noProof/>
          <w:lang w:val="en-US"/>
        </w:rPr>
        <w:t xml:space="preserve"> </w:t>
      </w:r>
      <w:r w:rsidRPr="001632C4">
        <w:rPr>
          <w:b/>
          <w:bCs/>
          <w:noProof/>
          <w:lang w:val="en-US"/>
        </w:rPr>
        <w:t>(a)</w:t>
      </w:r>
      <w:r w:rsidRPr="001632C4">
        <w:rPr>
          <w:noProof/>
          <w:lang w:val="en-US"/>
        </w:rPr>
        <w:t xml:space="preserve"> Contact and graphene channel resistance between source and drain in the G-FET.</w:t>
      </w:r>
      <w:r w:rsidR="00700F49" w:rsidRPr="00700F49">
        <w:rPr>
          <w:lang w:val="en-US"/>
        </w:rPr>
        <w:t xml:space="preserve"> </w:t>
      </w:r>
    </w:p>
    <w:p w14:paraId="32B38879" w14:textId="77777777" w:rsidR="00700F49" w:rsidRDefault="00700F49" w:rsidP="00700F49">
      <w:pPr>
        <w:spacing w:line="360" w:lineRule="auto"/>
        <w:jc w:val="both"/>
        <w:rPr>
          <w:lang w:val="en-US"/>
        </w:rPr>
      </w:pPr>
    </w:p>
    <w:p w14:paraId="2825A7B0" w14:textId="27B2F724" w:rsidR="00FD5E16" w:rsidRPr="001632C4" w:rsidRDefault="005C3229" w:rsidP="005C3229">
      <w:pPr>
        <w:spacing w:line="360" w:lineRule="auto"/>
        <w:jc w:val="both"/>
        <w:rPr>
          <w:lang w:val="en-US"/>
        </w:rPr>
      </w:pPr>
      <w:r>
        <w:rPr>
          <w:lang w:val="en-US"/>
        </w:rPr>
        <w:t xml:space="preserve">A key feature in the </w:t>
      </w:r>
      <w:r w:rsidR="00700F49">
        <w:rPr>
          <w:lang w:val="en-US"/>
        </w:rPr>
        <w:t>GFETs</w:t>
      </w:r>
      <w:r>
        <w:rPr>
          <w:lang w:val="en-US"/>
        </w:rPr>
        <w:t xml:space="preserve"> is</w:t>
      </w:r>
      <w:r w:rsidR="00700F49">
        <w:rPr>
          <w:lang w:val="en-US"/>
        </w:rPr>
        <w:t xml:space="preserve"> the </w:t>
      </w:r>
      <w:r w:rsidR="00700F49" w:rsidRPr="001632C4">
        <w:rPr>
          <w:lang w:val="en-US"/>
        </w:rPr>
        <w:t>type (holes and electrons) and density</w:t>
      </w:r>
      <w:r w:rsidR="00CA7EF4">
        <w:rPr>
          <w:lang w:val="en-US"/>
        </w:rPr>
        <w:t xml:space="preserve"> of carriers</w:t>
      </w:r>
      <w:r w:rsidR="00700F49" w:rsidRPr="001632C4">
        <w:rPr>
          <w:lang w:val="en-US"/>
        </w:rPr>
        <w:t xml:space="preserve"> in the channel </w:t>
      </w:r>
      <w:r>
        <w:rPr>
          <w:lang w:val="en-US"/>
        </w:rPr>
        <w:t>that can be</w:t>
      </w:r>
      <w:r w:rsidR="00700F49" w:rsidRPr="001632C4">
        <w:rPr>
          <w:lang w:val="en-US"/>
        </w:rPr>
        <w:t xml:space="preserve"> controlled by the potential difference between the channel and the gate</w:t>
      </w:r>
      <w:r w:rsidR="00700F49">
        <w:rPr>
          <w:lang w:val="en-US"/>
        </w:rPr>
        <w:t xml:space="preserve"> (</w:t>
      </w:r>
      <w:r w:rsidR="00700F49" w:rsidRPr="003F65DC">
        <w:rPr>
          <w:i/>
          <w:iCs/>
          <w:lang w:val="en-US"/>
        </w:rPr>
        <w:t>V</w:t>
      </w:r>
      <w:r w:rsidR="00700F49" w:rsidRPr="003F65DC">
        <w:rPr>
          <w:i/>
          <w:iCs/>
          <w:vertAlign w:val="subscript"/>
          <w:lang w:val="en-US"/>
        </w:rPr>
        <w:t>BG</w:t>
      </w:r>
      <w:r w:rsidR="00700F49">
        <w:rPr>
          <w:lang w:val="en-US"/>
        </w:rPr>
        <w:t>)</w:t>
      </w:r>
      <w:r w:rsidR="00700F49" w:rsidRPr="001632C4">
        <w:rPr>
          <w:lang w:val="en-US"/>
        </w:rPr>
        <w:t xml:space="preserve">. </w:t>
      </w:r>
      <w:r>
        <w:rPr>
          <w:lang w:val="en-US"/>
        </w:rPr>
        <w:t>T</w:t>
      </w:r>
      <w:r w:rsidR="00700F49" w:rsidRPr="001632C4">
        <w:rPr>
          <w:lang w:val="en-US"/>
        </w:rPr>
        <w:t xml:space="preserve">he situation where the semimetal graphene behavior </w:t>
      </w:r>
      <w:r w:rsidR="00700F49">
        <w:rPr>
          <w:lang w:val="en-US"/>
        </w:rPr>
        <w:t>changes</w:t>
      </w:r>
      <w:r w:rsidR="00700F49" w:rsidRPr="001632C4">
        <w:rPr>
          <w:lang w:val="en-US"/>
        </w:rPr>
        <w:t xml:space="preserve"> from “hole conductivity” regime at the negative electrostatic potential to “electron conductivity” at the positive electrostatic potential</w:t>
      </w:r>
      <w:r w:rsidR="00700F49">
        <w:rPr>
          <w:lang w:val="en-US"/>
        </w:rPr>
        <w:t xml:space="preserve"> is called the</w:t>
      </w:r>
      <w:r w:rsidR="00700F49" w:rsidRPr="001632C4">
        <w:rPr>
          <w:lang w:val="en-US"/>
        </w:rPr>
        <w:t xml:space="preserve"> Dirac </w:t>
      </w:r>
      <w:r w:rsidR="00700F49">
        <w:rPr>
          <w:lang w:val="en-US"/>
        </w:rPr>
        <w:t>point</w:t>
      </w:r>
      <w:r w:rsidR="00090438">
        <w:rPr>
          <w:rStyle w:val="Refdenotaalpie"/>
          <w:lang w:val="en-US"/>
        </w:rPr>
        <w:fldChar w:fldCharType="begin" w:fldLock="1"/>
      </w:r>
      <w:r w:rsidR="00090438">
        <w:rPr>
          <w:lang w:val="en-US"/>
        </w:rPr>
        <w:instrText>ADDIN CSL_CITATION {"citationItems":[{"id":"ITEM-1","itemData":{"DOI":"10.1063/1.4874181","ISSN":"10897550","abstract":"While graphene-based technology shows great promise for a variety of electronic applications, including radio-frequency devices, the resistance of the metal-graphene contact is a technological bottleneck for the realization of viable graphene electronics. One of the most important factors in determining the resistance of a metal-graphene junction is the contact resistivity. Despite the large number of experimental works that exist in the literature measuring the contact resistivity, a simple model of it is still lacking. In this paper, we present a comprehensive physical model for the contact resistivity of these junctions, based on the Bardeen Transfer Hamiltonian method. This model unveils the role played by different electrical and physical parameters in determining the specific contact resistivity, such as the chemical potential of interaction, the work metal-graphene function difference, and the insulator thickness between the metal and graphene. In addition, our model reveals that the contact resistivity is strongly dependent on the bias voltage across the metal-graphene junction. This model is applicable to a wide variety of graphene-based electronic devices and thus is useful for understanding how to optimize the contact resistance in these systems. © 2014 AIP Publishing LLC.","author":[{"dropping-particle":"","family":"Chaves","given":"Ferney A.","non-dropping-particle":"","parse-names":false,"suffix":""},{"dropping-particle":"","family":"Jiménez","given":"David","non-dropping-particle":"","parse-names":false,"suffix":""},{"dropping-particle":"","family":"Cummings","given":"Aron W.","non-dropping-particle":"","parse-names":false,"suffix":""},{"dropping-particle":"","family":"Roche","given":"Stephan","non-dropping-particle":"","parse-names":false,"suffix":""}],"container-title":"Journal of Applied Physics","id":"ITEM-1","issue":"16","issued":{"date-parts":[["2014"]]},"title":"Physical model of the contact resistivity of metal-graphene junctions","type":"article-journal","volume":"115"},"uris":["http://www.mendeley.com/documents/?uuid=9ea0de46-b523-4ec0-8bc2-89a6deb6e0be"]}],"mendeley":{"formattedCitation":"&lt;sup&gt;16&lt;/sup&gt;","plainTextFormattedCitation":"16","previouslyFormattedCitation":"&lt;sup&gt;16&lt;/sup&gt;"},"properties":{"noteIndex":0},"schema":"https://github.com/citation-style-language/schema/raw/master/csl-citation.json"}</w:instrText>
      </w:r>
      <w:r w:rsidR="00090438">
        <w:rPr>
          <w:rStyle w:val="Refdenotaalpie"/>
          <w:lang w:val="en-US"/>
        </w:rPr>
        <w:fldChar w:fldCharType="separate"/>
      </w:r>
      <w:r w:rsidR="00090438" w:rsidRPr="00882E2D">
        <w:rPr>
          <w:noProof/>
          <w:vertAlign w:val="superscript"/>
          <w:lang w:val="en-US"/>
        </w:rPr>
        <w:t>16</w:t>
      </w:r>
      <w:r w:rsidR="00090438">
        <w:rPr>
          <w:rStyle w:val="Refdenotaalpie"/>
          <w:lang w:val="en-US"/>
        </w:rPr>
        <w:fldChar w:fldCharType="end"/>
      </w:r>
      <w:r w:rsidR="00700F49">
        <w:rPr>
          <w:lang w:val="en-US"/>
        </w:rPr>
        <w:t>.</w:t>
      </w:r>
      <w:r>
        <w:rPr>
          <w:lang w:val="en-US"/>
        </w:rPr>
        <w:t xml:space="preserve"> </w:t>
      </w:r>
    </w:p>
    <w:p w14:paraId="1417F0A4" w14:textId="77777777" w:rsidR="00FD5E16" w:rsidRPr="001632C4" w:rsidRDefault="00FD5E16" w:rsidP="00FD5E16">
      <w:pPr>
        <w:jc w:val="center"/>
        <w:rPr>
          <w:b/>
          <w:bCs/>
          <w:noProof/>
          <w:lang w:val="en-US"/>
        </w:rPr>
      </w:pPr>
      <w:r w:rsidRPr="001632C4">
        <w:rPr>
          <w:b/>
          <w:bCs/>
          <w:noProof/>
          <w:lang w:val="en-US"/>
        </w:rPr>
        <w:drawing>
          <wp:inline distT="0" distB="0" distL="0" distR="0" wp14:anchorId="4006DC6E" wp14:editId="465D9C5B">
            <wp:extent cx="4557035" cy="1980000"/>
            <wp:effectExtent l="0" t="0" r="2540" b="127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1271" t="17995" r="11430" b="22296"/>
                    <a:stretch/>
                  </pic:blipFill>
                  <pic:spPr bwMode="auto">
                    <a:xfrm>
                      <a:off x="0" y="0"/>
                      <a:ext cx="4557035" cy="1980000"/>
                    </a:xfrm>
                    <a:prstGeom prst="rect">
                      <a:avLst/>
                    </a:prstGeom>
                    <a:ln>
                      <a:noFill/>
                    </a:ln>
                    <a:extLst>
                      <a:ext uri="{53640926-AAD7-44D8-BBD7-CCE9431645EC}">
                        <a14:shadowObscured xmlns:a14="http://schemas.microsoft.com/office/drawing/2010/main"/>
                      </a:ext>
                    </a:extLst>
                  </pic:spPr>
                </pic:pic>
              </a:graphicData>
            </a:graphic>
          </wp:inline>
        </w:drawing>
      </w:r>
    </w:p>
    <w:p w14:paraId="757787C3" w14:textId="67D6BFFA" w:rsidR="00FD5E16" w:rsidRPr="001632C4" w:rsidRDefault="00FD5E16" w:rsidP="00FD5E16">
      <w:pPr>
        <w:rPr>
          <w:noProof/>
          <w:lang w:val="en-US"/>
        </w:rPr>
      </w:pPr>
      <w:r w:rsidRPr="001632C4">
        <w:rPr>
          <w:b/>
          <w:bCs/>
          <w:noProof/>
          <w:lang w:val="en-US"/>
        </w:rPr>
        <w:t>Figure S1</w:t>
      </w:r>
      <w:r w:rsidR="00F4621A">
        <w:rPr>
          <w:b/>
          <w:bCs/>
          <w:noProof/>
          <w:lang w:val="en-US"/>
        </w:rPr>
        <w:t>5</w:t>
      </w:r>
      <w:r w:rsidRPr="001632C4">
        <w:rPr>
          <w:b/>
          <w:bCs/>
          <w:noProof/>
          <w:lang w:val="en-US"/>
        </w:rPr>
        <w:t xml:space="preserve">. Electrical characerization of (a) </w:t>
      </w:r>
      <w:r w:rsidRPr="001632C4">
        <w:rPr>
          <w:noProof/>
          <w:lang w:val="en-US"/>
        </w:rPr>
        <w:t>GFET and</w:t>
      </w:r>
      <w:r w:rsidRPr="001632C4">
        <w:rPr>
          <w:b/>
          <w:bCs/>
          <w:noProof/>
          <w:lang w:val="en-US"/>
        </w:rPr>
        <w:t xml:space="preserve"> (b) </w:t>
      </w:r>
      <w:r w:rsidR="002821C3">
        <w:rPr>
          <w:noProof/>
          <w:lang w:val="en-US"/>
        </w:rPr>
        <w:t>m-GFET</w:t>
      </w:r>
      <w:r w:rsidRPr="001632C4">
        <w:rPr>
          <w:b/>
          <w:bCs/>
          <w:noProof/>
          <w:lang w:val="en-US"/>
        </w:rPr>
        <w:t>.</w:t>
      </w:r>
    </w:p>
    <w:p w14:paraId="346B8954" w14:textId="77777777" w:rsidR="005C3229" w:rsidRDefault="005C3229" w:rsidP="00D51CB1">
      <w:pPr>
        <w:spacing w:line="360" w:lineRule="auto"/>
        <w:jc w:val="both"/>
        <w:rPr>
          <w:lang w:val="en-US"/>
        </w:rPr>
      </w:pPr>
    </w:p>
    <w:p w14:paraId="7FE9B692" w14:textId="079176D0" w:rsidR="0094392B" w:rsidRDefault="00D51CB1" w:rsidP="00FD5E16">
      <w:pPr>
        <w:spacing w:line="360" w:lineRule="auto"/>
        <w:jc w:val="both"/>
        <w:rPr>
          <w:lang w:val="en-US"/>
        </w:rPr>
      </w:pPr>
      <w:r w:rsidRPr="001632C4">
        <w:rPr>
          <w:lang w:val="en-US"/>
        </w:rPr>
        <w:t xml:space="preserve">We observe </w:t>
      </w:r>
      <w:r w:rsidR="00CA7EF4">
        <w:rPr>
          <w:lang w:val="en-US"/>
        </w:rPr>
        <w:t xml:space="preserve">the </w:t>
      </w:r>
      <w:r w:rsidRPr="001632C4">
        <w:rPr>
          <w:lang w:val="en-US"/>
        </w:rPr>
        <w:t xml:space="preserve">tunning of Dirac point </w:t>
      </w:r>
      <w:r w:rsidR="00CA7EF4">
        <w:rPr>
          <w:lang w:val="en-US"/>
        </w:rPr>
        <w:t xml:space="preserve">by </w:t>
      </w:r>
      <w:r w:rsidRPr="001632C4">
        <w:rPr>
          <w:lang w:val="en-US"/>
        </w:rPr>
        <w:t>up to 1</w:t>
      </w:r>
      <w:r w:rsidR="0002074D">
        <w:rPr>
          <w:lang w:val="en-US"/>
        </w:rPr>
        <w:t>0</w:t>
      </w:r>
      <w:r w:rsidRPr="001632C4">
        <w:rPr>
          <w:lang w:val="en-US"/>
        </w:rPr>
        <w:t>0</w:t>
      </w:r>
      <w:r w:rsidR="0002074D">
        <w:rPr>
          <w:lang w:val="en-US"/>
        </w:rPr>
        <w:t>-150</w:t>
      </w:r>
      <w:r w:rsidRPr="001632C4">
        <w:rPr>
          <w:lang w:val="en-US"/>
        </w:rPr>
        <w:t xml:space="preserve"> V.</w:t>
      </w:r>
      <w:r w:rsidR="0002074D">
        <w:rPr>
          <w:lang w:val="en-US"/>
        </w:rPr>
        <w:t xml:space="preserve"> </w:t>
      </w:r>
      <w:r w:rsidRPr="001632C4">
        <w:rPr>
          <w:lang w:val="en-US"/>
        </w:rPr>
        <w:t xml:space="preserve">Different gate voltage ranges generate changes in the number of charge trapped at the </w:t>
      </w:r>
      <w:proofErr w:type="spellStart"/>
      <w:r w:rsidRPr="001632C4">
        <w:rPr>
          <w:lang w:val="en-US"/>
        </w:rPr>
        <w:t>SiOx</w:t>
      </w:r>
      <w:proofErr w:type="spellEnd"/>
      <w:r w:rsidRPr="001632C4">
        <w:rPr>
          <w:lang w:val="en-US"/>
        </w:rPr>
        <w:t xml:space="preserve"> // Graphene interface and subsequently false doped states shifting the Dirac point.</w:t>
      </w:r>
      <w:r w:rsidR="0002074D">
        <w:rPr>
          <w:lang w:val="en-US"/>
        </w:rPr>
        <w:t xml:space="preserve"> </w:t>
      </w:r>
      <w:r w:rsidR="00FD5E16" w:rsidRPr="001632C4">
        <w:rPr>
          <w:lang w:val="en-US"/>
        </w:rPr>
        <w:t>Actually, this feature varies with the solvent (H</w:t>
      </w:r>
      <w:r w:rsidR="00FD5E16" w:rsidRPr="001632C4">
        <w:rPr>
          <w:vertAlign w:val="subscript"/>
          <w:lang w:val="en-US"/>
        </w:rPr>
        <w:t>2</w:t>
      </w:r>
      <w:r w:rsidR="00FD5E16" w:rsidRPr="001632C4">
        <w:rPr>
          <w:lang w:val="en-US"/>
        </w:rPr>
        <w:t>O, EtOH or acetone) employed before the electrical measurements</w:t>
      </w:r>
      <w:r w:rsidR="0002074D" w:rsidRPr="001632C4">
        <w:rPr>
          <w:lang w:val="en-US"/>
        </w:rPr>
        <w:t xml:space="preserve"> (Figure S1</w:t>
      </w:r>
      <w:r w:rsidR="00F4621A">
        <w:rPr>
          <w:lang w:val="en-US"/>
        </w:rPr>
        <w:t>6</w:t>
      </w:r>
      <w:r w:rsidR="0002074D" w:rsidRPr="001632C4">
        <w:rPr>
          <w:lang w:val="en-US"/>
        </w:rPr>
        <w:t>)</w:t>
      </w:r>
      <w:r w:rsidR="0002074D">
        <w:rPr>
          <w:lang w:val="en-US"/>
        </w:rPr>
        <w:t>.</w:t>
      </w:r>
      <w:r w:rsidR="00FD5E16" w:rsidRPr="001632C4">
        <w:rPr>
          <w:lang w:val="en-US"/>
        </w:rPr>
        <w:t xml:space="preserve"> It </w:t>
      </w:r>
      <w:r w:rsidR="00FD5E16" w:rsidRPr="001632C4">
        <w:rPr>
          <w:lang w:val="en-US"/>
        </w:rPr>
        <w:lastRenderedPageBreak/>
        <w:t>indicates that</w:t>
      </w:r>
      <w:r w:rsidR="0002074D">
        <w:rPr>
          <w:lang w:val="en-US"/>
        </w:rPr>
        <w:t xml:space="preserve"> </w:t>
      </w:r>
      <w:r w:rsidR="00FD5E16" w:rsidRPr="001632C4">
        <w:rPr>
          <w:lang w:val="en-US"/>
        </w:rPr>
        <w:t xml:space="preserve">operating these </w:t>
      </w:r>
      <w:r w:rsidR="002821C3">
        <w:rPr>
          <w:lang w:val="en-US"/>
        </w:rPr>
        <w:t>m-GFET</w:t>
      </w:r>
      <w:r w:rsidR="00FD5E16" w:rsidRPr="001632C4">
        <w:rPr>
          <w:lang w:val="en-US"/>
        </w:rPr>
        <w:t>s in transient states may discern solvent effect for biosensing applications</w:t>
      </w:r>
      <w:r w:rsidR="00A90A70">
        <w:rPr>
          <w:rStyle w:val="Refdenotaalpie"/>
          <w:lang w:val="en-US"/>
        </w:rPr>
        <w:fldChar w:fldCharType="begin" w:fldLock="1"/>
      </w:r>
      <w:r w:rsidR="00882E2D">
        <w:rPr>
          <w:lang w:val="en-US"/>
        </w:rPr>
        <w:instrText>ADDIN CSL_CITATION {"citationItems":[{"id":"ITEM-1","itemData":{"DOI":"10.1021/acs.nanolett.9b02939","ISSN":"15306992","abstract":"Field-effect transistors (FETs), when functionalized with proper biorecognition elements (such as antibodies or enzymes), represent a unique platform for real-time, specific, label-free transduction of biochemical signals. However, direct immobilization of biorecognition molecules on FETs imposes limitations on reprogrammability, sensor regeneration, and robust device handling. Here we demonstrate a modularized design of FET biosensors with separate biorecognition and transducer modules, which are capable of reversible assembly and disassembly. In particular, hydrogel \"stamps\" immobilizing bioreceptors have been chosen to build biorecognition modules to reliably interface with FET transducers structurally and functionally. Successful detection of penicillin down to 0.25 mM has been achieved with a penicillinase-encoded hydrogel module, demonstrating effective signal transduction across the hybrid interface. Moreover, sequential integration of urease- and penicillinase-encoded modules on the same FET device allows us to reprogram the sensing modality without cross-contamination. In addition to independent bioreceptor encoding, the modular design also fosters sophisticated control of sensing kinetics by modulating the physiochemical microenvironment in the biorecognition modules. Specifically, the distinction in hydrogel porosity between polyethylene glycol and gelatin enables controlled access and detection of larger molecules, such as poly-l-lysine (MW 150-300 kDa), only through the gelatin module. Biorecognition modules with standardized interface designs have also been exploited to comply with additive mass fabrication by 3D printing, demonstrating potential for low cost, ease of storage, multiplexing, and great customizability for personalized biosensor production. This generic concept presents a unique integration strategy for modularized bioelectronics and could broadly impact hybrid device development.","author":[{"dropping-particle":"","family":"Dai","given":"Xiaochuan","non-dropping-particle":"","parse-names":false,"suffix":""},{"dropping-particle":"","family":"Vo","given":"Richard","non-dropping-particle":"","parse-names":false,"suffix":""},{"dropping-particle":"","family":"Hsu","given":"Huan Hsuan","non-dropping-particle":"","parse-names":false,"suffix":""},{"dropping-particle":"","family":"Deng","given":"Pu","non-dropping-particle":"","parse-names":false,"suffix":""},{"dropping-particle":"","family":"Zhang","given":"Yixin","non-dropping-particle":"","parse-names":false,"suffix":""},{"dropping-particle":"","family":"Jiang","given":"Xiaocheng","non-dropping-particle":"","parse-names":false,"suffix":""}],"container-title":"Nano Letters","id":"ITEM-1","issue":"9","issued":{"date-parts":[["2019"]]},"page":"6658-6664","title":"Modularized Field-Effect Transistor Biosensors","type":"article-journal","volume":"19"},"uris":["http://www.mendeley.com/documents/?uuid=448ca0f1-8b91-4a4d-aff2-e1bb8f242292"]},{"id":"ITEM-2","itemData":{"DOI":"10.1021/acs.nanolett.9b01335","ISSN":"15306992","abstract":"Graphene has strong potential for electrical biosensing owing to its two-dimensional nature and high carrier mobility which transduce the direct contact of a detection target with a graphene channel to a large conductivity change in a graphene field-effect transistor (G-FET). However, the measurable range from the graphene surface is highly restricted by Debye screening, whose characteristic length is less than 1 nm at physiological ionic strength. Here, we demonstrated electrical biosensing utilizing the enzymatic products of the target. We achieved quantitative measurements of a target based on the site-binding model and real-time measurement of the enzyme kinetics in femtoliter microdroplets. The combination of a G-FET and microfluidics, named a \"lab-on-a-graphene-FET\", detected the enzyme urease with high sensitivity in the zeptomole range in 100 mM sodium phosphate buffer. Also, the lab-on-a-graphene-FET detected the gastric cancer pathogen Helicobacter pylori captured at a distance greater than the Debye screening length from the G-FET.","author":[{"dropping-particle":"","family":"Ono","given":"Takao","non-dropping-particle":"","parse-names":false,"suffix":""},{"dropping-particle":"","family":"Kanai","given":"Yasushi","non-dropping-particle":"","parse-names":false,"suffix":""},{"dropping-particle":"","family":"Inoue","given":"Koichi","non-dropping-particle":"","parse-names":false,"suffix":""},{"dropping-particle":"","family":"Watanabe","given":"Yohei","non-dropping-particle":"","parse-names":false,"suffix":""},{"dropping-particle":"","family":"Nakakita","given":"Shin Ichi","non-dropping-particle":"","parse-names":false,"suffix":""},{"dropping-particle":"","family":"Kawahara","given":"Toshio","non-dropping-particle":"","parse-names":false,"suffix":""},{"dropping-particle":"","family":"Suzuki","given":"Yasuo","non-dropping-particle":"","parse-names":false,"suffix":""},{"dropping-particle":"","family":"Matsumoto","given":"Kazuhiko","non-dropping-particle":"","parse-names":false,"suffix":""}],"container-title":"Nano Letters","genre":"rapid-communication","id":"ITEM-2","issue":"6","issued":{"date-parts":[["2019"]]},"page":"4004-4009","publisher":"American Chemical Society","title":"Electrical Biosensing at Physiological Ionic Strength Using Graphene Field-Effect Transistor in Femtoliter Microdroplet","type":"article-journal","volume":"19"},"uris":["http://www.mendeley.com/documents/?uuid=12f4393b-cc83-4dca-8847-5adc5288511d"]}],"mendeley":{"formattedCitation":"&lt;sup&gt;17,18&lt;/sup&gt;","plainTextFormattedCitation":"17,18","previouslyFormattedCitation":"&lt;sup&gt;17,18&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rPr>
        <w:t>17,18</w:t>
      </w:r>
      <w:r w:rsidR="00A90A70">
        <w:rPr>
          <w:rStyle w:val="Refdenotaalpie"/>
          <w:lang w:val="en-US"/>
        </w:rPr>
        <w:fldChar w:fldCharType="end"/>
      </w:r>
      <w:r w:rsidR="00FD5E16" w:rsidRPr="001632C4">
        <w:rPr>
          <w:lang w:val="en-US"/>
        </w:rPr>
        <w:t>.</w:t>
      </w:r>
    </w:p>
    <w:p w14:paraId="66D50CFA" w14:textId="6CE6C567" w:rsidR="0094392B" w:rsidRPr="001632C4" w:rsidRDefault="0094392B" w:rsidP="00FD5E16">
      <w:pPr>
        <w:spacing w:line="360" w:lineRule="auto"/>
        <w:jc w:val="both"/>
        <w:rPr>
          <w:lang w:val="en-US"/>
        </w:rPr>
      </w:pPr>
      <w:r>
        <w:rPr>
          <w:noProof/>
          <w:lang w:val="en-US"/>
        </w:rPr>
        <mc:AlternateContent>
          <mc:Choice Requires="wps">
            <w:drawing>
              <wp:anchor distT="0" distB="0" distL="114300" distR="114300" simplePos="0" relativeHeight="251673600" behindDoc="0" locked="0" layoutInCell="1" allowOverlap="1" wp14:anchorId="6C2FECD6" wp14:editId="5313FF0E">
                <wp:simplePos x="0" y="0"/>
                <wp:positionH relativeFrom="column">
                  <wp:posOffset>124819</wp:posOffset>
                </wp:positionH>
                <wp:positionV relativeFrom="paragraph">
                  <wp:posOffset>85090</wp:posOffset>
                </wp:positionV>
                <wp:extent cx="4678017" cy="410817"/>
                <wp:effectExtent l="0" t="0" r="0" b="0"/>
                <wp:wrapNone/>
                <wp:docPr id="24" name="Cuadro de texto 24"/>
                <wp:cNvGraphicFramePr/>
                <a:graphic xmlns:a="http://schemas.openxmlformats.org/drawingml/2006/main">
                  <a:graphicData uri="http://schemas.microsoft.com/office/word/2010/wordprocessingShape">
                    <wps:wsp>
                      <wps:cNvSpPr txBox="1"/>
                      <wps:spPr>
                        <a:xfrm>
                          <a:off x="0" y="0"/>
                          <a:ext cx="4678017" cy="410817"/>
                        </a:xfrm>
                        <a:prstGeom prst="rect">
                          <a:avLst/>
                        </a:prstGeom>
                        <a:noFill/>
                        <a:ln w="6350">
                          <a:noFill/>
                        </a:ln>
                      </wps:spPr>
                      <wps:txbx>
                        <w:txbxContent>
                          <w:p w14:paraId="165FC204" w14:textId="0B46D890" w:rsidR="0094392B" w:rsidRPr="0094392B" w:rsidRDefault="0094392B" w:rsidP="0094392B">
                            <w:pPr>
                              <w:pStyle w:val="Prrafodelista"/>
                              <w:numPr>
                                <w:ilvl w:val="0"/>
                                <w:numId w:val="6"/>
                              </w:numPr>
                              <w:rPr>
                                <w:rFonts w:ascii="Calibri" w:hAnsi="Calibri" w:cs="Calibri"/>
                              </w:rPr>
                            </w:pPr>
                            <w:r>
                              <w:rPr>
                                <w:rFonts w:ascii="Calibri" w:hAnsi="Calibri" w:cs="Calibri"/>
                              </w:rPr>
                              <w:t xml:space="preserve">                                                     b)</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c</w:t>
                            </w:r>
                            <w:r w:rsidRPr="0094392B">
                              <w:rPr>
                                <w:rFonts w:ascii="Calibri" w:hAnsi="Calibri" w:cs="Calibr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2FECD6" id="Cuadro de texto 24" o:spid="_x0000_s1029" type="#_x0000_t202" style="position:absolute;left:0;text-align:left;margin-left:9.85pt;margin-top:6.7pt;width:368.35pt;height:32.3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" filled="f" stroked="f" strokeweight=".5pt">
                <v:textbox>
                  <w:txbxContent>
                    <w:p w14:paraId="165FC204" w14:textId="0B46D890" w:rsidR="0094392B" w:rsidRPr="0094392B" w:rsidRDefault="0094392B" w:rsidP="0094392B">
                      <w:pPr>
                        <w:pStyle w:val="Prrafodelista"/>
                        <w:numPr>
                          <w:ilvl w:val="0"/>
                          <w:numId w:val="6"/>
                        </w:numPr>
                        <w:rPr>
                          <w:rFonts w:ascii="Calibri" w:hAnsi="Calibri" w:cs="Calibri"/>
                        </w:rPr>
                      </w:pPr>
                      <w:r>
                        <w:rPr>
                          <w:rFonts w:ascii="Calibri" w:hAnsi="Calibri" w:cs="Calibri"/>
                        </w:rPr>
                        <w:t xml:space="preserve">                                                     b)</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c</w:t>
                      </w:r>
                      <w:r w:rsidRPr="0094392B">
                        <w:rPr>
                          <w:rFonts w:ascii="Calibri" w:hAnsi="Calibri" w:cs="Calibri"/>
                        </w:rPr>
                        <w:t xml:space="preserve">) </w:t>
                      </w:r>
                    </w:p>
                  </w:txbxContent>
                </v:textbox>
              </v:shape>
            </w:pict>
          </mc:Fallback>
        </mc:AlternateContent>
      </w:r>
    </w:p>
    <w:p w14:paraId="4A882850" w14:textId="77777777" w:rsidR="00FD5E16" w:rsidRPr="001632C4" w:rsidRDefault="00FD5E16" w:rsidP="00FD5E16">
      <w:pPr>
        <w:spacing w:line="360" w:lineRule="auto"/>
        <w:jc w:val="both"/>
        <w:rPr>
          <w:b/>
          <w:bCs/>
          <w:noProof/>
          <w:lang w:val="en-US"/>
        </w:rPr>
      </w:pPr>
      <w:r w:rsidRPr="001632C4">
        <w:rPr>
          <w:b/>
          <w:noProof/>
          <w:lang w:val="en-US" w:eastAsia="en-US"/>
        </w:rPr>
        <w:drawing>
          <wp:inline distT="0" distB="0" distL="0" distR="0" wp14:anchorId="48882F6C" wp14:editId="73B2C711">
            <wp:extent cx="5739619" cy="1613792"/>
            <wp:effectExtent l="0" t="0" r="127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11120" t="30163" r="8253" b="29536"/>
                    <a:stretch/>
                  </pic:blipFill>
                  <pic:spPr bwMode="auto">
                    <a:xfrm>
                      <a:off x="0" y="0"/>
                      <a:ext cx="5759863" cy="1619484"/>
                    </a:xfrm>
                    <a:prstGeom prst="rect">
                      <a:avLst/>
                    </a:prstGeom>
                    <a:ln>
                      <a:noFill/>
                    </a:ln>
                    <a:extLst>
                      <a:ext uri="{53640926-AAD7-44D8-BBD7-CCE9431645EC}">
                        <a14:shadowObscured xmlns:a14="http://schemas.microsoft.com/office/drawing/2010/main"/>
                      </a:ext>
                    </a:extLst>
                  </pic:spPr>
                </pic:pic>
              </a:graphicData>
            </a:graphic>
          </wp:inline>
        </w:drawing>
      </w:r>
    </w:p>
    <w:p w14:paraId="647F614C" w14:textId="0D0D741E" w:rsidR="00FD5E16" w:rsidRPr="001632C4" w:rsidRDefault="00FD5E16" w:rsidP="00D62305">
      <w:pPr>
        <w:spacing w:line="276" w:lineRule="auto"/>
        <w:jc w:val="both"/>
        <w:rPr>
          <w:lang w:val="en-US"/>
        </w:rPr>
      </w:pPr>
      <w:r w:rsidRPr="001632C4">
        <w:rPr>
          <w:b/>
          <w:bCs/>
          <w:noProof/>
          <w:lang w:val="en-US"/>
        </w:rPr>
        <w:t>Figure S1</w:t>
      </w:r>
      <w:r w:rsidR="00F4621A">
        <w:rPr>
          <w:b/>
          <w:bCs/>
          <w:noProof/>
          <w:lang w:val="en-US"/>
        </w:rPr>
        <w:t>6</w:t>
      </w:r>
      <w:r w:rsidRPr="001632C4">
        <w:rPr>
          <w:b/>
          <w:bCs/>
          <w:noProof/>
          <w:lang w:val="en-US"/>
        </w:rPr>
        <w:t xml:space="preserve">. </w:t>
      </w:r>
      <w:r w:rsidRPr="001632C4">
        <w:rPr>
          <w:b/>
          <w:lang w:val="en-US"/>
        </w:rPr>
        <w:t xml:space="preserve">Transport characteristics of the </w:t>
      </w:r>
      <w:r w:rsidR="002821C3">
        <w:rPr>
          <w:b/>
          <w:lang w:val="en-US"/>
        </w:rPr>
        <w:t>m-GFET</w:t>
      </w:r>
      <w:r w:rsidRPr="001632C4">
        <w:rPr>
          <w:b/>
          <w:lang w:val="en-US"/>
        </w:rPr>
        <w:t xml:space="preserve">s. a) </w:t>
      </w:r>
      <w:r w:rsidRPr="001632C4">
        <w:rPr>
          <w:lang w:val="en-US"/>
        </w:rPr>
        <w:t xml:space="preserve">After rinsing with Acetone. </w:t>
      </w:r>
      <w:r w:rsidRPr="001632C4">
        <w:rPr>
          <w:b/>
          <w:lang w:val="en-US"/>
        </w:rPr>
        <w:t xml:space="preserve">b) </w:t>
      </w:r>
      <w:r w:rsidRPr="001632C4">
        <w:rPr>
          <w:lang w:val="en-US"/>
        </w:rPr>
        <w:t>IPA</w:t>
      </w:r>
      <w:r w:rsidRPr="001632C4">
        <w:rPr>
          <w:b/>
          <w:lang w:val="en-US"/>
        </w:rPr>
        <w:t xml:space="preserve"> c) </w:t>
      </w:r>
      <w:r w:rsidR="007A2731">
        <w:rPr>
          <w:lang w:val="en-US"/>
        </w:rPr>
        <w:t>H</w:t>
      </w:r>
      <w:r w:rsidR="007A2731" w:rsidRPr="007A2731">
        <w:rPr>
          <w:vertAlign w:val="subscript"/>
          <w:lang w:val="en-US"/>
        </w:rPr>
        <w:t>2</w:t>
      </w:r>
      <w:r w:rsidR="007A2731">
        <w:rPr>
          <w:lang w:val="en-US"/>
        </w:rPr>
        <w:t>O.</w:t>
      </w:r>
    </w:p>
    <w:p w14:paraId="610CD7BF" w14:textId="77777777" w:rsidR="00FD5E16" w:rsidRPr="001632C4" w:rsidRDefault="00FD5E16" w:rsidP="00FD5E16">
      <w:pPr>
        <w:rPr>
          <w:b/>
          <w:lang w:val="en-US"/>
        </w:rPr>
      </w:pPr>
    </w:p>
    <w:p w14:paraId="2149988C" w14:textId="228AC679" w:rsidR="00F966FB" w:rsidRDefault="0002074D" w:rsidP="00B21BF5">
      <w:pPr>
        <w:spacing w:line="360" w:lineRule="auto"/>
        <w:jc w:val="both"/>
        <w:rPr>
          <w:lang w:val="en-US"/>
        </w:rPr>
      </w:pPr>
      <w:r w:rsidRPr="001632C4">
        <w:rPr>
          <w:lang w:val="en-US"/>
        </w:rPr>
        <w:t>Although back-gated devices suffer from large parasitic capacitances due to the defects in the SiO</w:t>
      </w:r>
      <w:r w:rsidRPr="001632C4">
        <w:rPr>
          <w:vertAlign w:val="subscript"/>
          <w:lang w:val="en-US"/>
        </w:rPr>
        <w:t>2</w:t>
      </w:r>
      <w:r w:rsidRPr="001632C4">
        <w:rPr>
          <w:lang w:val="en-US"/>
        </w:rPr>
        <w:t xml:space="preserve"> layer they are helpful for proof-of-concept purposes. These effects may be exploited for </w:t>
      </w:r>
      <w:proofErr w:type="spellStart"/>
      <w:r w:rsidRPr="001632C4">
        <w:rPr>
          <w:lang w:val="en-US"/>
        </w:rPr>
        <w:t>memristive</w:t>
      </w:r>
      <w:proofErr w:type="spellEnd"/>
      <w:r w:rsidRPr="001632C4">
        <w:rPr>
          <w:lang w:val="en-US"/>
        </w:rPr>
        <w:t xml:space="preserve"> and unconventional computing</w:t>
      </w:r>
      <w:r w:rsidR="00A90A70">
        <w:rPr>
          <w:rStyle w:val="Refdenotaalpie"/>
          <w:lang w:val="en-US"/>
        </w:rPr>
        <w:fldChar w:fldCharType="begin" w:fldLock="1"/>
      </w:r>
      <w:r w:rsidR="00797B20">
        <w:rPr>
          <w:lang w:val="en-US"/>
        </w:rPr>
        <w:instrText>ADDIN CSL_CITATION {"citationItems":[{"id":"ITEM-1","itemData":{"DOI":"10.1038/s41467-020-19203-z","ISSN":"20411723","PMID":"33122647","abstract":"Memristive crossbar architectures are evolving as powerful in-memory computing engines for artificial neural networks. However, the limited number of non-volatile conductance states offered by state-of-the-art memristors is a concern for their hardware implementation since trained weights must be rounded to the nearest conductance states, introducing error which can significantly limit inference accuracy. Moreover, the incapability of precise weight updates can lead to convergence problems and slowdown of on-chip training. In this article, we circumvent these challenges by introducing graphene-based multi-level (&gt;16) and non-volatile memristive synapses with arbitrarily programmable conductance states. We also show desirable retention and programming endurance. Finally, we demonstrate that graphene memristors enable weight assignment based on k-means clustering, which offers greater computing accuracy when compared with uniform weight quantization for vector matrix multiplication, an essential component for any artificial neural network.","author":[{"dropping-particle":"","family":"Schranghamer","given":"Thomas F.","non-dropping-particle":"","parse-names":false,"suffix":""},{"dropping-particle":"","family":"Oberoi","given":"Aaryan","non-dropping-particle":"","parse-names":false,"suffix":""},{"dropping-particle":"","family":"Das","given":"Saptarshi","non-dropping-particle":"","parse-names":false,"suffix":""}],"container-title":"Nature Communications","id":"ITEM-1","issue":"1","issued":{"date-parts":[["2020"]]},"page":"1-11","publisher":"Springer US","title":"Graphene memristive synapses for high precision neuromorphic computing","type":"article-journal","volume":"11"},"uris":["http://www.mendeley.com/documents/?uuid=8e9952c8-1c35-4bc9-b12d-0835a1ee9932"]},{"id":"ITEM-2","itemData":{"DOI":"10.1021/acsanm.9b00322","ISSN":"25740970","abstract":"A physically unclonable function (PUF) is a physical system that cannot be reproduced or predicted and therefore is a good basis on which to build security and anticounterfeiting applications. The unclonability of PUFs typically stems from the randomness induced in a system during sophisticated fabrication methods. It is precisely this built-in complexity that is the bottleneck hindering scalability and increasing costs. Here, we produce in a simple manner PUFs based on arrays of carbon nanotube junctions simultaneously assembled by dielectrophoresis. We demonstrate that the intrinsic inhomogeneity of carbon nanotubes at the nanoscale, combined with the unpredictability introduced by liquid phase-based fabrication methods, results in unique electronic profiles of easily scalable devices. This approach could be extrapolated to generate PUFs and thus advanced identification systems based on other nanoscale materials. ©","author":[{"dropping-particle":"","family":"Burzurí","given":"Enrique","non-dropping-particle":"","parse-names":false,"suffix":""},{"dropping-particle":"","family":"Granados","given":"Daniel","non-dropping-particle":"","parse-names":false,"suffix":""},{"dropping-particle":"","family":"Pérez","given":"Emilio M.","non-dropping-particle":"","parse-names":false,"suffix":""}],"container-title":"ACS Applied Nano Materials","id":"ITEM-2","issue":"4","issued":{"date-parts":[["2019"]]},"page":"1796-1801","title":"Physically Unclonable Functions Based on Single-Walled Carbon Nanotubes: A Scalable and Inexpensive Method toward Unique Identifiers","type":"article-journal","volume":"2"},"uris":["http://www.mendeley.com/documents/?uuid=f9c4f866-e425-41d1-bca3-8e4313b5ac11"]},{"id":"ITEM-3","itemData":{"DOI":"10.1002/adfm.201801506","ISSN":"16163028","abstract":"The fabrication and electron transport properties of nanoparticles self-assembled networks (NPSAN) of molecular switches (azobenzene derivatives) interconnected by Au nanoparticles are reported, and optically driven switchable logical operations associated to the light-controlled switching of the molecules are demonstrated. The switching yield is up to 74%. It is also demonstrated that these NPSANs are prone to light-stimulable reservoir computing. The complex nonlinearity of electron transport and dynamics in these highly connected and recurrent networks of molecular junctions exhibits rich high harmonics generation (HHG) required for reservoir computing approaches. Logical functions and HHG are controlled by the isomerization of the molecules upon light illumination. These results, without direct analogs in semiconductor devices, open new perspectives to molecular electronics in unconventional computing.","author":[{"dropping-particle":"","family":"Viero","given":"Yannick","non-dropping-particle":"","parse-names":false,"suffix":""},{"dropping-particle":"","family":"Guérin","given":"David","non-dropping-particle":"","parse-names":false,"suffix":""},{"dropping-particle":"","family":"Vladyka","given":"Anton","non-dropping-particle":"","parse-names":false,"suffix":""},{"dropping-particle":"","family":"Alibart","given":"Fabien","non-dropping-particle":"","parse-names":false,"suffix":""},{"dropping-particle":"","family":"Lenfant","given":"Stéphane","non-dropping-particle":"","parse-names":false,"suffix":""},{"dropping-particle":"","family":"Calame","given":"M.","non-dropping-particle":"","parse-names":false,"suffix":""},{"dropping-particle":"","family":"Vuillaume","given":"Dominique","non-dropping-particle":"","parse-names":false,"suffix":""}],"container-title":"Advanced Functional Materials","id":"ITEM-3","issue":"39","issued":{"date-parts":[["2018"]]},"page":"1801506 (1-10)","title":"Light-Stimulatable Molecules/Nanoparticles Networks for Switchable Logical Functions and Reservoir Computing","type":"article-journal","volume":"28"},"uris":["http://www.mendeley.com/documents/?uuid=9782fd28-edc1-4a35-9b3f-f0f7b237422a"]}],"mendeley":{"formattedCitation":"&lt;sup&gt;19–21&lt;/sup&gt;","plainTextFormattedCitation":"19–21","previouslyFormattedCitation":"&lt;sup&gt;19–21&lt;/sup&gt;"},"properties":{"noteIndex":0},"schema":"https://github.com/citation-style-language/schema/raw/master/csl-citation.json"}</w:instrText>
      </w:r>
      <w:r w:rsidR="00A90A70">
        <w:rPr>
          <w:rStyle w:val="Refdenotaalpie"/>
          <w:lang w:val="en-US"/>
        </w:rPr>
        <w:fldChar w:fldCharType="separate"/>
      </w:r>
      <w:r w:rsidR="00882E2D" w:rsidRPr="00C56464">
        <w:rPr>
          <w:bCs/>
          <w:noProof/>
          <w:vertAlign w:val="superscript"/>
          <w:lang w:val="en-US"/>
        </w:rPr>
        <w:t>19–21</w:t>
      </w:r>
      <w:r w:rsidR="00A90A70">
        <w:rPr>
          <w:rStyle w:val="Refdenotaalpie"/>
          <w:lang w:val="en-US"/>
        </w:rPr>
        <w:fldChar w:fldCharType="end"/>
      </w:r>
      <w:r w:rsidR="00C56464">
        <w:rPr>
          <w:lang w:val="en-US"/>
        </w:rPr>
        <w:t xml:space="preserve"> and were </w:t>
      </w:r>
      <w:r w:rsidRPr="001632C4">
        <w:rPr>
          <w:lang w:val="en-US"/>
        </w:rPr>
        <w:t xml:space="preserve">employed before </w:t>
      </w:r>
      <w:r w:rsidR="00C56464">
        <w:rPr>
          <w:lang w:val="en-US"/>
        </w:rPr>
        <w:t>for</w:t>
      </w:r>
      <w:r w:rsidRPr="001632C4">
        <w:rPr>
          <w:lang w:val="en-US"/>
        </w:rPr>
        <w:t xml:space="preserve"> electrical measurements with potential application in biosensing</w:t>
      </w:r>
      <w:r w:rsidR="00A90A70">
        <w:rPr>
          <w:rStyle w:val="Refdenotaalpie"/>
          <w:lang w:val="en-US"/>
        </w:rPr>
        <w:fldChar w:fldCharType="begin" w:fldLock="1"/>
      </w:r>
      <w:r w:rsidR="00882E2D">
        <w:rPr>
          <w:lang w:val="en-US"/>
        </w:rPr>
        <w:instrText>ADDIN CSL_CITATION {"citationItems":[{"id":"ITEM-1","itemData":{"DOI":"10.1021/acs.nanolett.9b02939","ISSN":"15306992","abstract":"Field-effect transistors (FETs), when functionalized with proper biorecognition elements (such as antibodies or enzymes), represent a unique platform for real-time, specific, label-free transduction of biochemical signals. However, direct immobilization of biorecognition molecules on FETs imposes limitations on reprogrammability, sensor regeneration, and robust device handling. Here we demonstrate a modularized design of FET biosensors with separate biorecognition and transducer modules, which are capable of reversible assembly and disassembly. In particular, hydrogel \"stamps\" immobilizing bioreceptors have been chosen to build biorecognition modules to reliably interface with FET transducers structurally and functionally. Successful detection of penicillin down to 0.25 mM has been achieved with a penicillinase-encoded hydrogel module, demonstrating effective signal transduction across the hybrid interface. Moreover, sequential integration of urease- and penicillinase-encoded modules on the same FET device allows us to reprogram the sensing modality without cross-contamination. In addition to independent bioreceptor encoding, the modular design also fosters sophisticated control of sensing kinetics by modulating the physiochemical microenvironment in the biorecognition modules. Specifically, the distinction in hydrogel porosity between polyethylene glycol and gelatin enables controlled access and detection of larger molecules, such as poly-l-lysine (MW 150-300 kDa), only through the gelatin module. Biorecognition modules with standardized interface designs have also been exploited to comply with additive mass fabrication by 3D printing, demonstrating potential for low cost, ease of storage, multiplexing, and great customizability for personalized biosensor production. This generic concept presents a unique integration strategy for modularized bioelectronics and could broadly impact hybrid device development.","author":[{"dropping-particle":"","family":"Dai","given":"Xiaochuan","non-dropping-particle":"","parse-names":false,"suffix":""},{"dropping-particle":"","family":"Vo","given":"Richard","non-dropping-particle":"","parse-names":false,"suffix":""},{"dropping-particle":"","family":"Hsu","given":"Huan Hsuan","non-dropping-particle":"","parse-names":false,"suffix":""},{"dropping-particle":"","family":"Deng","given":"Pu","non-dropping-particle":"","parse-names":false,"suffix":""},{"dropping-particle":"","family":"Zhang","given":"Yixin","non-dropping-particle":"","parse-names":false,"suffix":""},{"dropping-particle":"","family":"Jiang","given":"Xiaocheng","non-dropping-particle":"","parse-names":false,"suffix":""}],"container-title":"Nano Letters","id":"ITEM-1","issue":"9","issued":{"date-parts":[["2019"]]},"page":"6658-6664","title":"Modularized Field-Effect Transistor Biosensors","type":"article-journal","volume":"19"},"uris":["http://www.mendeley.com/documents/?uuid=448ca0f1-8b91-4a4d-aff2-e1bb8f242292"]},{"id":"ITEM-2","itemData":{"DOI":"10.1021/acs.nanolett.9b01335","ISSN":"15306992","abstract":"Graphene has strong potential for electrical biosensing owing to its two-dimensional nature and high carrier mobility which transduce the direct contact of a detection target with a graphene channel to a large conductivity change in a graphene field-effect transistor (G-FET). However, the measurable range from the graphene surface is highly restricted by Debye screening, whose characteristic length is less than 1 nm at physiological ionic strength. Here, we demonstrated electrical biosensing utilizing the enzymatic products of the target. We achieved quantitative measurements of a target based on the site-binding model and real-time measurement of the enzyme kinetics in femtoliter microdroplets. The combination of a G-FET and microfluidics, named a \"lab-on-a-graphene-FET\", detected the enzyme urease with high sensitivity in the zeptomole range in 100 mM sodium phosphate buffer. Also, the lab-on-a-graphene-FET detected the gastric cancer pathogen Helicobacter pylori captured at a distance greater than the Debye screening length from the G-FET.","author":[{"dropping-particle":"","family":"Ono","given":"Takao","non-dropping-particle":"","parse-names":false,"suffix":""},{"dropping-particle":"","family":"Kanai","given":"Yasushi","non-dropping-particle":"","parse-names":false,"suffix":""},{"dropping-particle":"","family":"Inoue","given":"Koichi","non-dropping-particle":"","parse-names":false,"suffix":""},{"dropping-particle":"","family":"Watanabe","given":"Yohei","non-dropping-particle":"","parse-names":false,"suffix":""},{"dropping-particle":"","family":"Nakakita","given":"Shin Ichi","non-dropping-particle":"","parse-names":false,"suffix":""},{"dropping-particle":"","family":"Kawahara","given":"Toshio","non-dropping-particle":"","parse-names":false,"suffix":""},{"dropping-particle":"","family":"Suzuki","given":"Yasuo","non-dropping-particle":"","parse-names":false,"suffix":""},{"dropping-particle":"","family":"Matsumoto","given":"Kazuhiko","non-dropping-particle":"","parse-names":false,"suffix":""}],"container-title":"Nano Letters","genre":"rapid-communication","id":"ITEM-2","issue":"6","issued":{"date-parts":[["2019"]]},"page":"4004-4009","publisher":"American Chemical Society","title":"Electrical Biosensing at Physiological Ionic Strength Using Graphene Field-Effect Transistor in Femtoliter Microdroplet","type":"article-journal","volume":"19"},"uris":["http://www.mendeley.com/documents/?uuid=12f4393b-cc83-4dca-8847-5adc5288511d"]}],"mendeley":{"formattedCitation":"&lt;sup&gt;17,18&lt;/sup&gt;","plainTextFormattedCitation":"17,18","previouslyFormattedCitation":"&lt;sup&gt;17,18&lt;/sup&gt;"},"properties":{"noteIndex":0},"schema":"https://github.com/citation-style-language/schema/raw/master/csl-citation.json"}</w:instrText>
      </w:r>
      <w:r w:rsidR="00A90A70">
        <w:rPr>
          <w:rStyle w:val="Refdenotaalpie"/>
          <w:lang w:val="en-US"/>
        </w:rPr>
        <w:fldChar w:fldCharType="separate"/>
      </w:r>
      <w:r w:rsidR="00882E2D" w:rsidRPr="00882E2D">
        <w:rPr>
          <w:noProof/>
          <w:vertAlign w:val="superscript"/>
          <w:lang w:val="en-US"/>
        </w:rPr>
        <w:t>17,18</w:t>
      </w:r>
      <w:r w:rsidR="00A90A70">
        <w:rPr>
          <w:rStyle w:val="Refdenotaalpie"/>
          <w:lang w:val="en-US"/>
        </w:rPr>
        <w:fldChar w:fldCharType="end"/>
      </w:r>
      <w:r w:rsidRPr="001632C4">
        <w:rPr>
          <w:lang w:val="en-US"/>
        </w:rPr>
        <w:t>. In fact the motion of molecular entities around topological defects is a key aspect for  the rational design of molecular devices</w:t>
      </w:r>
      <w:r w:rsidR="00A90A70">
        <w:rPr>
          <w:rStyle w:val="Refdenotaalpie"/>
          <w:lang w:val="en-US"/>
        </w:rPr>
        <w:fldChar w:fldCharType="begin" w:fldLock="1"/>
      </w:r>
      <w:r w:rsidR="00882E2D">
        <w:rPr>
          <w:lang w:val="en-US"/>
        </w:rPr>
        <w:instrText>ADDIN CSL_CITATION {"citationItems":[{"id":"ITEM-1","itemData":{"DOI":"10.1021/acsami.7b00408","ISSN":"19448252","PMID":"28233982","abstract":"Research on motion of molecules in the presence of thermal noise is central for progress in two-terminal molecular scale electronic devices. However, it is still unclear what influence imperfections in bottom metal electrode surface can have on molecular motion. Here, we report a two-layer crowding study, detailing the early stages of surface motion of fullerene molecules on Au(111) with nanoscale pores in a n-tetradecane chemical environment. The motion of the fullerenes is directed by crowding of the underlying n-tetradecane molecules around the pore fringes at the liquid-solid interface. We observe in real-space the growth of molecular populations around different pore geometries. Supported by atomic-scale modeling, our findings extend the established picture of molecular crowding by revealing that trapped solvent molecules serve as prime nucleation sites at nanopore fringes.","author":[{"dropping-particle":"","family":"Nirmalraj","given":"Peter","non-dropping-particle":"","parse-names":false,"suffix":""},{"dropping-particle":"","family":"Daly","given":"Ronan","non-dropping-particle":"","parse-names":false,"suffix":""},{"dropping-particle":"","family":"Martin","given":"Nazario","non-dropping-particle":"","parse-names":false,"suffix":""},{"dropping-particle":"","family":"Thompson","given":"Damien","non-dropping-particle":"","parse-names":false,"suffix":""}],"container-title":"ACS Applied Materials and Interfaces","id":"ITEM-1","issue":"9","issued":{"date-parts":[["2017"]]},"page":"7897-7902","title":"Motion of Fullerenes around Topological Defects on Metals: Implications for the Progress of Molecular Scale Devices","type":"article-journal","volume":"9"},"uris":["http://www.mendeley.com/documents/?uuid=4704a6ea-624c-4c39-9e7d-ae1c400e335e"]}],"mendeley":{"formattedCitation":"&lt;sup&gt;22&lt;/sup&gt;","plainTextFormattedCitation":"22","previouslyFormattedCitation":"&lt;sup&gt;22&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22</w:t>
      </w:r>
      <w:r w:rsidR="00A90A70">
        <w:rPr>
          <w:rStyle w:val="Refdenotaalpie"/>
          <w:lang w:val="en-US"/>
        </w:rPr>
        <w:fldChar w:fldCharType="end"/>
      </w:r>
      <w:r w:rsidRPr="001632C4">
        <w:rPr>
          <w:lang w:val="en-US"/>
        </w:rPr>
        <w:t>.</w:t>
      </w:r>
      <w:r w:rsidR="00F966FB">
        <w:rPr>
          <w:lang w:val="en-US"/>
        </w:rPr>
        <w:t xml:space="preserve"> </w:t>
      </w:r>
      <w:r w:rsidR="00FD5E16" w:rsidRPr="001632C4">
        <w:rPr>
          <w:lang w:val="en-US"/>
        </w:rPr>
        <w:t xml:space="preserve">Figure </w:t>
      </w:r>
      <w:r>
        <w:rPr>
          <w:lang w:val="en-US"/>
        </w:rPr>
        <w:t>S18</w:t>
      </w:r>
      <w:r w:rsidR="00FD5E16" w:rsidRPr="001632C4">
        <w:rPr>
          <w:lang w:val="en-US"/>
        </w:rPr>
        <w:t xml:space="preserve"> illustrates the dynamics of the transport characteristics for on gate voltage of </w:t>
      </w:r>
      <w:r w:rsidR="00FD5E16" w:rsidRPr="001632C4">
        <w:rPr>
          <w:i/>
          <w:iCs/>
          <w:lang w:val="en-US"/>
        </w:rPr>
        <w:t>V</w:t>
      </w:r>
      <w:r w:rsidR="00FD5E16" w:rsidRPr="001632C4">
        <w:rPr>
          <w:i/>
          <w:iCs/>
          <w:vertAlign w:val="subscript"/>
          <w:lang w:val="en-US"/>
        </w:rPr>
        <w:t>G</w:t>
      </w:r>
      <w:r w:rsidR="00FD5E16" w:rsidRPr="001632C4">
        <w:rPr>
          <w:vertAlign w:val="subscript"/>
          <w:lang w:val="en-US"/>
        </w:rPr>
        <w:t xml:space="preserve"> </w:t>
      </w:r>
      <w:r w:rsidR="00FD5E16" w:rsidRPr="001632C4">
        <w:rPr>
          <w:lang w:val="en-US"/>
        </w:rPr>
        <w:t xml:space="preserve">= 10V during 10s and consequent off gate voltage of </w:t>
      </w:r>
      <w:r w:rsidR="00FD5E16" w:rsidRPr="001632C4">
        <w:rPr>
          <w:i/>
          <w:iCs/>
          <w:lang w:val="en-US"/>
        </w:rPr>
        <w:t>V</w:t>
      </w:r>
      <w:r w:rsidR="00FD5E16" w:rsidRPr="001632C4">
        <w:rPr>
          <w:i/>
          <w:iCs/>
          <w:vertAlign w:val="subscript"/>
          <w:lang w:val="en-US"/>
        </w:rPr>
        <w:t>G</w:t>
      </w:r>
      <w:r w:rsidR="00FD5E16" w:rsidRPr="001632C4">
        <w:rPr>
          <w:lang w:val="en-US"/>
        </w:rPr>
        <w:t xml:space="preserve"> = 0V during 5s. Along the 7 cycles we found two different processes with </w:t>
      </w:r>
      <w:r w:rsidR="00FD5E16" w:rsidRPr="001632C4">
        <w:rPr>
          <w:i/>
          <w:iCs/>
          <w:lang w:val="en-US"/>
        </w:rPr>
        <w:t>τ</w:t>
      </w:r>
      <w:r w:rsidR="00FD5E16" w:rsidRPr="001632C4">
        <w:rPr>
          <w:lang w:val="en-US"/>
        </w:rPr>
        <w:t xml:space="preserve"> =3 and 16 s. These memory effects </w:t>
      </w:r>
      <w:r w:rsidR="00C56464">
        <w:rPr>
          <w:lang w:val="en-US"/>
        </w:rPr>
        <w:t xml:space="preserve">are </w:t>
      </w:r>
      <w:r w:rsidR="00FD5E16" w:rsidRPr="001632C4">
        <w:rPr>
          <w:lang w:val="en-US"/>
        </w:rPr>
        <w:t>most probably associated with ions movements depends on the history in each device and can be deeply investigated and tuned.</w:t>
      </w:r>
      <w:r w:rsidR="008F320F" w:rsidRPr="001632C4">
        <w:rPr>
          <w:lang w:val="en-US"/>
        </w:rPr>
        <w:t xml:space="preserve"> </w:t>
      </w:r>
      <w:r w:rsidR="00FD5E16" w:rsidRPr="001632C4">
        <w:rPr>
          <w:lang w:val="en-US"/>
        </w:rPr>
        <w:t xml:space="preserve">Static measurements </w:t>
      </w:r>
      <w:r w:rsidR="00233869">
        <w:rPr>
          <w:lang w:val="en-US"/>
        </w:rPr>
        <w:t>are</w:t>
      </w:r>
      <w:r w:rsidR="00FD5E16" w:rsidRPr="001632C4">
        <w:rPr>
          <w:lang w:val="en-US"/>
        </w:rPr>
        <w:t xml:space="preserve"> affected </w:t>
      </w:r>
      <w:r w:rsidR="00C56464">
        <w:rPr>
          <w:lang w:val="en-US"/>
        </w:rPr>
        <w:t xml:space="preserve">by </w:t>
      </w:r>
      <w:r w:rsidR="00FD5E16" w:rsidRPr="001632C4">
        <w:rPr>
          <w:lang w:val="en-US"/>
        </w:rPr>
        <w:t xml:space="preserve">the charge movement in the system. For instance, </w:t>
      </w:r>
      <w:r w:rsidR="00FD5E16" w:rsidRPr="001632C4">
        <w:rPr>
          <w:i/>
          <w:iCs/>
          <w:lang w:val="en-US"/>
        </w:rPr>
        <w:t>V</w:t>
      </w:r>
      <w:r w:rsidR="00FD5E16" w:rsidRPr="001632C4">
        <w:rPr>
          <w:i/>
          <w:iCs/>
          <w:vertAlign w:val="subscript"/>
          <w:lang w:val="en-US"/>
        </w:rPr>
        <w:t>BG</w:t>
      </w:r>
      <w:r w:rsidR="00FD5E16" w:rsidRPr="001632C4">
        <w:rPr>
          <w:lang w:val="en-US"/>
        </w:rPr>
        <w:t xml:space="preserve"> step voltages applied during some time can tune the Dirac Point as </w:t>
      </w:r>
      <w:r w:rsidR="00233869">
        <w:rPr>
          <w:lang w:val="en-US"/>
        </w:rPr>
        <w:t xml:space="preserve">it is </w:t>
      </w:r>
      <w:r w:rsidR="00FD5E16" w:rsidRPr="001632C4">
        <w:rPr>
          <w:lang w:val="en-US"/>
        </w:rPr>
        <w:t>shown in Figure S1</w:t>
      </w:r>
      <w:r w:rsidR="00F4621A">
        <w:rPr>
          <w:lang w:val="en-US"/>
        </w:rPr>
        <w:t>7</w:t>
      </w:r>
      <w:r w:rsidR="00FD5E16" w:rsidRPr="001632C4">
        <w:rPr>
          <w:lang w:val="en-US"/>
        </w:rPr>
        <w:t>.</w:t>
      </w:r>
      <w:r w:rsidR="008F320F" w:rsidRPr="001632C4">
        <w:rPr>
          <w:lang w:val="en-US"/>
        </w:rPr>
        <w:t xml:space="preserve"> </w:t>
      </w:r>
    </w:p>
    <w:p w14:paraId="6F4F8D63" w14:textId="77777777" w:rsidR="00F966FB" w:rsidRPr="001632C4" w:rsidRDefault="00F966FB" w:rsidP="00F966FB">
      <w:pPr>
        <w:jc w:val="center"/>
        <w:rPr>
          <w:b/>
          <w:lang w:val="en-US"/>
        </w:rPr>
      </w:pPr>
      <w:r w:rsidRPr="001632C4">
        <w:rPr>
          <w:noProof/>
          <w:lang w:val="en-US"/>
        </w:rPr>
        <w:drawing>
          <wp:inline distT="0" distB="0" distL="0" distR="0" wp14:anchorId="68F2FCD5" wp14:editId="4CDA65F9">
            <wp:extent cx="2634185" cy="1980000"/>
            <wp:effectExtent l="0" t="0" r="0" b="127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634185" cy="1980000"/>
                    </a:xfrm>
                    <a:prstGeom prst="rect">
                      <a:avLst/>
                    </a:prstGeom>
                  </pic:spPr>
                </pic:pic>
              </a:graphicData>
            </a:graphic>
          </wp:inline>
        </w:drawing>
      </w:r>
    </w:p>
    <w:p w14:paraId="773350EC" w14:textId="77777777" w:rsidR="00C56464" w:rsidRDefault="00F966FB" w:rsidP="00C56464">
      <w:pPr>
        <w:spacing w:line="276" w:lineRule="auto"/>
        <w:jc w:val="both"/>
        <w:rPr>
          <w:lang w:val="en-US"/>
        </w:rPr>
      </w:pPr>
      <w:r w:rsidRPr="001632C4">
        <w:rPr>
          <w:b/>
          <w:bCs/>
          <w:noProof/>
          <w:lang w:val="en-US"/>
        </w:rPr>
        <w:t>Figure S</w:t>
      </w:r>
      <w:r w:rsidR="00191469">
        <w:rPr>
          <w:b/>
          <w:bCs/>
          <w:noProof/>
          <w:lang w:val="en-US"/>
        </w:rPr>
        <w:t>1</w:t>
      </w:r>
      <w:r w:rsidR="00F4621A">
        <w:rPr>
          <w:b/>
          <w:bCs/>
          <w:noProof/>
          <w:lang w:val="en-US"/>
        </w:rPr>
        <w:t>7</w:t>
      </w:r>
      <w:r w:rsidRPr="001632C4">
        <w:rPr>
          <w:b/>
          <w:bCs/>
          <w:noProof/>
          <w:lang w:val="en-US"/>
        </w:rPr>
        <w:t xml:space="preserve">. </w:t>
      </w:r>
      <w:r w:rsidR="00C56464">
        <w:rPr>
          <w:lang w:val="en-US"/>
        </w:rPr>
        <w:t>Source to drain conductance vs time for a V</w:t>
      </w:r>
      <w:r w:rsidR="00C56464" w:rsidRPr="00C56464">
        <w:rPr>
          <w:vertAlign w:val="subscript"/>
          <w:lang w:val="en-US"/>
        </w:rPr>
        <w:t>BG</w:t>
      </w:r>
      <w:r w:rsidR="00C56464">
        <w:rPr>
          <w:lang w:val="en-US"/>
        </w:rPr>
        <w:t xml:space="preserve"> square wave.</w:t>
      </w:r>
    </w:p>
    <w:p w14:paraId="502FE149" w14:textId="77777777" w:rsidR="00C56464" w:rsidRDefault="00C56464">
      <w:pPr>
        <w:rPr>
          <w:lang w:val="en-US"/>
        </w:rPr>
      </w:pPr>
      <w:r>
        <w:rPr>
          <w:lang w:val="en-US"/>
        </w:rPr>
        <w:br w:type="page"/>
      </w:r>
    </w:p>
    <w:p w14:paraId="644CEE5E" w14:textId="06B45BBC" w:rsidR="00F966FB" w:rsidRPr="00B21BF5" w:rsidRDefault="00C56464" w:rsidP="00C56464">
      <w:pPr>
        <w:spacing w:line="276" w:lineRule="auto"/>
        <w:jc w:val="both"/>
        <w:rPr>
          <w:bCs/>
          <w:lang w:val="en-US"/>
        </w:rPr>
      </w:pPr>
      <w:r>
        <w:rPr>
          <w:lang w:val="en-US"/>
        </w:rPr>
        <w:lastRenderedPageBreak/>
        <w:t xml:space="preserve"> </w:t>
      </w:r>
    </w:p>
    <w:p w14:paraId="75FB235F" w14:textId="76617EB6" w:rsidR="00FD5E16" w:rsidRDefault="00FD5E16" w:rsidP="00B21BF5">
      <w:pPr>
        <w:spacing w:line="360" w:lineRule="auto"/>
        <w:jc w:val="both"/>
        <w:rPr>
          <w:bCs/>
          <w:lang w:val="en-US"/>
        </w:rPr>
      </w:pPr>
    </w:p>
    <w:p w14:paraId="7192A268" w14:textId="4554167E" w:rsidR="0094392B" w:rsidRPr="00B21BF5" w:rsidRDefault="0094392B" w:rsidP="00B21BF5">
      <w:pPr>
        <w:spacing w:line="360" w:lineRule="auto"/>
        <w:jc w:val="both"/>
        <w:rPr>
          <w:lang w:val="en-US"/>
        </w:rPr>
      </w:pPr>
      <w:r>
        <w:rPr>
          <w:noProof/>
          <w:lang w:val="en-US"/>
        </w:rPr>
        <mc:AlternateContent>
          <mc:Choice Requires="wps">
            <w:drawing>
              <wp:anchor distT="0" distB="0" distL="114300" distR="114300" simplePos="0" relativeHeight="251675648" behindDoc="0" locked="0" layoutInCell="1" allowOverlap="1" wp14:anchorId="6974411B" wp14:editId="4D1A3C9E">
                <wp:simplePos x="0" y="0"/>
                <wp:positionH relativeFrom="column">
                  <wp:posOffset>0</wp:posOffset>
                </wp:positionH>
                <wp:positionV relativeFrom="paragraph">
                  <wp:posOffset>0</wp:posOffset>
                </wp:positionV>
                <wp:extent cx="4678017" cy="410817"/>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4678017" cy="410817"/>
                        </a:xfrm>
                        <a:prstGeom prst="rect">
                          <a:avLst/>
                        </a:prstGeom>
                        <a:noFill/>
                        <a:ln w="6350">
                          <a:noFill/>
                        </a:ln>
                      </wps:spPr>
                      <wps:txbx>
                        <w:txbxContent>
                          <w:p w14:paraId="216D662C" w14:textId="72368072"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b</w:t>
                            </w:r>
                            <w:r w:rsidRPr="0094392B">
                              <w:rPr>
                                <w:rFonts w:ascii="Calibri" w:hAnsi="Calibri" w:cs="Calibr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74411B" id="Cuadro de texto 26" o:spid="_x0000_s1030" type="#_x0000_t202" style="position:absolute;left:0;text-align:left;margin-left:0;margin-top:0;width:368.35pt;height:32.3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" filled="f" stroked="f" strokeweight=".5pt">
                <v:textbox>
                  <w:txbxContent>
                    <w:p w14:paraId="216D662C" w14:textId="72368072"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b</w:t>
                      </w:r>
                      <w:r w:rsidRPr="0094392B">
                        <w:rPr>
                          <w:rFonts w:ascii="Calibri" w:hAnsi="Calibri" w:cs="Calibri"/>
                        </w:rPr>
                        <w:t xml:space="preserve">) </w:t>
                      </w:r>
                    </w:p>
                  </w:txbxContent>
                </v:textbox>
              </v:shape>
            </w:pict>
          </mc:Fallback>
        </mc:AlternateContent>
      </w:r>
    </w:p>
    <w:p w14:paraId="3E88E1A8" w14:textId="38529DA3" w:rsidR="00FD5E16" w:rsidRPr="001632C4" w:rsidRDefault="00FD5E16" w:rsidP="00B21BF5">
      <w:pPr>
        <w:spacing w:line="276" w:lineRule="auto"/>
        <w:jc w:val="center"/>
        <w:rPr>
          <w:b/>
          <w:lang w:val="en-US"/>
        </w:rPr>
      </w:pPr>
      <w:r w:rsidRPr="001632C4">
        <w:rPr>
          <w:b/>
          <w:noProof/>
          <w:lang w:val="en-US" w:eastAsia="en-US"/>
        </w:rPr>
        <w:drawing>
          <wp:inline distT="0" distB="0" distL="0" distR="0" wp14:anchorId="66B7B1C7" wp14:editId="5610071E">
            <wp:extent cx="5354952" cy="1800000"/>
            <wp:effectExtent l="0" t="0" r="5080" b="381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17877" t="31803" r="17611" b="29647"/>
                    <a:stretch/>
                  </pic:blipFill>
                  <pic:spPr bwMode="auto">
                    <a:xfrm>
                      <a:off x="0" y="0"/>
                      <a:ext cx="5354952" cy="1800000"/>
                    </a:xfrm>
                    <a:prstGeom prst="rect">
                      <a:avLst/>
                    </a:prstGeom>
                    <a:ln>
                      <a:noFill/>
                    </a:ln>
                    <a:extLst>
                      <a:ext uri="{53640926-AAD7-44D8-BBD7-CCE9431645EC}">
                        <a14:shadowObscured xmlns:a14="http://schemas.microsoft.com/office/drawing/2010/main"/>
                      </a:ext>
                    </a:extLst>
                  </pic:spPr>
                </pic:pic>
              </a:graphicData>
            </a:graphic>
          </wp:inline>
        </w:drawing>
      </w:r>
    </w:p>
    <w:p w14:paraId="66580A70" w14:textId="457DB75E" w:rsidR="0002074D" w:rsidRDefault="00FD5E16" w:rsidP="00D62305">
      <w:pPr>
        <w:spacing w:line="276" w:lineRule="auto"/>
        <w:jc w:val="both"/>
        <w:rPr>
          <w:lang w:val="en-US"/>
        </w:rPr>
      </w:pPr>
      <w:r w:rsidRPr="001632C4">
        <w:rPr>
          <w:b/>
          <w:bCs/>
          <w:noProof/>
          <w:lang w:val="en-US"/>
        </w:rPr>
        <w:t>Figure S1</w:t>
      </w:r>
      <w:r w:rsidR="00F4621A">
        <w:rPr>
          <w:b/>
          <w:bCs/>
          <w:noProof/>
          <w:lang w:val="en-US"/>
        </w:rPr>
        <w:t>8</w:t>
      </w:r>
      <w:r w:rsidRPr="001632C4">
        <w:rPr>
          <w:b/>
          <w:bCs/>
          <w:noProof/>
          <w:lang w:val="en-US"/>
        </w:rPr>
        <w:t xml:space="preserve">. </w:t>
      </w:r>
      <w:r w:rsidRPr="001632C4">
        <w:rPr>
          <w:b/>
          <w:lang w:val="en-US"/>
        </w:rPr>
        <w:t xml:space="preserve">Transport characteristics of the </w:t>
      </w:r>
      <w:r w:rsidR="002821C3">
        <w:rPr>
          <w:b/>
          <w:lang w:val="en-US"/>
        </w:rPr>
        <w:t>m-GFET</w:t>
      </w:r>
      <w:r w:rsidRPr="001632C4">
        <w:rPr>
          <w:b/>
          <w:lang w:val="en-US"/>
        </w:rPr>
        <w:t xml:space="preserve">s as a function of scan rate </w:t>
      </w:r>
      <w:r w:rsidR="008C5C95">
        <w:rPr>
          <w:b/>
          <w:lang w:val="en-US"/>
        </w:rPr>
        <w:t>and direction</w:t>
      </w:r>
      <w:r w:rsidRPr="001632C4">
        <w:rPr>
          <w:b/>
          <w:lang w:val="en-US"/>
        </w:rPr>
        <w:t>.</w:t>
      </w:r>
      <w:r w:rsidRPr="001632C4">
        <w:rPr>
          <w:lang w:val="en-US"/>
        </w:rPr>
        <w:t xml:space="preserve"> </w:t>
      </w:r>
      <w:r w:rsidR="00C56464">
        <w:rPr>
          <w:lang w:val="en-US"/>
        </w:rPr>
        <w:t>The f</w:t>
      </w:r>
      <w:r w:rsidRPr="001632C4">
        <w:rPr>
          <w:lang w:val="en-US"/>
        </w:rPr>
        <w:t xml:space="preserve">orward </w:t>
      </w:r>
      <w:r w:rsidR="00C56464">
        <w:rPr>
          <w:lang w:val="en-US"/>
        </w:rPr>
        <w:t xml:space="preserve">scan </w:t>
      </w:r>
      <w:r w:rsidRPr="001632C4">
        <w:rPr>
          <w:lang w:val="en-US"/>
        </w:rPr>
        <w:t xml:space="preserve">goes from </w:t>
      </w:r>
      <w:r w:rsidRPr="001632C4">
        <w:rPr>
          <w:i/>
          <w:iCs/>
          <w:lang w:val="en-US"/>
        </w:rPr>
        <w:t>V</w:t>
      </w:r>
      <w:r w:rsidRPr="001632C4">
        <w:rPr>
          <w:i/>
          <w:iCs/>
          <w:vertAlign w:val="subscript"/>
          <w:lang w:val="en-US"/>
        </w:rPr>
        <w:t>BG</w:t>
      </w:r>
      <w:r w:rsidRPr="001632C4">
        <w:rPr>
          <w:lang w:val="en-US"/>
        </w:rPr>
        <w:t xml:space="preserve"> = -10</w:t>
      </w:r>
      <w:r w:rsidR="00C56464">
        <w:rPr>
          <w:lang w:val="en-US"/>
        </w:rPr>
        <w:t xml:space="preserve"> </w:t>
      </w:r>
      <w:r w:rsidRPr="001632C4">
        <w:rPr>
          <w:lang w:val="en-US"/>
        </w:rPr>
        <w:t xml:space="preserve">V to </w:t>
      </w:r>
      <w:r w:rsidRPr="001632C4">
        <w:rPr>
          <w:i/>
          <w:iCs/>
          <w:lang w:val="en-US"/>
        </w:rPr>
        <w:t>V</w:t>
      </w:r>
      <w:r w:rsidRPr="001632C4">
        <w:rPr>
          <w:i/>
          <w:iCs/>
          <w:vertAlign w:val="subscript"/>
          <w:lang w:val="en-US"/>
        </w:rPr>
        <w:t>BG</w:t>
      </w:r>
      <w:r w:rsidRPr="001632C4">
        <w:rPr>
          <w:lang w:val="en-US"/>
        </w:rPr>
        <w:t xml:space="preserve"> = 10</w:t>
      </w:r>
      <w:r w:rsidR="00C56464">
        <w:rPr>
          <w:lang w:val="en-US"/>
        </w:rPr>
        <w:t xml:space="preserve"> </w:t>
      </w:r>
      <w:r w:rsidRPr="001632C4">
        <w:rPr>
          <w:lang w:val="en-US"/>
        </w:rPr>
        <w:t xml:space="preserve">V </w:t>
      </w:r>
      <w:r w:rsidR="00C56464">
        <w:rPr>
          <w:lang w:val="en-US"/>
        </w:rPr>
        <w:t>while the</w:t>
      </w:r>
      <w:r w:rsidRPr="001632C4">
        <w:rPr>
          <w:lang w:val="en-US"/>
        </w:rPr>
        <w:t xml:space="preserve"> backwards </w:t>
      </w:r>
      <w:r w:rsidR="00C56464">
        <w:rPr>
          <w:lang w:val="en-US"/>
        </w:rPr>
        <w:t xml:space="preserve">foes </w:t>
      </w:r>
      <w:r w:rsidRPr="001632C4">
        <w:rPr>
          <w:lang w:val="en-US"/>
        </w:rPr>
        <w:t xml:space="preserve">from </w:t>
      </w:r>
      <w:r w:rsidRPr="001632C4">
        <w:rPr>
          <w:i/>
          <w:iCs/>
          <w:lang w:val="en-US"/>
        </w:rPr>
        <w:t>V</w:t>
      </w:r>
      <w:r w:rsidRPr="001632C4">
        <w:rPr>
          <w:i/>
          <w:iCs/>
          <w:vertAlign w:val="subscript"/>
          <w:lang w:val="en-US"/>
        </w:rPr>
        <w:t>BG</w:t>
      </w:r>
      <w:r w:rsidRPr="001632C4">
        <w:rPr>
          <w:lang w:val="en-US"/>
        </w:rPr>
        <w:t xml:space="preserve"> = 10</w:t>
      </w:r>
      <w:r w:rsidR="00C56464">
        <w:rPr>
          <w:lang w:val="en-US"/>
        </w:rPr>
        <w:t xml:space="preserve"> </w:t>
      </w:r>
      <w:proofErr w:type="gramStart"/>
      <w:r w:rsidRPr="001632C4">
        <w:rPr>
          <w:lang w:val="en-US"/>
        </w:rPr>
        <w:t>V  to</w:t>
      </w:r>
      <w:proofErr w:type="gramEnd"/>
      <w:r w:rsidRPr="001632C4">
        <w:rPr>
          <w:lang w:val="en-US"/>
        </w:rPr>
        <w:t xml:space="preserve"> </w:t>
      </w:r>
      <w:r w:rsidRPr="001632C4">
        <w:rPr>
          <w:i/>
          <w:iCs/>
          <w:lang w:val="en-US"/>
        </w:rPr>
        <w:t>V</w:t>
      </w:r>
      <w:r w:rsidRPr="001632C4">
        <w:rPr>
          <w:i/>
          <w:iCs/>
          <w:vertAlign w:val="subscript"/>
          <w:lang w:val="en-US"/>
        </w:rPr>
        <w:t>BG</w:t>
      </w:r>
      <w:r w:rsidRPr="001632C4">
        <w:rPr>
          <w:lang w:val="en-US"/>
        </w:rPr>
        <w:t xml:space="preserve"> = -10</w:t>
      </w:r>
      <w:r w:rsidR="00C56464">
        <w:rPr>
          <w:lang w:val="en-US"/>
        </w:rPr>
        <w:t xml:space="preserve"> </w:t>
      </w:r>
      <w:r w:rsidRPr="001632C4">
        <w:rPr>
          <w:lang w:val="en-US"/>
        </w:rPr>
        <w:t xml:space="preserve">V. </w:t>
      </w:r>
      <w:r w:rsidRPr="001632C4">
        <w:rPr>
          <w:b/>
          <w:bCs/>
          <w:lang w:val="en-US"/>
        </w:rPr>
        <w:t>(a)</w:t>
      </w:r>
      <w:r w:rsidRPr="001632C4">
        <w:rPr>
          <w:lang w:val="en-US"/>
        </w:rPr>
        <w:t xml:space="preserve"> </w:t>
      </w:r>
      <w:r w:rsidR="00C56464">
        <w:rPr>
          <w:lang w:val="en-US"/>
        </w:rPr>
        <w:t xml:space="preserve">Sequence going from a </w:t>
      </w:r>
      <w:r w:rsidRPr="001632C4">
        <w:rPr>
          <w:lang w:val="en-US"/>
        </w:rPr>
        <w:t xml:space="preserve">fast scan </w:t>
      </w:r>
      <w:r w:rsidR="00C56464">
        <w:rPr>
          <w:lang w:val="en-US"/>
        </w:rPr>
        <w:t>(</w:t>
      </w:r>
      <w:r w:rsidRPr="001632C4">
        <w:rPr>
          <w:lang w:val="en-US"/>
        </w:rPr>
        <w:t>3</w:t>
      </w:r>
      <w:r w:rsidR="00C56464">
        <w:rPr>
          <w:lang w:val="en-US"/>
        </w:rPr>
        <w:t xml:space="preserve"> </w:t>
      </w:r>
      <w:r w:rsidRPr="001632C4">
        <w:rPr>
          <w:lang w:val="en-US"/>
        </w:rPr>
        <w:t>s</w:t>
      </w:r>
      <w:r w:rsidR="00C56464">
        <w:rPr>
          <w:lang w:val="en-US"/>
        </w:rPr>
        <w:t>)</w:t>
      </w:r>
      <w:r w:rsidRPr="001632C4">
        <w:rPr>
          <w:lang w:val="en-US"/>
        </w:rPr>
        <w:t xml:space="preserve"> to medium </w:t>
      </w:r>
      <w:r w:rsidR="00C56464">
        <w:rPr>
          <w:lang w:val="en-US"/>
        </w:rPr>
        <w:t>(</w:t>
      </w:r>
      <w:r w:rsidRPr="001632C4">
        <w:rPr>
          <w:lang w:val="en-US"/>
        </w:rPr>
        <w:t>30</w:t>
      </w:r>
      <w:r w:rsidR="00C56464">
        <w:rPr>
          <w:lang w:val="en-US"/>
        </w:rPr>
        <w:t xml:space="preserve"> </w:t>
      </w:r>
      <w:r w:rsidRPr="001632C4">
        <w:rPr>
          <w:lang w:val="en-US"/>
        </w:rPr>
        <w:t>s</w:t>
      </w:r>
      <w:r w:rsidR="00C56464">
        <w:rPr>
          <w:lang w:val="en-US"/>
        </w:rPr>
        <w:t>)</w:t>
      </w:r>
      <w:r w:rsidRPr="001632C4">
        <w:rPr>
          <w:lang w:val="en-US"/>
        </w:rPr>
        <w:t xml:space="preserve"> and slow </w:t>
      </w:r>
      <w:r w:rsidR="00C56464">
        <w:rPr>
          <w:lang w:val="en-US"/>
        </w:rPr>
        <w:t>(</w:t>
      </w:r>
      <w:r w:rsidRPr="001632C4">
        <w:rPr>
          <w:lang w:val="en-US"/>
        </w:rPr>
        <w:t>300</w:t>
      </w:r>
      <w:r w:rsidR="00C56464">
        <w:rPr>
          <w:lang w:val="en-US"/>
        </w:rPr>
        <w:t xml:space="preserve"> </w:t>
      </w:r>
      <w:r w:rsidRPr="001632C4">
        <w:rPr>
          <w:lang w:val="en-US"/>
        </w:rPr>
        <w:t>s</w:t>
      </w:r>
      <w:r w:rsidR="00C56464">
        <w:rPr>
          <w:lang w:val="en-US"/>
        </w:rPr>
        <w:t>)</w:t>
      </w:r>
      <w:r w:rsidRPr="001632C4">
        <w:rPr>
          <w:lang w:val="en-US"/>
        </w:rPr>
        <w:t xml:space="preserve">. </w:t>
      </w:r>
      <w:r w:rsidRPr="001632C4">
        <w:rPr>
          <w:b/>
          <w:bCs/>
          <w:lang w:val="en-US"/>
        </w:rPr>
        <w:t>(b)</w:t>
      </w:r>
      <w:r w:rsidRPr="001632C4">
        <w:rPr>
          <w:lang w:val="en-US"/>
        </w:rPr>
        <w:t xml:space="preserve">  </w:t>
      </w:r>
      <w:r w:rsidR="00C56464">
        <w:rPr>
          <w:lang w:val="en-US"/>
        </w:rPr>
        <w:t>Sequence going from s</w:t>
      </w:r>
      <w:r w:rsidRPr="001632C4">
        <w:rPr>
          <w:lang w:val="en-US"/>
        </w:rPr>
        <w:t>low, medium and fast.</w:t>
      </w:r>
    </w:p>
    <w:p w14:paraId="2BF6FAC4" w14:textId="77777777" w:rsidR="0002074D" w:rsidRDefault="0002074D" w:rsidP="00D62305">
      <w:pPr>
        <w:spacing w:line="276" w:lineRule="auto"/>
        <w:jc w:val="both"/>
        <w:rPr>
          <w:lang w:val="en-US"/>
        </w:rPr>
      </w:pPr>
    </w:p>
    <w:p w14:paraId="1F9C7391" w14:textId="77777777" w:rsidR="0002074D" w:rsidRDefault="0002074D" w:rsidP="00D62305">
      <w:pPr>
        <w:spacing w:line="276" w:lineRule="auto"/>
        <w:jc w:val="both"/>
        <w:rPr>
          <w:lang w:val="en-US"/>
        </w:rPr>
      </w:pPr>
    </w:p>
    <w:p w14:paraId="2445C479" w14:textId="3CFF0CD7" w:rsidR="00FD5E16" w:rsidRPr="001632C4" w:rsidRDefault="00FD5E16" w:rsidP="00D62305">
      <w:pPr>
        <w:spacing w:line="276" w:lineRule="auto"/>
        <w:jc w:val="both"/>
        <w:rPr>
          <w:b/>
          <w:lang w:val="en-US"/>
        </w:rPr>
      </w:pPr>
      <w:r w:rsidRPr="001632C4">
        <w:rPr>
          <w:b/>
          <w:lang w:val="en-US"/>
        </w:rPr>
        <w:t xml:space="preserve"> </w:t>
      </w:r>
    </w:p>
    <w:p w14:paraId="2A2310CA" w14:textId="2D6056A5" w:rsidR="008F320F" w:rsidRPr="001632C4" w:rsidRDefault="0094392B" w:rsidP="008F320F">
      <w:pPr>
        <w:jc w:val="center"/>
        <w:rPr>
          <w:b/>
          <w:lang w:val="en-US"/>
        </w:rPr>
      </w:pPr>
      <w:r>
        <w:rPr>
          <w:noProof/>
          <w:lang w:val="en-US"/>
        </w:rPr>
        <mc:AlternateContent>
          <mc:Choice Requires="wps">
            <w:drawing>
              <wp:anchor distT="0" distB="0" distL="114300" distR="114300" simplePos="0" relativeHeight="251679744" behindDoc="0" locked="0" layoutInCell="1" allowOverlap="1" wp14:anchorId="63E8C0C5" wp14:editId="01FD39A4">
                <wp:simplePos x="0" y="0"/>
                <wp:positionH relativeFrom="column">
                  <wp:posOffset>-515316</wp:posOffset>
                </wp:positionH>
                <wp:positionV relativeFrom="paragraph">
                  <wp:posOffset>1267046</wp:posOffset>
                </wp:positionV>
                <wp:extent cx="5963479" cy="410817"/>
                <wp:effectExtent l="0" t="0" r="0" b="0"/>
                <wp:wrapNone/>
                <wp:docPr id="29" name="Cuadro de texto 29"/>
                <wp:cNvGraphicFramePr/>
                <a:graphic xmlns:a="http://schemas.openxmlformats.org/drawingml/2006/main">
                  <a:graphicData uri="http://schemas.microsoft.com/office/word/2010/wordprocessingShape">
                    <wps:wsp>
                      <wps:cNvSpPr txBox="1"/>
                      <wps:spPr>
                        <a:xfrm>
                          <a:off x="0" y="0"/>
                          <a:ext cx="5963479" cy="410817"/>
                        </a:xfrm>
                        <a:prstGeom prst="rect">
                          <a:avLst/>
                        </a:prstGeom>
                        <a:noFill/>
                        <a:ln w="6350">
                          <a:noFill/>
                        </a:ln>
                      </wps:spPr>
                      <wps:txbx>
                        <w:txbxContent>
                          <w:p w14:paraId="041630DD" w14:textId="5932A558"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sidR="004A4748">
                              <w:rPr>
                                <w:rFonts w:ascii="Calibri" w:hAnsi="Calibri" w:cs="Calibri"/>
                              </w:rPr>
                              <w:t>b</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sidR="004A4748">
                              <w:rPr>
                                <w:rFonts w:ascii="Calibri" w:hAnsi="Calibri" w:cs="Calibri"/>
                              </w:rPr>
                              <w:t>d</w:t>
                            </w:r>
                            <w:r w:rsidRPr="0094392B">
                              <w:rPr>
                                <w:rFonts w:ascii="Calibri" w:hAnsi="Calibri" w:cs="Calibri"/>
                              </w:rPr>
                              <w:t>)</w:t>
                            </w:r>
                            <w:r>
                              <w:rPr>
                                <w:rFonts w:ascii="Calibri" w:hAnsi="Calibri" w:cs="Calibri"/>
                              </w:rPr>
                              <w:t xml:space="preserve">                                                      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E8C0C5" id="Cuadro de texto 29" o:spid="_x0000_s1031" type="#_x0000_t202" style="position:absolute;left:0;text-align:left;margin-left:-40.6pt;margin-top:99.75pt;width:469.55pt;height:32.3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" filled="f" stroked="f" strokeweight=".5pt">
                <v:textbox>
                  <w:txbxContent>
                    <w:p w14:paraId="041630DD" w14:textId="5932A558"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sidR="004A4748">
                        <w:rPr>
                          <w:rFonts w:ascii="Calibri" w:hAnsi="Calibri" w:cs="Calibri"/>
                        </w:rPr>
                        <w:t>b</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sidR="004A4748">
                        <w:rPr>
                          <w:rFonts w:ascii="Calibri" w:hAnsi="Calibri" w:cs="Calibri"/>
                        </w:rPr>
                        <w:t>d</w:t>
                      </w:r>
                      <w:r w:rsidRPr="0094392B">
                        <w:rPr>
                          <w:rFonts w:ascii="Calibri" w:hAnsi="Calibri" w:cs="Calibri"/>
                        </w:rPr>
                        <w:t>)</w:t>
                      </w:r>
                      <w:r>
                        <w:rPr>
                          <w:rFonts w:ascii="Calibri" w:hAnsi="Calibri" w:cs="Calibri"/>
                        </w:rPr>
                        <w:t xml:space="preserve">                                                      f)      </w:t>
                      </w:r>
                    </w:p>
                  </w:txbxContent>
                </v:textbox>
              </v:shape>
            </w:pict>
          </mc:Fallback>
        </mc:AlternateContent>
      </w:r>
      <w:r>
        <w:rPr>
          <w:noProof/>
          <w:lang w:val="en-US"/>
        </w:rPr>
        <mc:AlternateContent>
          <mc:Choice Requires="wps">
            <w:drawing>
              <wp:anchor distT="0" distB="0" distL="114300" distR="114300" simplePos="0" relativeHeight="251677696" behindDoc="0" locked="0" layoutInCell="1" allowOverlap="1" wp14:anchorId="086EFF29" wp14:editId="20B6A378">
                <wp:simplePos x="0" y="0"/>
                <wp:positionH relativeFrom="column">
                  <wp:posOffset>-415925</wp:posOffset>
                </wp:positionH>
                <wp:positionV relativeFrom="paragraph">
                  <wp:posOffset>-170318</wp:posOffset>
                </wp:positionV>
                <wp:extent cx="5963479" cy="410817"/>
                <wp:effectExtent l="0" t="0" r="0" b="0"/>
                <wp:wrapNone/>
                <wp:docPr id="28" name="Cuadro de texto 28"/>
                <wp:cNvGraphicFramePr/>
                <a:graphic xmlns:a="http://schemas.openxmlformats.org/drawingml/2006/main">
                  <a:graphicData uri="http://schemas.microsoft.com/office/word/2010/wordprocessingShape">
                    <wps:wsp>
                      <wps:cNvSpPr txBox="1"/>
                      <wps:spPr>
                        <a:xfrm>
                          <a:off x="0" y="0"/>
                          <a:ext cx="5963479" cy="410817"/>
                        </a:xfrm>
                        <a:prstGeom prst="rect">
                          <a:avLst/>
                        </a:prstGeom>
                        <a:noFill/>
                        <a:ln w="6350">
                          <a:noFill/>
                        </a:ln>
                      </wps:spPr>
                      <wps:txbx>
                        <w:txbxContent>
                          <w:p w14:paraId="1AC7BD5E" w14:textId="6F457C94"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sidR="004A4748">
                              <w:rPr>
                                <w:rFonts w:ascii="Calibri" w:hAnsi="Calibri" w:cs="Calibri"/>
                              </w:rPr>
                              <w:t>c</w:t>
                            </w:r>
                            <w:r w:rsidRPr="0094392B">
                              <w:rPr>
                                <w:rFonts w:ascii="Calibri" w:hAnsi="Calibri" w:cs="Calibri"/>
                              </w:rPr>
                              <w:t>)</w:t>
                            </w:r>
                            <w:r>
                              <w:rPr>
                                <w:rFonts w:ascii="Calibri" w:hAnsi="Calibri" w:cs="Calibri"/>
                              </w:rPr>
                              <w:t xml:space="preserve">                                                      </w:t>
                            </w:r>
                            <w:r w:rsidR="004A4748">
                              <w:rPr>
                                <w:rFonts w:ascii="Calibri" w:hAnsi="Calibri" w:cs="Calibri"/>
                              </w:rPr>
                              <w:t>e</w:t>
                            </w:r>
                            <w:r>
                              <w:rPr>
                                <w:rFonts w:ascii="Calibri" w:hAnsi="Calibri" w:cs="Calibr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86EFF29" id="Cuadro de texto 28" o:spid="_x0000_s1032" type="#_x0000_t202" style="position:absolute;left:0;text-align:left;margin-left:-32.75pt;margin-top:-13.4pt;width:469.55pt;height:32.3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" filled="f" stroked="f" strokeweight=".5pt">
                <v:textbox>
                  <w:txbxContent>
                    <w:p w14:paraId="1AC7BD5E" w14:textId="6F457C94"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sidR="004A4748">
                        <w:rPr>
                          <w:rFonts w:ascii="Calibri" w:hAnsi="Calibri" w:cs="Calibri"/>
                        </w:rPr>
                        <w:t>c</w:t>
                      </w:r>
                      <w:r w:rsidRPr="0094392B">
                        <w:rPr>
                          <w:rFonts w:ascii="Calibri" w:hAnsi="Calibri" w:cs="Calibri"/>
                        </w:rPr>
                        <w:t>)</w:t>
                      </w:r>
                      <w:r>
                        <w:rPr>
                          <w:rFonts w:ascii="Calibri" w:hAnsi="Calibri" w:cs="Calibri"/>
                        </w:rPr>
                        <w:t xml:space="preserve">                                                      </w:t>
                      </w:r>
                      <w:r w:rsidR="004A4748">
                        <w:rPr>
                          <w:rFonts w:ascii="Calibri" w:hAnsi="Calibri" w:cs="Calibri"/>
                        </w:rPr>
                        <w:t>e</w:t>
                      </w:r>
                      <w:r>
                        <w:rPr>
                          <w:rFonts w:ascii="Calibri" w:hAnsi="Calibri" w:cs="Calibri"/>
                        </w:rPr>
                        <w:t xml:space="preserve">)      </w:t>
                      </w:r>
                    </w:p>
                  </w:txbxContent>
                </v:textbox>
              </v:shape>
            </w:pict>
          </mc:Fallback>
        </mc:AlternateContent>
      </w:r>
      <w:r w:rsidR="008F320F" w:rsidRPr="001632C4">
        <w:rPr>
          <w:b/>
          <w:noProof/>
          <w:lang w:val="en-US" w:eastAsia="en-US"/>
        </w:rPr>
        <w:drawing>
          <wp:inline distT="0" distB="0" distL="0" distR="0" wp14:anchorId="436FEBE7" wp14:editId="5B210ADF">
            <wp:extent cx="5802984" cy="2880000"/>
            <wp:effectExtent l="0" t="0" r="127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t="-5928" b="-7542"/>
                    <a:stretch/>
                  </pic:blipFill>
                  <pic:spPr bwMode="auto">
                    <a:xfrm>
                      <a:off x="0" y="0"/>
                      <a:ext cx="5802984" cy="2880000"/>
                    </a:xfrm>
                    <a:prstGeom prst="rect">
                      <a:avLst/>
                    </a:prstGeom>
                    <a:ln>
                      <a:noFill/>
                    </a:ln>
                    <a:extLst>
                      <a:ext uri="{53640926-AAD7-44D8-BBD7-CCE9431645EC}">
                        <a14:shadowObscured xmlns:a14="http://schemas.microsoft.com/office/drawing/2010/main"/>
                      </a:ext>
                    </a:extLst>
                  </pic:spPr>
                </pic:pic>
              </a:graphicData>
            </a:graphic>
          </wp:inline>
        </w:drawing>
      </w:r>
    </w:p>
    <w:p w14:paraId="1E47CC28" w14:textId="0032D913" w:rsidR="008F320F" w:rsidRPr="001632C4" w:rsidRDefault="008F320F" w:rsidP="008F320F">
      <w:pPr>
        <w:spacing w:line="276" w:lineRule="auto"/>
        <w:jc w:val="both"/>
        <w:rPr>
          <w:lang w:val="en-US"/>
        </w:rPr>
      </w:pPr>
      <w:r w:rsidRPr="001632C4">
        <w:rPr>
          <w:b/>
          <w:bCs/>
          <w:noProof/>
          <w:lang w:val="en-US"/>
        </w:rPr>
        <w:t>Figure S</w:t>
      </w:r>
      <w:r w:rsidR="00F4621A">
        <w:rPr>
          <w:b/>
          <w:bCs/>
          <w:noProof/>
          <w:lang w:val="en-US"/>
        </w:rPr>
        <w:t>19</w:t>
      </w:r>
      <w:r w:rsidRPr="001632C4">
        <w:rPr>
          <w:b/>
          <w:bCs/>
          <w:noProof/>
          <w:lang w:val="en-US"/>
        </w:rPr>
        <w:t xml:space="preserve">. </w:t>
      </w:r>
      <w:r w:rsidRPr="001632C4">
        <w:rPr>
          <w:b/>
          <w:lang w:val="en-US"/>
        </w:rPr>
        <w:t xml:space="preserve">Transport characteristics of the </w:t>
      </w:r>
      <w:r w:rsidR="002821C3">
        <w:rPr>
          <w:b/>
          <w:lang w:val="en-US"/>
        </w:rPr>
        <w:t>m-GFET</w:t>
      </w:r>
      <w:r w:rsidRPr="001632C4">
        <w:rPr>
          <w:b/>
          <w:lang w:val="en-US"/>
        </w:rPr>
        <w:t>s, charging effect.</w:t>
      </w:r>
      <w:r w:rsidRPr="001632C4">
        <w:rPr>
          <w:lang w:val="en-US"/>
        </w:rPr>
        <w:t xml:space="preserve"> </w:t>
      </w:r>
      <w:r w:rsidRPr="001632C4">
        <w:rPr>
          <w:b/>
          <w:bCs/>
          <w:lang w:val="en-US"/>
        </w:rPr>
        <w:t xml:space="preserve">(a) </w:t>
      </w:r>
      <w:r w:rsidRPr="001632C4">
        <w:rPr>
          <w:lang w:val="en-US"/>
        </w:rPr>
        <w:t xml:space="preserve">Sampling source conductance during 10 s, 8 times at </w:t>
      </w:r>
      <w:r w:rsidRPr="001632C4">
        <w:rPr>
          <w:i/>
          <w:iCs/>
          <w:lang w:val="en-US"/>
        </w:rPr>
        <w:t>V</w:t>
      </w:r>
      <w:r w:rsidRPr="001632C4">
        <w:rPr>
          <w:i/>
          <w:iCs/>
          <w:vertAlign w:val="subscript"/>
          <w:lang w:val="en-US"/>
        </w:rPr>
        <w:t xml:space="preserve">BG </w:t>
      </w:r>
      <w:r w:rsidRPr="001632C4">
        <w:rPr>
          <w:lang w:val="en-US"/>
        </w:rPr>
        <w:t xml:space="preserve">= 0 V. </w:t>
      </w:r>
      <w:r w:rsidRPr="001632C4">
        <w:rPr>
          <w:b/>
          <w:bCs/>
          <w:lang w:val="en-US"/>
        </w:rPr>
        <w:t>(b)</w:t>
      </w:r>
      <w:r w:rsidRPr="001632C4">
        <w:rPr>
          <w:lang w:val="en-US"/>
        </w:rPr>
        <w:t xml:space="preserve"> Subsequent </w:t>
      </w:r>
      <w:r w:rsidRPr="001632C4">
        <w:rPr>
          <w:i/>
          <w:iCs/>
          <w:lang w:val="en-US"/>
        </w:rPr>
        <w:t>V</w:t>
      </w:r>
      <w:r w:rsidRPr="001632C4">
        <w:rPr>
          <w:i/>
          <w:iCs/>
          <w:vertAlign w:val="subscript"/>
          <w:lang w:val="en-US"/>
        </w:rPr>
        <w:t>BG</w:t>
      </w:r>
      <w:r w:rsidRPr="001632C4">
        <w:rPr>
          <w:lang w:val="en-US"/>
        </w:rPr>
        <w:t xml:space="preserve"> sweeps from </w:t>
      </w:r>
      <w:r w:rsidRPr="001632C4">
        <w:rPr>
          <w:i/>
          <w:iCs/>
          <w:lang w:val="en-US"/>
        </w:rPr>
        <w:t>V</w:t>
      </w:r>
      <w:r w:rsidRPr="001632C4">
        <w:rPr>
          <w:i/>
          <w:iCs/>
          <w:vertAlign w:val="subscript"/>
          <w:lang w:val="en-US"/>
        </w:rPr>
        <w:t>BG</w:t>
      </w:r>
      <w:r w:rsidRPr="001632C4">
        <w:rPr>
          <w:vertAlign w:val="subscript"/>
          <w:lang w:val="en-US"/>
        </w:rPr>
        <w:t xml:space="preserve"> </w:t>
      </w:r>
      <w:r w:rsidRPr="001632C4">
        <w:rPr>
          <w:lang w:val="en-US"/>
        </w:rPr>
        <w:t xml:space="preserve">= -10 V to </w:t>
      </w:r>
      <w:r w:rsidRPr="001632C4">
        <w:rPr>
          <w:i/>
          <w:iCs/>
          <w:lang w:val="en-US"/>
        </w:rPr>
        <w:t>V</w:t>
      </w:r>
      <w:r w:rsidRPr="001632C4">
        <w:rPr>
          <w:i/>
          <w:iCs/>
          <w:vertAlign w:val="subscript"/>
          <w:lang w:val="en-US"/>
        </w:rPr>
        <w:t>BG</w:t>
      </w:r>
      <w:r w:rsidRPr="001632C4">
        <w:rPr>
          <w:vertAlign w:val="subscript"/>
          <w:lang w:val="en-US"/>
        </w:rPr>
        <w:t xml:space="preserve"> </w:t>
      </w:r>
      <w:r w:rsidRPr="001632C4">
        <w:rPr>
          <w:lang w:val="en-US"/>
        </w:rPr>
        <w:t xml:space="preserve">= 10 V. </w:t>
      </w:r>
      <w:r w:rsidRPr="001632C4">
        <w:rPr>
          <w:b/>
          <w:bCs/>
          <w:lang w:val="en-US"/>
        </w:rPr>
        <w:t xml:space="preserve">(c) </w:t>
      </w:r>
      <w:r w:rsidRPr="001632C4">
        <w:rPr>
          <w:lang w:val="en-US"/>
        </w:rPr>
        <w:t xml:space="preserve">Sampling source conductance during 10 s, 8 times at </w:t>
      </w:r>
      <w:r w:rsidRPr="001632C4">
        <w:rPr>
          <w:i/>
          <w:iCs/>
          <w:lang w:val="en-US"/>
        </w:rPr>
        <w:t>V</w:t>
      </w:r>
      <w:r w:rsidRPr="001632C4">
        <w:rPr>
          <w:i/>
          <w:iCs/>
          <w:vertAlign w:val="subscript"/>
          <w:lang w:val="en-US"/>
        </w:rPr>
        <w:t xml:space="preserve">BG </w:t>
      </w:r>
      <w:r w:rsidRPr="001632C4">
        <w:rPr>
          <w:lang w:val="en-US"/>
        </w:rPr>
        <w:t xml:space="preserve">= 10 V </w:t>
      </w:r>
      <w:r w:rsidRPr="001632C4">
        <w:rPr>
          <w:b/>
          <w:bCs/>
          <w:lang w:val="en-US"/>
        </w:rPr>
        <w:t>(d)</w:t>
      </w:r>
      <w:r w:rsidRPr="001632C4">
        <w:rPr>
          <w:lang w:val="en-US"/>
        </w:rPr>
        <w:t xml:space="preserve"> Subsequent </w:t>
      </w:r>
      <w:r w:rsidRPr="001632C4">
        <w:rPr>
          <w:i/>
          <w:iCs/>
          <w:lang w:val="en-US"/>
        </w:rPr>
        <w:t>V</w:t>
      </w:r>
      <w:r w:rsidRPr="001632C4">
        <w:rPr>
          <w:i/>
          <w:iCs/>
          <w:vertAlign w:val="subscript"/>
          <w:lang w:val="en-US"/>
        </w:rPr>
        <w:t>BG</w:t>
      </w:r>
      <w:r w:rsidRPr="001632C4">
        <w:rPr>
          <w:lang w:val="en-US"/>
        </w:rPr>
        <w:t xml:space="preserve"> sweeps from </w:t>
      </w:r>
      <w:r w:rsidRPr="001632C4">
        <w:rPr>
          <w:i/>
          <w:iCs/>
          <w:lang w:val="en-US"/>
        </w:rPr>
        <w:t>V</w:t>
      </w:r>
      <w:r w:rsidRPr="001632C4">
        <w:rPr>
          <w:i/>
          <w:iCs/>
          <w:vertAlign w:val="subscript"/>
          <w:lang w:val="en-US"/>
        </w:rPr>
        <w:t>BG</w:t>
      </w:r>
      <w:r w:rsidRPr="001632C4">
        <w:rPr>
          <w:vertAlign w:val="subscript"/>
          <w:lang w:val="en-US"/>
        </w:rPr>
        <w:t xml:space="preserve"> </w:t>
      </w:r>
      <w:r w:rsidRPr="001632C4">
        <w:rPr>
          <w:lang w:val="en-US"/>
        </w:rPr>
        <w:t xml:space="preserve">= -10 V to </w:t>
      </w:r>
      <w:r w:rsidRPr="001632C4">
        <w:rPr>
          <w:i/>
          <w:iCs/>
          <w:lang w:val="en-US"/>
        </w:rPr>
        <w:t>V</w:t>
      </w:r>
      <w:r w:rsidRPr="001632C4">
        <w:rPr>
          <w:i/>
          <w:iCs/>
          <w:vertAlign w:val="subscript"/>
          <w:lang w:val="en-US"/>
        </w:rPr>
        <w:t>BG</w:t>
      </w:r>
      <w:r w:rsidRPr="001632C4">
        <w:rPr>
          <w:vertAlign w:val="subscript"/>
          <w:lang w:val="en-US"/>
        </w:rPr>
        <w:t xml:space="preserve"> </w:t>
      </w:r>
      <w:r w:rsidRPr="001632C4">
        <w:rPr>
          <w:lang w:val="en-US"/>
        </w:rPr>
        <w:t xml:space="preserve">= 10 V. </w:t>
      </w:r>
      <w:r w:rsidRPr="001632C4">
        <w:rPr>
          <w:b/>
          <w:bCs/>
          <w:lang w:val="en-US"/>
        </w:rPr>
        <w:t xml:space="preserve">(e) </w:t>
      </w:r>
      <w:r w:rsidRPr="001632C4">
        <w:rPr>
          <w:lang w:val="en-US"/>
        </w:rPr>
        <w:t xml:space="preserve">Sampling source conductance during 10 s, 8 times at </w:t>
      </w:r>
      <w:r w:rsidRPr="001632C4">
        <w:rPr>
          <w:i/>
          <w:iCs/>
          <w:lang w:val="en-US"/>
        </w:rPr>
        <w:t>V</w:t>
      </w:r>
      <w:r w:rsidRPr="001632C4">
        <w:rPr>
          <w:i/>
          <w:iCs/>
          <w:vertAlign w:val="subscript"/>
          <w:lang w:val="en-US"/>
        </w:rPr>
        <w:t xml:space="preserve">BG </w:t>
      </w:r>
      <w:r w:rsidRPr="001632C4">
        <w:rPr>
          <w:lang w:val="en-US"/>
        </w:rPr>
        <w:t xml:space="preserve">= 50 V </w:t>
      </w:r>
      <w:r w:rsidRPr="001632C4">
        <w:rPr>
          <w:b/>
          <w:bCs/>
          <w:lang w:val="en-US"/>
        </w:rPr>
        <w:t>(f)</w:t>
      </w:r>
      <w:r w:rsidRPr="001632C4">
        <w:rPr>
          <w:lang w:val="en-US"/>
        </w:rPr>
        <w:t xml:space="preserve"> Subsequent </w:t>
      </w:r>
      <w:r w:rsidRPr="001632C4">
        <w:rPr>
          <w:i/>
          <w:iCs/>
          <w:lang w:val="en-US"/>
        </w:rPr>
        <w:t>V</w:t>
      </w:r>
      <w:r w:rsidRPr="001632C4">
        <w:rPr>
          <w:i/>
          <w:iCs/>
          <w:vertAlign w:val="subscript"/>
          <w:lang w:val="en-US"/>
        </w:rPr>
        <w:t>BG</w:t>
      </w:r>
      <w:r w:rsidRPr="001632C4">
        <w:rPr>
          <w:lang w:val="en-US"/>
        </w:rPr>
        <w:t xml:space="preserve"> sweeps from </w:t>
      </w:r>
      <w:r w:rsidRPr="001632C4">
        <w:rPr>
          <w:i/>
          <w:iCs/>
          <w:lang w:val="en-US"/>
        </w:rPr>
        <w:t>V</w:t>
      </w:r>
      <w:r w:rsidRPr="001632C4">
        <w:rPr>
          <w:i/>
          <w:iCs/>
          <w:vertAlign w:val="subscript"/>
          <w:lang w:val="en-US"/>
        </w:rPr>
        <w:t>BG</w:t>
      </w:r>
      <w:r w:rsidRPr="001632C4">
        <w:rPr>
          <w:vertAlign w:val="subscript"/>
          <w:lang w:val="en-US"/>
        </w:rPr>
        <w:t xml:space="preserve"> </w:t>
      </w:r>
      <w:r w:rsidRPr="001632C4">
        <w:rPr>
          <w:lang w:val="en-US"/>
        </w:rPr>
        <w:t xml:space="preserve">= -10 V to </w:t>
      </w:r>
      <w:r w:rsidRPr="001632C4">
        <w:rPr>
          <w:i/>
          <w:iCs/>
          <w:lang w:val="en-US"/>
        </w:rPr>
        <w:t>V</w:t>
      </w:r>
      <w:r w:rsidRPr="001632C4">
        <w:rPr>
          <w:i/>
          <w:iCs/>
          <w:vertAlign w:val="subscript"/>
          <w:lang w:val="en-US"/>
        </w:rPr>
        <w:t>BG</w:t>
      </w:r>
      <w:r w:rsidRPr="001632C4">
        <w:rPr>
          <w:vertAlign w:val="subscript"/>
          <w:lang w:val="en-US"/>
        </w:rPr>
        <w:t xml:space="preserve"> </w:t>
      </w:r>
      <w:r w:rsidRPr="001632C4">
        <w:rPr>
          <w:lang w:val="en-US"/>
        </w:rPr>
        <w:t>= 10 V</w:t>
      </w:r>
      <w:r w:rsidR="004A4748">
        <w:rPr>
          <w:lang w:val="en-US"/>
        </w:rPr>
        <w:t>.</w:t>
      </w:r>
      <w:r w:rsidRPr="001632C4">
        <w:rPr>
          <w:lang w:val="en-US"/>
        </w:rPr>
        <w:t xml:space="preserve"> </w:t>
      </w:r>
    </w:p>
    <w:p w14:paraId="07E4D28C" w14:textId="77777777" w:rsidR="008F320F" w:rsidRPr="001632C4" w:rsidRDefault="008F320F" w:rsidP="00FD5E16">
      <w:pPr>
        <w:rPr>
          <w:bCs/>
          <w:lang w:val="en-US"/>
        </w:rPr>
      </w:pPr>
    </w:p>
    <w:p w14:paraId="4830121E" w14:textId="77777777" w:rsidR="00D51CB1" w:rsidRDefault="00D51CB1">
      <w:pPr>
        <w:rPr>
          <w:rFonts w:eastAsiaTheme="majorEastAsia"/>
          <w:sz w:val="28"/>
          <w:szCs w:val="28"/>
          <w:lang w:val="en-US" w:eastAsia="ja-JP"/>
        </w:rPr>
      </w:pPr>
      <w:r w:rsidRPr="008E55C2">
        <w:rPr>
          <w:sz w:val="28"/>
          <w:szCs w:val="28"/>
          <w:lang w:val="en-US"/>
        </w:rPr>
        <w:br w:type="page"/>
      </w:r>
    </w:p>
    <w:p w14:paraId="06004333" w14:textId="23CB4558" w:rsidR="002A2058" w:rsidRPr="006D652D" w:rsidRDefault="002A2058" w:rsidP="006D652D">
      <w:pPr>
        <w:pStyle w:val="Ttulo1"/>
        <w:rPr>
          <w:rFonts w:ascii="Times New Roman" w:hAnsi="Times New Roman" w:cs="Times New Roman"/>
          <w:color w:val="auto"/>
          <w:sz w:val="28"/>
          <w:szCs w:val="28"/>
        </w:rPr>
      </w:pPr>
      <w:bookmarkStart w:id="14" w:name="_Toc104545478"/>
      <w:bookmarkStart w:id="15" w:name="_Toc104545496"/>
      <w:r w:rsidRPr="006D652D">
        <w:rPr>
          <w:rFonts w:ascii="Times New Roman" w:hAnsi="Times New Roman" w:cs="Times New Roman"/>
          <w:color w:val="auto"/>
          <w:sz w:val="28"/>
          <w:szCs w:val="28"/>
        </w:rPr>
        <w:lastRenderedPageBreak/>
        <w:t xml:space="preserve">Note </w:t>
      </w:r>
      <w:r w:rsidR="00214BDA" w:rsidRPr="006D652D">
        <w:rPr>
          <w:rFonts w:ascii="Times New Roman" w:hAnsi="Times New Roman" w:cs="Times New Roman"/>
          <w:color w:val="auto"/>
          <w:sz w:val="28"/>
          <w:szCs w:val="28"/>
        </w:rPr>
        <w:t>8</w:t>
      </w:r>
      <w:r w:rsidRPr="006D652D">
        <w:rPr>
          <w:rFonts w:ascii="Times New Roman" w:hAnsi="Times New Roman" w:cs="Times New Roman"/>
          <w:color w:val="auto"/>
          <w:sz w:val="28"/>
          <w:szCs w:val="28"/>
        </w:rPr>
        <w:t xml:space="preserve">. </w:t>
      </w:r>
      <w:r w:rsidR="002821C3" w:rsidRPr="006D652D">
        <w:rPr>
          <w:rFonts w:ascii="Times New Roman" w:hAnsi="Times New Roman" w:cs="Times New Roman"/>
          <w:color w:val="auto"/>
          <w:sz w:val="28"/>
          <w:szCs w:val="28"/>
        </w:rPr>
        <w:t>m-GFET</w:t>
      </w:r>
      <w:r w:rsidRPr="006D652D">
        <w:rPr>
          <w:rFonts w:ascii="Times New Roman" w:hAnsi="Times New Roman" w:cs="Times New Roman"/>
          <w:color w:val="auto"/>
          <w:sz w:val="28"/>
          <w:szCs w:val="28"/>
        </w:rPr>
        <w:t xml:space="preserve"> electrical configuration</w:t>
      </w:r>
      <w:bookmarkEnd w:id="14"/>
      <w:bookmarkEnd w:id="15"/>
    </w:p>
    <w:p w14:paraId="531EA08B" w14:textId="77777777" w:rsidR="002A2058" w:rsidRPr="001632C4" w:rsidRDefault="002A2058" w:rsidP="002A2058">
      <w:pPr>
        <w:pStyle w:val="Head1"/>
        <w:rPr>
          <w:lang w:val="en-US"/>
        </w:rPr>
      </w:pPr>
    </w:p>
    <w:p w14:paraId="33C8DCC3" w14:textId="082305ED" w:rsidR="002A2058" w:rsidRPr="001632C4" w:rsidRDefault="002A2058" w:rsidP="002A2058">
      <w:pPr>
        <w:pStyle w:val="Head1"/>
        <w:rPr>
          <w:lang w:val="en-US"/>
        </w:rPr>
      </w:pPr>
      <w:r w:rsidRPr="001632C4">
        <w:rPr>
          <w:lang w:val="en-US"/>
        </w:rPr>
        <w:t xml:space="preserve">The total resistance is the sum of the resistance of </w:t>
      </w:r>
      <w:r w:rsidR="00E81DC0">
        <w:rPr>
          <w:lang w:val="en-US"/>
        </w:rPr>
        <w:t>one</w:t>
      </w:r>
      <w:r w:rsidRPr="001632C4">
        <w:rPr>
          <w:lang w:val="en-US"/>
        </w:rPr>
        <w:t xml:space="preserve"> molecular diode </w:t>
      </w:r>
      <w:r w:rsidR="00E81DC0">
        <w:rPr>
          <w:lang w:val="en-US"/>
        </w:rPr>
        <w:t>in</w:t>
      </w:r>
      <w:r w:rsidRPr="001632C4">
        <w:rPr>
          <w:lang w:val="en-US"/>
        </w:rPr>
        <w:t xml:space="preserve"> forward</w:t>
      </w:r>
      <w:r w:rsidR="00E81DC0">
        <w:rPr>
          <w:lang w:val="en-US"/>
        </w:rPr>
        <w:t xml:space="preserve"> direction</w:t>
      </w:r>
      <w:r w:rsidRPr="001632C4">
        <w:rPr>
          <w:lang w:val="en-US"/>
        </w:rPr>
        <w:t>, the resistance of the graphene and the resistance of the</w:t>
      </w:r>
      <w:r w:rsidR="00E81DC0">
        <w:rPr>
          <w:lang w:val="en-US"/>
        </w:rPr>
        <w:t xml:space="preserve"> other</w:t>
      </w:r>
      <w:r w:rsidRPr="001632C4">
        <w:rPr>
          <w:lang w:val="en-US"/>
        </w:rPr>
        <w:t xml:space="preserve"> molecular diode at the reverse bias (</w:t>
      </w:r>
      <w:r w:rsidRPr="001632C4">
        <w:rPr>
          <w:i/>
          <w:iCs/>
          <w:lang w:val="en-US"/>
        </w:rPr>
        <w:t>R</w:t>
      </w:r>
      <w:r w:rsidRPr="001632C4">
        <w:rPr>
          <w:i/>
          <w:iCs/>
          <w:vertAlign w:val="subscript"/>
          <w:lang w:val="en-US"/>
        </w:rPr>
        <w:t xml:space="preserve">T </w:t>
      </w:r>
      <w:r w:rsidRPr="001632C4">
        <w:rPr>
          <w:i/>
          <w:iCs/>
          <w:lang w:val="en-US"/>
        </w:rPr>
        <w:t xml:space="preserve">= </w:t>
      </w:r>
      <w:proofErr w:type="spellStart"/>
      <w:proofErr w:type="gramStart"/>
      <w:r w:rsidRPr="001632C4">
        <w:rPr>
          <w:i/>
          <w:iCs/>
          <w:lang w:val="en-US"/>
        </w:rPr>
        <w:t>R</w:t>
      </w:r>
      <w:r w:rsidRPr="001632C4">
        <w:rPr>
          <w:i/>
          <w:iCs/>
          <w:vertAlign w:val="subscript"/>
          <w:lang w:val="en-US"/>
        </w:rPr>
        <w:t>Fc,F</w:t>
      </w:r>
      <w:proofErr w:type="spellEnd"/>
      <w:proofErr w:type="gramEnd"/>
      <w:r w:rsidRPr="001632C4">
        <w:rPr>
          <w:i/>
          <w:iCs/>
          <w:vertAlign w:val="subscript"/>
          <w:lang w:val="en-US"/>
        </w:rPr>
        <w:t xml:space="preserve"> </w:t>
      </w:r>
      <w:r w:rsidRPr="001632C4">
        <w:rPr>
          <w:i/>
          <w:iCs/>
          <w:lang w:val="en-US"/>
        </w:rPr>
        <w:t>+ R</w:t>
      </w:r>
      <w:r w:rsidRPr="001632C4">
        <w:rPr>
          <w:i/>
          <w:iCs/>
          <w:vertAlign w:val="subscript"/>
          <w:lang w:val="en-US"/>
        </w:rPr>
        <w:t>G</w:t>
      </w:r>
      <w:r w:rsidRPr="001632C4">
        <w:rPr>
          <w:i/>
          <w:iCs/>
          <w:lang w:val="en-US"/>
        </w:rPr>
        <w:t xml:space="preserve"> + </w:t>
      </w:r>
      <w:proofErr w:type="spellStart"/>
      <w:r w:rsidRPr="001632C4">
        <w:rPr>
          <w:i/>
          <w:iCs/>
          <w:lang w:val="en-US"/>
        </w:rPr>
        <w:t>R</w:t>
      </w:r>
      <w:r w:rsidRPr="001632C4">
        <w:rPr>
          <w:i/>
          <w:iCs/>
          <w:vertAlign w:val="subscript"/>
          <w:lang w:val="en-US"/>
        </w:rPr>
        <w:t>Fc,R</w:t>
      </w:r>
      <w:proofErr w:type="spellEnd"/>
      <w:r w:rsidRPr="001632C4">
        <w:rPr>
          <w:lang w:val="en-US"/>
        </w:rPr>
        <w:t>).</w:t>
      </w:r>
    </w:p>
    <w:p w14:paraId="3BC9F77D" w14:textId="77777777" w:rsidR="002A2058" w:rsidRPr="001632C4" w:rsidRDefault="002A2058" w:rsidP="002A2058">
      <w:pPr>
        <w:rPr>
          <w:lang w:val="en-US"/>
        </w:rPr>
      </w:pPr>
    </w:p>
    <w:p w14:paraId="4E28374C" w14:textId="77777777" w:rsidR="002A2058" w:rsidRPr="001632C4" w:rsidRDefault="002A2058" w:rsidP="002A2058">
      <w:pPr>
        <w:jc w:val="center"/>
        <w:rPr>
          <w:lang w:val="en-US"/>
        </w:rPr>
      </w:pPr>
      <w:r w:rsidRPr="001632C4">
        <w:rPr>
          <w:noProof/>
          <w:lang w:val="en-US"/>
        </w:rPr>
        <w:drawing>
          <wp:inline distT="0" distB="0" distL="0" distR="0" wp14:anchorId="0E845200" wp14:editId="6D36E362">
            <wp:extent cx="3532941" cy="1980000"/>
            <wp:effectExtent l="0" t="0" r="0" b="127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grayscl/>
                    </a:blip>
                    <a:srcRect l="25132" t="31511" r="26720" b="20518"/>
                    <a:stretch/>
                  </pic:blipFill>
                  <pic:spPr bwMode="auto">
                    <a:xfrm>
                      <a:off x="0" y="0"/>
                      <a:ext cx="3532941" cy="1980000"/>
                    </a:xfrm>
                    <a:prstGeom prst="rect">
                      <a:avLst/>
                    </a:prstGeom>
                    <a:ln>
                      <a:noFill/>
                    </a:ln>
                    <a:extLst>
                      <a:ext uri="{53640926-AAD7-44D8-BBD7-CCE9431645EC}">
                        <a14:shadowObscured xmlns:a14="http://schemas.microsoft.com/office/drawing/2010/main"/>
                      </a:ext>
                    </a:extLst>
                  </pic:spPr>
                </pic:pic>
              </a:graphicData>
            </a:graphic>
          </wp:inline>
        </w:drawing>
      </w:r>
    </w:p>
    <w:p w14:paraId="77DE43FC" w14:textId="77777777" w:rsidR="002A2058" w:rsidRPr="001632C4" w:rsidRDefault="002A2058" w:rsidP="002A2058">
      <w:pPr>
        <w:rPr>
          <w:lang w:val="en-US"/>
        </w:rPr>
      </w:pPr>
    </w:p>
    <w:p w14:paraId="24E31189" w14:textId="39E3ED60" w:rsidR="002A2058" w:rsidRPr="001632C4" w:rsidRDefault="002A2058" w:rsidP="002A2058">
      <w:pPr>
        <w:rPr>
          <w:b/>
          <w:bCs/>
          <w:lang w:val="en-US"/>
        </w:rPr>
      </w:pPr>
      <w:r w:rsidRPr="001632C4">
        <w:rPr>
          <w:b/>
          <w:bCs/>
          <w:noProof/>
          <w:lang w:val="en-US"/>
        </w:rPr>
        <w:t>Figure S</w:t>
      </w:r>
      <w:r w:rsidR="00024F20" w:rsidRPr="001632C4">
        <w:rPr>
          <w:b/>
          <w:bCs/>
          <w:noProof/>
          <w:lang w:val="en-US"/>
        </w:rPr>
        <w:t>2</w:t>
      </w:r>
      <w:r w:rsidR="00F4621A">
        <w:rPr>
          <w:b/>
          <w:bCs/>
          <w:noProof/>
          <w:lang w:val="en-US"/>
        </w:rPr>
        <w:t>0</w:t>
      </w:r>
      <w:r w:rsidRPr="001632C4">
        <w:rPr>
          <w:b/>
          <w:bCs/>
          <w:noProof/>
          <w:lang w:val="en-US"/>
        </w:rPr>
        <w:t xml:space="preserve">. </w:t>
      </w:r>
      <w:r w:rsidRPr="001632C4">
        <w:rPr>
          <w:b/>
          <w:bCs/>
          <w:lang w:val="en-US"/>
        </w:rPr>
        <w:t>Face to face diode arrangement.</w:t>
      </w:r>
    </w:p>
    <w:p w14:paraId="36247954" w14:textId="5D0C5503" w:rsidR="002A2058" w:rsidRDefault="002A2058" w:rsidP="002A2058">
      <w:pPr>
        <w:rPr>
          <w:b/>
          <w:bCs/>
          <w:lang w:val="en-US"/>
        </w:rPr>
      </w:pPr>
    </w:p>
    <w:p w14:paraId="3D262A8F" w14:textId="511F207E" w:rsidR="004A4748" w:rsidRDefault="004A4748" w:rsidP="002A2058">
      <w:pPr>
        <w:rPr>
          <w:b/>
          <w:bCs/>
          <w:lang w:val="en-US"/>
        </w:rPr>
      </w:pPr>
    </w:p>
    <w:p w14:paraId="322E662E" w14:textId="50E61B35" w:rsidR="004A4748" w:rsidRPr="001632C4" w:rsidRDefault="004A4748" w:rsidP="004A4748">
      <w:pPr>
        <w:spacing w:line="360" w:lineRule="auto"/>
        <w:jc w:val="both"/>
        <w:rPr>
          <w:b/>
          <w:bCs/>
          <w:lang w:val="en-US"/>
        </w:rPr>
      </w:pPr>
      <w:r>
        <w:rPr>
          <w:lang w:val="en-US"/>
        </w:rPr>
        <w:t>Taking into account the band diagram for the face-to-face diode arrangement there should be a window for source to drain bias higher than 3V</w:t>
      </w:r>
      <w:r w:rsidR="00191469">
        <w:rPr>
          <w:lang w:val="en-US"/>
        </w:rPr>
        <w:t xml:space="preserve"> (</w:t>
      </w:r>
      <w:r w:rsidR="00191469">
        <w:rPr>
          <w:lang w:val="el-GR"/>
        </w:rPr>
        <w:t>η</w:t>
      </w:r>
      <w:r w:rsidR="00191469" w:rsidRPr="00191469">
        <w:rPr>
          <w:lang w:val="en-US"/>
        </w:rPr>
        <w:t xml:space="preserve"> ≈</w:t>
      </w:r>
      <w:r w:rsidR="00191469">
        <w:rPr>
          <w:lang w:val="en-US"/>
        </w:rPr>
        <w:t xml:space="preserve"> </w:t>
      </w:r>
      <w:r w:rsidR="00191469" w:rsidRPr="00191469">
        <w:rPr>
          <w:lang w:val="en-US"/>
        </w:rPr>
        <w:t>0.</w:t>
      </w:r>
      <w:r w:rsidR="00191469">
        <w:rPr>
          <w:lang w:val="en-US"/>
        </w:rPr>
        <w:t>7)</w:t>
      </w:r>
      <w:r w:rsidR="00191469" w:rsidRPr="00191469">
        <w:rPr>
          <w:lang w:val="en-US"/>
        </w:rPr>
        <w:t xml:space="preserve"> </w:t>
      </w:r>
      <w:r>
        <w:rPr>
          <w:lang w:val="en-US"/>
        </w:rPr>
        <w:t xml:space="preserve">where </w:t>
      </w:r>
      <w:r w:rsidR="00E81DC0">
        <w:rPr>
          <w:lang w:val="en-US"/>
        </w:rPr>
        <w:t xml:space="preserve">both </w:t>
      </w:r>
      <w:r>
        <w:rPr>
          <w:lang w:val="en-US"/>
        </w:rPr>
        <w:t xml:space="preserve">diodes operate at forward regime. </w:t>
      </w:r>
    </w:p>
    <w:p w14:paraId="304F6D13" w14:textId="77777777" w:rsidR="002A2058" w:rsidRPr="001632C4" w:rsidRDefault="002A2058" w:rsidP="002A2058">
      <w:pPr>
        <w:rPr>
          <w:lang w:val="en-US"/>
        </w:rPr>
      </w:pPr>
    </w:p>
    <w:p w14:paraId="72183868" w14:textId="77777777" w:rsidR="002A2058" w:rsidRPr="001632C4" w:rsidRDefault="002A2058" w:rsidP="00D51CB1">
      <w:pPr>
        <w:jc w:val="center"/>
        <w:rPr>
          <w:lang w:val="en-US"/>
        </w:rPr>
      </w:pPr>
      <w:r w:rsidRPr="001632C4">
        <w:rPr>
          <w:noProof/>
          <w:lang w:val="en-US"/>
        </w:rPr>
        <w:drawing>
          <wp:inline distT="0" distB="0" distL="0" distR="0" wp14:anchorId="1793EDC9" wp14:editId="28748A81">
            <wp:extent cx="2137674" cy="2880000"/>
            <wp:effectExtent l="0" t="0" r="0" b="317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29062" r="29182" b="-10"/>
                    <a:stretch/>
                  </pic:blipFill>
                  <pic:spPr bwMode="auto">
                    <a:xfrm>
                      <a:off x="0" y="0"/>
                      <a:ext cx="2137674" cy="2880000"/>
                    </a:xfrm>
                    <a:prstGeom prst="rect">
                      <a:avLst/>
                    </a:prstGeom>
                    <a:ln>
                      <a:noFill/>
                    </a:ln>
                    <a:extLst>
                      <a:ext uri="{53640926-AAD7-44D8-BBD7-CCE9431645EC}">
                        <a14:shadowObscured xmlns:a14="http://schemas.microsoft.com/office/drawing/2010/main"/>
                      </a:ext>
                    </a:extLst>
                  </pic:spPr>
                </pic:pic>
              </a:graphicData>
            </a:graphic>
          </wp:inline>
        </w:drawing>
      </w:r>
    </w:p>
    <w:p w14:paraId="2638EB10" w14:textId="77777777" w:rsidR="002A2058" w:rsidRPr="001632C4" w:rsidRDefault="002A2058" w:rsidP="002A2058">
      <w:pPr>
        <w:rPr>
          <w:lang w:val="en-US"/>
        </w:rPr>
      </w:pPr>
    </w:p>
    <w:p w14:paraId="709E9343" w14:textId="08B5A3C1" w:rsidR="002A2058" w:rsidRPr="001632C4" w:rsidRDefault="002A2058" w:rsidP="00D62305">
      <w:pPr>
        <w:spacing w:line="276" w:lineRule="auto"/>
        <w:rPr>
          <w:b/>
          <w:bCs/>
          <w:lang w:val="en-US"/>
        </w:rPr>
      </w:pPr>
      <w:r w:rsidRPr="001632C4">
        <w:rPr>
          <w:b/>
          <w:bCs/>
          <w:noProof/>
          <w:lang w:val="en-US"/>
        </w:rPr>
        <w:t>Figure S2</w:t>
      </w:r>
      <w:r w:rsidR="00F4621A">
        <w:rPr>
          <w:b/>
          <w:bCs/>
          <w:noProof/>
          <w:lang w:val="en-US"/>
        </w:rPr>
        <w:t>1</w:t>
      </w:r>
      <w:r w:rsidRPr="001632C4">
        <w:rPr>
          <w:b/>
          <w:bCs/>
          <w:noProof/>
          <w:lang w:val="en-US"/>
        </w:rPr>
        <w:t>. (</w:t>
      </w:r>
      <w:r w:rsidRPr="001632C4">
        <w:rPr>
          <w:b/>
          <w:bCs/>
          <w:lang w:val="en-US"/>
        </w:rPr>
        <w:t xml:space="preserve">a) </w:t>
      </w:r>
      <w:r w:rsidRPr="001632C4">
        <w:rPr>
          <w:lang w:val="en-US"/>
        </w:rPr>
        <w:t xml:space="preserve">Simulated voltage </w:t>
      </w:r>
      <w:proofErr w:type="gramStart"/>
      <w:r w:rsidRPr="001632C4">
        <w:rPr>
          <w:lang w:val="en-US"/>
        </w:rPr>
        <w:t>drop</w:t>
      </w:r>
      <w:proofErr w:type="gramEnd"/>
      <w:r w:rsidRPr="001632C4">
        <w:rPr>
          <w:lang w:val="en-US"/>
        </w:rPr>
        <w:t xml:space="preserve"> as a function of applied voltage.</w:t>
      </w:r>
      <w:r w:rsidRPr="001632C4">
        <w:rPr>
          <w:b/>
          <w:bCs/>
          <w:lang w:val="en-US"/>
        </w:rPr>
        <w:t xml:space="preserve"> (b) </w:t>
      </w:r>
      <w:r w:rsidRPr="001632C4">
        <w:rPr>
          <w:lang w:val="en-US"/>
        </w:rPr>
        <w:t>2D source to drain current histogram.</w:t>
      </w:r>
    </w:p>
    <w:p w14:paraId="0D1F54AE" w14:textId="77777777" w:rsidR="002A2058" w:rsidRPr="001632C4" w:rsidRDefault="002A2058" w:rsidP="00D62305">
      <w:pPr>
        <w:spacing w:line="276" w:lineRule="auto"/>
        <w:rPr>
          <w:b/>
          <w:lang w:val="en-US"/>
        </w:rPr>
      </w:pPr>
      <w:r w:rsidRPr="001632C4">
        <w:rPr>
          <w:b/>
          <w:bCs/>
          <w:lang w:val="en-US"/>
        </w:rPr>
        <w:br w:type="page"/>
      </w:r>
    </w:p>
    <w:p w14:paraId="201A330C" w14:textId="0CEF0CB4" w:rsidR="00FD5E16" w:rsidRPr="006D652D" w:rsidRDefault="00FD5E16" w:rsidP="006D652D">
      <w:pPr>
        <w:pStyle w:val="Ttulo1"/>
        <w:rPr>
          <w:rFonts w:ascii="Times New Roman" w:hAnsi="Times New Roman" w:cs="Times New Roman"/>
          <w:color w:val="auto"/>
          <w:sz w:val="28"/>
          <w:szCs w:val="28"/>
        </w:rPr>
      </w:pPr>
      <w:bookmarkStart w:id="16" w:name="_Toc104545479"/>
      <w:bookmarkStart w:id="17" w:name="_Toc104545497"/>
      <w:r w:rsidRPr="006D652D">
        <w:rPr>
          <w:rFonts w:ascii="Times New Roman" w:hAnsi="Times New Roman" w:cs="Times New Roman"/>
          <w:color w:val="auto"/>
          <w:sz w:val="28"/>
          <w:szCs w:val="28"/>
        </w:rPr>
        <w:lastRenderedPageBreak/>
        <w:t xml:space="preserve">Note </w:t>
      </w:r>
      <w:r w:rsidR="00214BDA" w:rsidRPr="006D652D">
        <w:rPr>
          <w:rFonts w:ascii="Times New Roman" w:hAnsi="Times New Roman" w:cs="Times New Roman"/>
          <w:color w:val="auto"/>
          <w:sz w:val="28"/>
          <w:szCs w:val="28"/>
        </w:rPr>
        <w:t>9</w:t>
      </w:r>
      <w:r w:rsidRPr="006D652D">
        <w:rPr>
          <w:rFonts w:ascii="Times New Roman" w:hAnsi="Times New Roman" w:cs="Times New Roman"/>
          <w:color w:val="auto"/>
          <w:sz w:val="28"/>
          <w:szCs w:val="28"/>
        </w:rPr>
        <w:t>. X-ray absorption spectroscopy</w:t>
      </w:r>
      <w:bookmarkEnd w:id="16"/>
      <w:bookmarkEnd w:id="17"/>
    </w:p>
    <w:p w14:paraId="28251855" w14:textId="77777777" w:rsidR="00FD5E16" w:rsidRPr="001632C4" w:rsidRDefault="00FD5E16" w:rsidP="00FD5E16">
      <w:pPr>
        <w:rPr>
          <w:lang w:val="en-US"/>
        </w:rPr>
      </w:pPr>
    </w:p>
    <w:p w14:paraId="7AFFD672" w14:textId="424A8267" w:rsidR="00191469" w:rsidRPr="00191469" w:rsidRDefault="00720688" w:rsidP="00B21BF5">
      <w:pPr>
        <w:spacing w:line="360" w:lineRule="auto"/>
        <w:jc w:val="both"/>
        <w:rPr>
          <w:lang w:val="en-US"/>
        </w:rPr>
      </w:pPr>
      <w:r w:rsidRPr="00191469">
        <w:rPr>
          <w:lang w:val="en-US"/>
        </w:rPr>
        <w:t>Figure S</w:t>
      </w:r>
      <w:r w:rsidR="00191469">
        <w:rPr>
          <w:lang w:val="en-US"/>
        </w:rPr>
        <w:t>2</w:t>
      </w:r>
      <w:r w:rsidR="00F4621A">
        <w:rPr>
          <w:lang w:val="en-US"/>
        </w:rPr>
        <w:t>2</w:t>
      </w:r>
      <w:r w:rsidRPr="00191469">
        <w:rPr>
          <w:lang w:val="en-US"/>
        </w:rPr>
        <w:t xml:space="preserve"> shows a XAS image acquired at the Fe L3 edge. A clear bright signal </w:t>
      </w:r>
      <w:r w:rsidR="00E81DC0">
        <w:rPr>
          <w:lang w:val="en-US"/>
        </w:rPr>
        <w:t xml:space="preserve">corresponding to a higher number of emitted secondary electrons </w:t>
      </w:r>
      <w:r w:rsidRPr="00191469">
        <w:rPr>
          <w:lang w:val="en-US"/>
        </w:rPr>
        <w:t>was observed during all the experiments in the region of the electrode marked with a circle</w:t>
      </w:r>
      <w:r w:rsidR="00191469">
        <w:rPr>
          <w:lang w:val="en-US"/>
        </w:rPr>
        <w:t>.</w:t>
      </w:r>
      <w:r w:rsidRPr="00191469">
        <w:rPr>
          <w:lang w:val="en-US"/>
        </w:rPr>
        <w:t xml:space="preserve"> XAS spectra extracted from this region are </w:t>
      </w:r>
      <w:r w:rsidR="00191469" w:rsidRPr="00191469">
        <w:rPr>
          <w:lang w:val="en-US"/>
        </w:rPr>
        <w:t>showed in</w:t>
      </w:r>
      <w:r w:rsidRPr="00191469">
        <w:rPr>
          <w:lang w:val="en-US"/>
        </w:rPr>
        <w:t xml:space="preserve"> </w:t>
      </w:r>
      <w:r w:rsidR="00191469">
        <w:rPr>
          <w:lang w:val="en-US"/>
        </w:rPr>
        <w:t xml:space="preserve">figure </w:t>
      </w:r>
      <w:r w:rsidRPr="00191469">
        <w:rPr>
          <w:lang w:val="en-US"/>
        </w:rPr>
        <w:t>S19</w:t>
      </w:r>
      <w:r w:rsidR="00191469">
        <w:rPr>
          <w:lang w:val="en-US"/>
        </w:rPr>
        <w:t>a</w:t>
      </w:r>
      <w:r w:rsidRPr="00191469">
        <w:rPr>
          <w:lang w:val="en-US"/>
        </w:rPr>
        <w:t>. In each spectrum, two clear contributions can be distinguished coming from the two molecular states, at 708.8 eV for the Fe</w:t>
      </w:r>
      <w:r w:rsidRPr="00191469">
        <w:rPr>
          <w:vertAlign w:val="superscript"/>
          <w:lang w:val="en-US"/>
        </w:rPr>
        <w:t>2+</w:t>
      </w:r>
      <w:r w:rsidRPr="00191469">
        <w:rPr>
          <w:lang w:val="en-US"/>
        </w:rPr>
        <w:t xml:space="preserve"> and 710 eV for the Fe</w:t>
      </w:r>
      <w:r w:rsidRPr="00191469">
        <w:rPr>
          <w:vertAlign w:val="superscript"/>
          <w:lang w:val="en-US"/>
        </w:rPr>
        <w:t>3+</w:t>
      </w:r>
      <w:r w:rsidRPr="00191469">
        <w:rPr>
          <w:lang w:val="en-US"/>
        </w:rPr>
        <w:t>. In-operando XAS spectroscopy w</w:t>
      </w:r>
      <w:r w:rsidR="00191469">
        <w:rPr>
          <w:lang w:val="en-US"/>
        </w:rPr>
        <w:t>a</w:t>
      </w:r>
      <w:r w:rsidRPr="00191469">
        <w:rPr>
          <w:lang w:val="en-US"/>
        </w:rPr>
        <w:t xml:space="preserve">s performed by applying systematically the sequence of 0, 1, 2, 0, -1, -2 V between the source and drain electrodes. </w:t>
      </w:r>
    </w:p>
    <w:p w14:paraId="64CE2F01" w14:textId="29C9D280" w:rsidR="00D51CB1" w:rsidRDefault="0094392B" w:rsidP="00B21BF5">
      <w:pPr>
        <w:spacing w:line="360" w:lineRule="auto"/>
        <w:jc w:val="both"/>
        <w:rPr>
          <w:color w:val="70AD47" w:themeColor="accent6"/>
          <w:lang w:val="en-US"/>
        </w:rPr>
      </w:pPr>
      <w:r>
        <w:rPr>
          <w:noProof/>
          <w:lang w:val="en-US"/>
        </w:rPr>
        <mc:AlternateContent>
          <mc:Choice Requires="wps">
            <w:drawing>
              <wp:anchor distT="0" distB="0" distL="114300" distR="114300" simplePos="0" relativeHeight="251681792" behindDoc="0" locked="0" layoutInCell="1" allowOverlap="1" wp14:anchorId="575FBF41" wp14:editId="5280D3DE">
                <wp:simplePos x="0" y="0"/>
                <wp:positionH relativeFrom="column">
                  <wp:posOffset>417195</wp:posOffset>
                </wp:positionH>
                <wp:positionV relativeFrom="paragraph">
                  <wp:posOffset>31750</wp:posOffset>
                </wp:positionV>
                <wp:extent cx="5963479" cy="410817"/>
                <wp:effectExtent l="0" t="0" r="0" b="0"/>
                <wp:wrapNone/>
                <wp:docPr id="30" name="Cuadro de texto 30"/>
                <wp:cNvGraphicFramePr/>
                <a:graphic xmlns:a="http://schemas.openxmlformats.org/drawingml/2006/main">
                  <a:graphicData uri="http://schemas.microsoft.com/office/word/2010/wordprocessingShape">
                    <wps:wsp>
                      <wps:cNvSpPr txBox="1"/>
                      <wps:spPr>
                        <a:xfrm>
                          <a:off x="0" y="0"/>
                          <a:ext cx="5963479" cy="410817"/>
                        </a:xfrm>
                        <a:prstGeom prst="rect">
                          <a:avLst/>
                        </a:prstGeom>
                        <a:noFill/>
                        <a:ln w="6350">
                          <a:noFill/>
                        </a:ln>
                      </wps:spPr>
                      <wps:txbx>
                        <w:txbxContent>
                          <w:p w14:paraId="5A1F92C3" w14:textId="478B9339"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b</w:t>
                            </w:r>
                            <w:r w:rsidRPr="0094392B">
                              <w:rPr>
                                <w:rFonts w:ascii="Calibri" w:hAnsi="Calibri" w:cs="Calibri"/>
                              </w:rPr>
                              <w:t xml:space="preserve">) </w:t>
                            </w:r>
                            <w:r>
                              <w:rPr>
                                <w:rFonts w:ascii="Calibri" w:hAnsi="Calibri" w:cs="Calibri"/>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75FBF41" id="Cuadro de texto 30" o:spid="_x0000_s1033" type="#_x0000_t202" style="position:absolute;left:0;text-align:left;margin-left:32.85pt;margin-top:2.5pt;width:469.55pt;height:32.3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" filled="f" stroked="f" strokeweight=".5pt">
                <v:textbox>
                  <w:txbxContent>
                    <w:p w14:paraId="5A1F92C3" w14:textId="478B9339" w:rsidR="0094392B" w:rsidRPr="0094392B" w:rsidRDefault="0094392B" w:rsidP="0094392B">
                      <w:pPr>
                        <w:rPr>
                          <w:rFonts w:ascii="Calibri" w:hAnsi="Calibri" w:cs="Calibri"/>
                        </w:rPr>
                      </w:pP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a</w:t>
                      </w:r>
                      <w:r w:rsidRPr="0094392B">
                        <w:rPr>
                          <w:rFonts w:ascii="Calibri" w:hAnsi="Calibri" w:cs="Calibri"/>
                        </w:rPr>
                        <w:t xml:space="preserve">)          </w:t>
                      </w:r>
                      <w:r>
                        <w:rPr>
                          <w:rFonts w:ascii="Calibri" w:hAnsi="Calibri" w:cs="Calibri"/>
                        </w:rPr>
                        <w:t xml:space="preserve">                                </w:t>
                      </w:r>
                      <w:r w:rsidRPr="0094392B">
                        <w:rPr>
                          <w:rFonts w:ascii="Calibri" w:hAnsi="Calibri" w:cs="Calibri"/>
                        </w:rPr>
                        <w:t xml:space="preserve">            </w:t>
                      </w:r>
                      <w:r>
                        <w:rPr>
                          <w:rFonts w:ascii="Calibri" w:hAnsi="Calibri" w:cs="Calibri"/>
                        </w:rPr>
                        <w:t>b</w:t>
                      </w:r>
                      <w:r w:rsidRPr="0094392B">
                        <w:rPr>
                          <w:rFonts w:ascii="Calibri" w:hAnsi="Calibri" w:cs="Calibri"/>
                        </w:rPr>
                        <w:t xml:space="preserve">) </w:t>
                      </w:r>
                      <w:r>
                        <w:rPr>
                          <w:rFonts w:ascii="Calibri" w:hAnsi="Calibri" w:cs="Calibri"/>
                        </w:rPr>
                        <w:t xml:space="preserve">                                               </w:t>
                      </w:r>
                    </w:p>
                  </w:txbxContent>
                </v:textbox>
              </v:shape>
            </w:pict>
          </mc:Fallback>
        </mc:AlternateContent>
      </w:r>
    </w:p>
    <w:p w14:paraId="37705E24" w14:textId="21A2D62C" w:rsidR="00D62305" w:rsidRPr="001632C4" w:rsidRDefault="007E76B1" w:rsidP="00D51CB1">
      <w:pPr>
        <w:spacing w:line="360" w:lineRule="auto"/>
        <w:jc w:val="center"/>
        <w:rPr>
          <w:lang w:val="en-US"/>
        </w:rPr>
      </w:pPr>
      <w:r w:rsidRPr="001632C4">
        <w:rPr>
          <w:noProof/>
          <w:lang w:val="en-US"/>
        </w:rPr>
        <w:drawing>
          <wp:inline distT="0" distB="0" distL="0" distR="0" wp14:anchorId="29D280F3" wp14:editId="5B865547">
            <wp:extent cx="4033190" cy="1800000"/>
            <wp:effectExtent l="0" t="0" r="5715" b="38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6399" t="17052" r="7623" b="14730"/>
                    <a:stretch/>
                  </pic:blipFill>
                  <pic:spPr bwMode="auto">
                    <a:xfrm>
                      <a:off x="0" y="0"/>
                      <a:ext cx="4033190" cy="1800000"/>
                    </a:xfrm>
                    <a:prstGeom prst="rect">
                      <a:avLst/>
                    </a:prstGeom>
                    <a:ln>
                      <a:noFill/>
                    </a:ln>
                    <a:extLst>
                      <a:ext uri="{53640926-AAD7-44D8-BBD7-CCE9431645EC}">
                        <a14:shadowObscured xmlns:a14="http://schemas.microsoft.com/office/drawing/2010/main"/>
                      </a:ext>
                    </a:extLst>
                  </pic:spPr>
                </pic:pic>
              </a:graphicData>
            </a:graphic>
          </wp:inline>
        </w:drawing>
      </w:r>
    </w:p>
    <w:p w14:paraId="1195F980" w14:textId="192A77BF" w:rsidR="00191469" w:rsidRDefault="00FD5E16" w:rsidP="00191469">
      <w:pPr>
        <w:spacing w:line="276" w:lineRule="auto"/>
        <w:jc w:val="both"/>
        <w:rPr>
          <w:color w:val="FF0000"/>
          <w:lang w:val="en-US"/>
        </w:rPr>
      </w:pPr>
      <w:r w:rsidRPr="001632C4">
        <w:rPr>
          <w:b/>
          <w:bCs/>
          <w:noProof/>
          <w:lang w:val="en-US"/>
        </w:rPr>
        <w:t>Figure S</w:t>
      </w:r>
      <w:r w:rsidR="00FF7ACE" w:rsidRPr="001632C4">
        <w:rPr>
          <w:b/>
          <w:bCs/>
          <w:noProof/>
          <w:lang w:val="en-US"/>
        </w:rPr>
        <w:t>2</w:t>
      </w:r>
      <w:r w:rsidR="00F4621A">
        <w:rPr>
          <w:b/>
          <w:bCs/>
          <w:noProof/>
          <w:lang w:val="en-US"/>
        </w:rPr>
        <w:t>2</w:t>
      </w:r>
      <w:r w:rsidRPr="001632C4">
        <w:rPr>
          <w:b/>
          <w:bCs/>
          <w:noProof/>
          <w:lang w:val="en-US"/>
        </w:rPr>
        <w:t>.</w:t>
      </w:r>
      <w:r w:rsidRPr="001632C4">
        <w:rPr>
          <w:color w:val="FF0000"/>
          <w:lang w:val="en-US"/>
        </w:rPr>
        <w:t xml:space="preserve"> </w:t>
      </w:r>
      <w:r w:rsidRPr="001632C4">
        <w:rPr>
          <w:b/>
          <w:bCs/>
          <w:lang w:val="en-US"/>
        </w:rPr>
        <w:t xml:space="preserve">Evolution of the X-ray absorption spectra. </w:t>
      </w:r>
      <w:r w:rsidR="00191469" w:rsidRPr="00191469">
        <w:rPr>
          <w:b/>
          <w:bCs/>
          <w:lang w:val="en-US"/>
        </w:rPr>
        <w:t>(a)</w:t>
      </w:r>
      <w:r w:rsidR="00191469" w:rsidRPr="00191469">
        <w:rPr>
          <w:lang w:val="en-US"/>
        </w:rPr>
        <w:t xml:space="preserve"> Local XAS spectra integrated in the circle where the FcC</w:t>
      </w:r>
      <w:r w:rsidR="00191469" w:rsidRPr="00191469">
        <w:rPr>
          <w:vertAlign w:val="subscript"/>
          <w:lang w:val="en-US"/>
        </w:rPr>
        <w:t>11</w:t>
      </w:r>
      <w:r w:rsidR="00191469" w:rsidRPr="00191469">
        <w:rPr>
          <w:lang w:val="en-US"/>
        </w:rPr>
        <w:t>SH are placed</w:t>
      </w:r>
      <w:r w:rsidR="00191469" w:rsidRPr="00191469">
        <w:rPr>
          <w:b/>
          <w:bCs/>
          <w:lang w:val="en-US"/>
        </w:rPr>
        <w:t xml:space="preserve"> </w:t>
      </w:r>
      <w:r w:rsidRPr="00191469">
        <w:rPr>
          <w:b/>
          <w:bCs/>
          <w:lang w:val="en-US"/>
        </w:rPr>
        <w:t>(</w:t>
      </w:r>
      <w:r w:rsidR="00191469" w:rsidRPr="00191469">
        <w:rPr>
          <w:b/>
          <w:bCs/>
          <w:lang w:val="en-US"/>
        </w:rPr>
        <w:t>b</w:t>
      </w:r>
      <w:r w:rsidRPr="00191469">
        <w:rPr>
          <w:b/>
          <w:bCs/>
          <w:lang w:val="en-US"/>
        </w:rPr>
        <w:t>)</w:t>
      </w:r>
      <w:r w:rsidRPr="00191469">
        <w:rPr>
          <w:lang w:val="en-US"/>
        </w:rPr>
        <w:t xml:space="preserve"> XAS-PEEM micrograph of the </w:t>
      </w:r>
      <w:r w:rsidR="002821C3" w:rsidRPr="00191469">
        <w:rPr>
          <w:lang w:val="en-US"/>
        </w:rPr>
        <w:t>m-GFET</w:t>
      </w:r>
      <w:r w:rsidRPr="00191469">
        <w:rPr>
          <w:lang w:val="en-US"/>
        </w:rPr>
        <w:t xml:space="preserve"> electrode at the photon energy Fe L3 edge at room temperature. Field of </w:t>
      </w:r>
      <w:r w:rsidR="00E81DC0">
        <w:rPr>
          <w:lang w:val="en-US"/>
        </w:rPr>
        <w:t>v</w:t>
      </w:r>
      <w:r w:rsidRPr="00191469">
        <w:rPr>
          <w:lang w:val="en-US"/>
        </w:rPr>
        <w:t xml:space="preserve">iew </w:t>
      </w:r>
      <w:r w:rsidR="00E81DC0">
        <w:rPr>
          <w:lang w:val="en-US"/>
        </w:rPr>
        <w:t xml:space="preserve">is </w:t>
      </w:r>
      <w:r w:rsidRPr="00191469">
        <w:rPr>
          <w:lang w:val="en-US"/>
        </w:rPr>
        <w:t xml:space="preserve">20 </w:t>
      </w:r>
      <w:r w:rsidR="00191469" w:rsidRPr="00191469">
        <w:rPr>
          <w:lang w:val="en-US"/>
        </w:rPr>
        <w:t>µ</w:t>
      </w:r>
      <w:r w:rsidRPr="00191469">
        <w:rPr>
          <w:lang w:val="en-US"/>
        </w:rPr>
        <w:t xml:space="preserve">m. </w:t>
      </w:r>
    </w:p>
    <w:p w14:paraId="587B7C41" w14:textId="028A601D" w:rsidR="00214BDA" w:rsidRPr="001632C4" w:rsidRDefault="00214BDA" w:rsidP="00191469">
      <w:pPr>
        <w:spacing w:line="276" w:lineRule="auto"/>
        <w:jc w:val="both"/>
        <w:rPr>
          <w:bCs/>
          <w:lang w:val="en-US"/>
        </w:rPr>
      </w:pPr>
      <w:r w:rsidRPr="001632C4">
        <w:rPr>
          <w:bCs/>
          <w:lang w:val="en-US"/>
        </w:rPr>
        <w:br w:type="page"/>
      </w:r>
    </w:p>
    <w:p w14:paraId="171B9358" w14:textId="4C87DBC4" w:rsidR="0033602E" w:rsidRPr="006D652D" w:rsidRDefault="00FD5E16" w:rsidP="006D652D">
      <w:pPr>
        <w:pStyle w:val="Ttulo1"/>
        <w:rPr>
          <w:rFonts w:ascii="Times New Roman" w:hAnsi="Times New Roman" w:cs="Times New Roman"/>
          <w:color w:val="auto"/>
          <w:sz w:val="28"/>
          <w:szCs w:val="28"/>
        </w:rPr>
      </w:pPr>
      <w:bookmarkStart w:id="18" w:name="_Toc104545480"/>
      <w:bookmarkStart w:id="19" w:name="_Toc104545498"/>
      <w:r w:rsidRPr="006D652D">
        <w:rPr>
          <w:rFonts w:ascii="Times New Roman" w:hAnsi="Times New Roman" w:cs="Times New Roman"/>
          <w:color w:val="auto"/>
          <w:sz w:val="28"/>
          <w:szCs w:val="28"/>
        </w:rPr>
        <w:lastRenderedPageBreak/>
        <w:t>Note 1</w:t>
      </w:r>
      <w:r w:rsidR="00214BDA" w:rsidRPr="006D652D">
        <w:rPr>
          <w:rFonts w:ascii="Times New Roman" w:hAnsi="Times New Roman" w:cs="Times New Roman"/>
          <w:color w:val="auto"/>
          <w:sz w:val="28"/>
          <w:szCs w:val="28"/>
        </w:rPr>
        <w:t>0</w:t>
      </w:r>
      <w:r w:rsidRPr="006D652D">
        <w:rPr>
          <w:rFonts w:ascii="Times New Roman" w:hAnsi="Times New Roman" w:cs="Times New Roman"/>
          <w:color w:val="auto"/>
          <w:sz w:val="28"/>
          <w:szCs w:val="28"/>
        </w:rPr>
        <w:t>. Photo response</w:t>
      </w:r>
      <w:bookmarkEnd w:id="18"/>
      <w:bookmarkEnd w:id="19"/>
    </w:p>
    <w:p w14:paraId="3A1FF09A" w14:textId="77777777" w:rsidR="0009564B" w:rsidRDefault="0009564B" w:rsidP="0009564B">
      <w:pPr>
        <w:rPr>
          <w:lang w:val="en-US"/>
        </w:rPr>
      </w:pPr>
    </w:p>
    <w:p w14:paraId="60AA42AA" w14:textId="5836CD13" w:rsidR="0009564B" w:rsidRDefault="0009564B" w:rsidP="00B21BF5">
      <w:pPr>
        <w:spacing w:line="360" w:lineRule="auto"/>
        <w:jc w:val="both"/>
        <w:rPr>
          <w:lang w:val="en-US"/>
        </w:rPr>
      </w:pPr>
      <w:r w:rsidRPr="001632C4">
        <w:rPr>
          <w:lang w:val="en-US"/>
        </w:rPr>
        <w:t xml:space="preserve">Note that </w:t>
      </w:r>
      <w:r w:rsidR="00E81DC0">
        <w:rPr>
          <w:lang w:val="en-US"/>
        </w:rPr>
        <w:t xml:space="preserve">the </w:t>
      </w:r>
      <w:r w:rsidRPr="001632C4">
        <w:rPr>
          <w:lang w:val="en-US"/>
        </w:rPr>
        <w:t>ferrocene redox couple has been used for high-efficiency dye-sensitized solar cells</w:t>
      </w:r>
      <w:r w:rsidR="00A90A70">
        <w:rPr>
          <w:rStyle w:val="Refdenotaalpie"/>
          <w:lang w:val="en-US"/>
        </w:rPr>
        <w:fldChar w:fldCharType="begin" w:fldLock="1"/>
      </w:r>
      <w:r w:rsidR="00882E2D">
        <w:rPr>
          <w:lang w:val="en-US"/>
        </w:rPr>
        <w:instrText>ADDIN CSL_CITATION {"citationItems":[{"id":"ITEM-1","itemData":{"DOI":"10.1038/nchem.966","ISSN":"17554330","abstract":"Dye-sensitized solar cells based on iodide/triiodide (I-/I 3-) electrolytes are viable low-cost alternatives to conventional silicon solar cells. However, as well as providing record efficiencies of up to 12.0%, the use of I-/I3- in such solar cells also brings about certain limitations that stem from its corrosive nature and complex two-electron redox chemistry. Alternative redox mediators have been investigated, but these generally fall well short of matching the performance of conventional I-/I3- electrolytes. Here, we report energy conversion efficiencies of 7.5% (simulated sunlight, AM1.5, 1,000 W m-2) for dye-sensitized solar cells combining the archetypal ferrocene/ferrocenium (Fc/Fc+) single-electron redox couple with a novel metal-free organic donor-acceptor sensitizer (Carbz-PAHTDTT). These Fc/Fc+-based devices exceed the efficiency achieved for devices prepared using I-/I3- electrolytes under comparable conditions, revealing the great potential of ferrocene-based electrolytes in future dye-sensitized solar cells applications. This improvement results from a more favourable matching of the redox potential of the ferrocene couple with that of the new donor-acceptor sensitizer. © 2011 Macmillan Publishers Limited. All rights reserved.","author":[{"dropping-particle":"","family":"Daeneke","given":"Torben","non-dropping-particle":"","parse-names":false,"suffix":""},{"dropping-particle":"","family":"Kwon","given":"Tae Hyuk","non-dropping-particle":"","parse-names":false,"suffix":""},{"dropping-particle":"","family":"Holmes","given":"Andrew B.","non-dropping-particle":"","parse-names":false,"suffix":""},{"dropping-particle":"","family":"Duffy","given":"Noel W.","non-dropping-particle":"","parse-names":false,"suffix":""},{"dropping-particle":"","family":"Bach","given":"Udo","non-dropping-particle":"","parse-names":false,"suffix":""},{"dropping-particle":"","family":"Spiccia","given":"Leone","non-dropping-particle":"","parse-names":false,"suffix":""}],"container-title":"Nature Chemistry","id":"ITEM-1","issue":"3","issued":{"date-parts":[["2011"]]},"page":"211-215","publisher":"Nature Publishing Group","title":"High-efficiency dye-sensitized solar cells with ferrocene-based electrolytes","type":"article-journal","volume":"3"},"uris":["http://www.mendeley.com/documents/?uuid=306ac719-fa1e-4750-a1fe-1aa64c0d81c1"]}],"mendeley":{"formattedCitation":"&lt;sup&gt;23&lt;/sup&gt;","plainTextFormattedCitation":"23","previouslyFormattedCitation":"&lt;sup&gt;23&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23</w:t>
      </w:r>
      <w:r w:rsidR="00A90A70">
        <w:rPr>
          <w:rStyle w:val="Refdenotaalpie"/>
          <w:lang w:val="en-US"/>
        </w:rPr>
        <w:fldChar w:fldCharType="end"/>
      </w:r>
      <w:r w:rsidRPr="001632C4">
        <w:rPr>
          <w:lang w:val="en-US"/>
        </w:rPr>
        <w:t xml:space="preserve"> due to differences between the electron and hole transfer times (</w:t>
      </w:r>
      <w:proofErr w:type="spellStart"/>
      <w:r w:rsidRPr="001632C4">
        <w:rPr>
          <w:lang w:val="en-US"/>
        </w:rPr>
        <w:t>ps</w:t>
      </w:r>
      <w:proofErr w:type="spellEnd"/>
      <w:r w:rsidRPr="001632C4">
        <w:rPr>
          <w:lang w:val="en-US"/>
        </w:rPr>
        <w:t xml:space="preserve"> and ns respectively)</w:t>
      </w:r>
      <w:r w:rsidR="00A90A70">
        <w:rPr>
          <w:rStyle w:val="Refdenotaalpie"/>
          <w:lang w:val="en-US"/>
        </w:rPr>
        <w:fldChar w:fldCharType="begin" w:fldLock="1"/>
      </w:r>
      <w:r w:rsidR="00882E2D">
        <w:rPr>
          <w:lang w:val="en-US"/>
        </w:rPr>
        <w:instrText>ADDIN CSL_CITATION {"citationItems":[{"id":"ITEM-1","itemData":{"DOI":"10.1021/acs.chemrev.6b00807","ISSN":"15206890","PMID":"28805062","abstract":"Electrons are the workhorses of solar energy conversion. Conversion of the energy of light to electricity in photovoltaics, or to energy-rich molecules (solar fuel) through photocatalytic processes, invariably starts with photoinduced generation of energy-rich electrons. The harvesting of these electrons in practical devices rests on a series of electron transfer processes whose dynamics and efficiencies determine the function of materials and devices. To capture the energy of a photogenerated electron-hole pair in a solar cell material, charges of opposite sign have to be separated against electrostatic attractions, prevented from recombining and being transported through the active material to electrodes where they can be extracted. In photocatalytic solar fuel production, these electron processes are coupled to chemical reactions leading to storage of the energy of light in chemical bonds. With the focus on the ultrafast time scale, we here discuss the light-induced electron processes underlying the function of several molecular and hybrid materials currently under development for solar energy applications in dye or quantum dot-sensitized solar cells, polymer-fullerene polymer solar cells, organometal halide perovskite solar cells, and finally some photocatalytic systems.","author":[{"dropping-particle":"","family":"Ponseca","given":"Carlito S.","non-dropping-particle":"","parse-names":false,"suffix":""},{"dropping-particle":"","family":"Chábera","given":"Pavel","non-dropping-particle":"","parse-names":false,"suffix":""},{"dropping-particle":"","family":"Uhlig","given":"Jens","non-dropping-particle":"","parse-names":false,"suffix":""},{"dropping-particle":"","family":"Persson","given":"Petter","non-dropping-particle":"","parse-names":false,"suffix":""},{"dropping-particle":"","family":"Sundström","given":"Villy","non-dropping-particle":"","parse-names":false,"suffix":""}],"container-title":"Chemical Reviews","id":"ITEM-1","issue":"16","issued":{"date-parts":[["2017"]]},"page":"10940-11024","title":"Ultrafast Electron Dynamics in Solar Energy Conversion","type":"article-journal","volume":"117"},"uris":["http://www.mendeley.com/documents/?uuid=40eae1df-2756-4b38-a01e-ef21b363da41"]}],"mendeley":{"formattedCitation":"&lt;sup&gt;24&lt;/sup&gt;","plainTextFormattedCitation":"24","previouslyFormattedCitation":"&lt;sup&gt;24&lt;/sup&gt;"},"properties":{"noteIndex":0},"schema":"https://github.com/citation-style-language/schema/raw/master/csl-citation.json"}</w:instrText>
      </w:r>
      <w:r w:rsidR="00A90A70">
        <w:rPr>
          <w:rStyle w:val="Refdenotaalpie"/>
          <w:lang w:val="en-US"/>
        </w:rPr>
        <w:fldChar w:fldCharType="separate"/>
      </w:r>
      <w:r w:rsidR="00882E2D" w:rsidRPr="00882E2D">
        <w:rPr>
          <w:noProof/>
          <w:vertAlign w:val="superscript"/>
          <w:lang w:val="en-US"/>
        </w:rPr>
        <w:t>24</w:t>
      </w:r>
      <w:r w:rsidR="00A90A70">
        <w:rPr>
          <w:rStyle w:val="Refdenotaalpie"/>
          <w:lang w:val="en-US"/>
        </w:rPr>
        <w:fldChar w:fldCharType="end"/>
      </w:r>
      <w:r w:rsidRPr="001632C4">
        <w:rPr>
          <w:lang w:val="en-US"/>
        </w:rPr>
        <w:t>. In contrast to ionic liquid configuration</w:t>
      </w:r>
      <w:r w:rsidR="00A90A70">
        <w:rPr>
          <w:rStyle w:val="Refdenotaalpie"/>
          <w:lang w:val="en-US"/>
        </w:rPr>
        <w:fldChar w:fldCharType="begin" w:fldLock="1"/>
      </w:r>
      <w:r w:rsidR="00882E2D">
        <w:rPr>
          <w:lang w:val="en-US"/>
        </w:rPr>
        <w:instrText xml:space="preserve">ADDIN CSL_CITATION {"citationItems":[{"id":"ITEM-1","itemData":{"DOI":"10.1126/sciadv.aat8237","ISSN":"23752548","abstract":"Molecular transistors operating in the quantum tunneling regime represent potential electronic building blocks for future integrated circuits. However, due to their complex fabrication processes and poor stability, traditional molecular transistors can only operate stably at cryogenic temperatures. Here, through a combined experimental and theoretical investigation, we demonstrate a new design of vertical molecular tunneling transistors, with stable switchingoperations uptoroomtemperature, formed from cross-planegraphene/self-assembledmonolayer (SAM)/gold heterostructures. We show that vertical molecular junctions formed from pseudo-p-bis((4-(acetylthio)phenyl)ethynyl)-p-[2,2]cyclophane (PCP) SAMs exhibit destructive quantum interference (QI) effects, which are absent in 1,4-bis(((4-acetylthio)phenyl)ethynyl)benzene (OPE3) SAMs. Consequently, the zero-bias differential conductance of the former is only about 2% of the latter, resulting in an enhanced on-off current ratio for (PCP) SAMs. Field-effect control is achieved using an ionic liquid gate,whose strong vertical electric field penetratesthroughthe graphene layer andtunesthe energy levels of the SAMs. The resulting on-off current ratio achieved in PCP SAMs can reach up to </w:instrText>
      </w:r>
      <w:r w:rsidR="00882E2D">
        <w:rPr>
          <w:rFonts w:ascii="Cambria Math" w:hAnsi="Cambria Math" w:cs="Cambria Math"/>
          <w:lang w:val="en-US"/>
        </w:rPr>
        <w:instrText>∼</w:instrText>
      </w:r>
      <w:r w:rsidR="00882E2D">
        <w:rPr>
          <w:lang w:val="en-US"/>
        </w:rPr>
        <w:instrText>330, about one order of magnitude higher than that of OPE3 SAMs. The demonstration of molecular junctions with combined QI effect and gate tunability represents a critical step toward functional devices in future molecular-scale electronics.","author":[{"dropping-particle":"","family":"Jia","given":"Chuancheng","non-dropping-particle":"","parse-names":false,"suffix":""},{"dropping-particle":"","family":"Famili","given":"Marjan","non-dropping-particle":"","parse-names":false,"suffix":""},{"dropping-particle":"","family":"Carlotti","given":"Marco","non-dropping-particle":"","parse-names":false,"suffix":""},{"dropping-particle":"","family":"Liu","given":"Yuan","non-dropping-particle":"","parse-names":false,"suffix":""},{"dropping-particle":"","family":"Wang","given":"Peiqi","non-dropping-particle":"","parse-names":false,"suffix":""},{"dropping-particle":"","family":"Grace","given":"Iain M.","non-dropping-particle":"","parse-names":false,"suffix":""},{"dropping-particle":"","family":"Feng","given":"Ziying","non-dropping-particle":"","parse-names":false,"suffix":""},{"dropping-particle":"","family":"Wang","given":"Yiliu","non-dropping-particle":"","parse-names":false,"suffix":""},{"dropping-particle":"","family":"Zhao","given":"Zipeng","non-dropping-particle":"","parse-names":false,"suffix":""},{"dropping-particle":"","family":"Ding","given":"Mengning","non-dropping-particle":"","parse-names":false,"suffix":""},{"dropping-particle":"","family":"Xu","given":"Xiang","non-dropping-particle":"","parse-names":false,"suffix":""},{"dropping-particle":"","family":"Wang","given":"Chen","non-dropping-particle":"","parse-names":false,"suffix":""},{"dropping-particle":"","family":"Lee","given":"Sung Joon","non-dropping-particle":"","parse-names":false,"suffix":""},{"dropping-particle":"","family":"Huang","given":"Yu","non-dropping-particle":"","parse-names":false,"suffix":""},{"dropping-particle":"","family":"Chiechi","given":"Ryan C.","non-dropping-particle":"","parse-names":false,"suffix":""},{"dropping-particle":"","family":"Lambert","given":"Colin J.","non-dropping-particle":"","parse-names":false,"suffix":""},{"dropping-particle":"","family":"Duan","given":"Xiangfeng","non-dropping-particle":"","parse-names":false,"suffix":""}],"container-title":"Science Advances","id":"ITEM-1","issue":"10","issued":{"date-parts":[["2018","10","12"]]},"page":"eaat8237","publisher":"American Association for the Advancement of Science","title":"Quantum interference mediated vertical molecular tunneling transistors","type":"article-journal","volume":"4"},"uris":["http://www.mendeley.com/documents/?uuid=c7666b9c-8e71-4559-84ea-d85d952c20d4"]}],"mendeley":{"formattedCitation":"&lt;sup&gt;25&lt;/sup&gt;","plainTextFormattedCitation":"25","previouslyFormattedCitation":"&lt;sup&gt;25&lt;/sup&gt;"},"properties":{"noteIndex":0},"schema":"https://github.com/citation-style-language/schema/raw/master/csl-citation.json"}</w:instrText>
      </w:r>
      <w:r w:rsidR="00A90A70">
        <w:rPr>
          <w:rStyle w:val="Refdenotaalpie"/>
          <w:lang w:val="en-US"/>
        </w:rPr>
        <w:fldChar w:fldCharType="separate"/>
      </w:r>
      <w:r w:rsidR="00882E2D" w:rsidRPr="00882E2D">
        <w:rPr>
          <w:bCs/>
          <w:noProof/>
          <w:vertAlign w:val="superscript"/>
          <w:lang w:val="en-US"/>
        </w:rPr>
        <w:t>25</w:t>
      </w:r>
      <w:r w:rsidR="00A90A70">
        <w:rPr>
          <w:rStyle w:val="Refdenotaalpie"/>
          <w:lang w:val="en-US"/>
        </w:rPr>
        <w:fldChar w:fldCharType="end"/>
      </w:r>
      <w:r w:rsidRPr="001632C4">
        <w:rPr>
          <w:lang w:val="en-US"/>
        </w:rPr>
        <w:t>, the backgated joint with the  graphene transparency permits not only operando characterization but</w:t>
      </w:r>
      <w:r w:rsidR="00E81DC0">
        <w:rPr>
          <w:lang w:val="en-US"/>
        </w:rPr>
        <w:t xml:space="preserve"> also to use</w:t>
      </w:r>
      <w:r w:rsidRPr="001632C4">
        <w:rPr>
          <w:lang w:val="en-US"/>
        </w:rPr>
        <w:t xml:space="preserve"> light </w:t>
      </w:r>
      <w:r w:rsidR="00E81DC0">
        <w:rPr>
          <w:lang w:val="en-US"/>
        </w:rPr>
        <w:t xml:space="preserve">as an </w:t>
      </w:r>
      <w:r w:rsidRPr="001632C4">
        <w:rPr>
          <w:lang w:val="en-US"/>
        </w:rPr>
        <w:t>extra gat</w:t>
      </w:r>
      <w:r w:rsidR="00E81DC0">
        <w:rPr>
          <w:lang w:val="en-US"/>
        </w:rPr>
        <w:t xml:space="preserve">eway for external stimuli for </w:t>
      </w:r>
      <w:r w:rsidRPr="001632C4">
        <w:rPr>
          <w:lang w:val="en-US"/>
        </w:rPr>
        <w:t>accessing to the molecular functionality of the device</w:t>
      </w:r>
      <w:r w:rsidR="00797B20">
        <w:rPr>
          <w:lang w:val="en-US"/>
        </w:rPr>
        <w:fldChar w:fldCharType="begin" w:fldLock="1"/>
      </w:r>
      <w:r w:rsidR="00797B20">
        <w:rPr>
          <w:lang w:val="en-US"/>
        </w:rPr>
        <w:instrText>ADDIN CSL_CITATION {"citationItems":[{"id":"ITEM-1","itemData":{"DOI":"10.1038/s42254-019-0022-x","abstract":"Over the past two decades, various techniques for fabricating nano-gapped electrodes have emerged, promoting rapid development in the field of single-molecule electronics, on both the experimental and theoretical sides. To investigate intrinsic quantum phenomena and achieve desired functionalities, it is important to fully understand the charge transport characteristics of single-molecule devices. In this Review, we present the principles that have been developed for fabricating reliable molecular junctions and tuning their intrinsic properties from an engineering perspective. Through holistic consideration of the device structure, we divide single-molecule junctions into three intercorrelated components: the electrode, the contact (spacer–linker) interface and the molecular backbone or functional centre. We systematically discuss the selection of the electrode material and the design of the molecular components from the point of view of the materials, the interface and molecular engineering. The influence of the properties of these elements on the molecule–electrode interface coupling and on the relative energy gap between the Fermi level of the electrode and the orbital energy levels of the molecule, which directly influence the charge transport behaviour of single-molecule devices, is also a focus of our analysis. On the basis of these considerations, we examine various functionalities demonstrated in molecular junctions through molecular design and engineering.","author":[{"dropping-particle":"","family":"Xin","given":"Na","non-dropping-particle":"","parse-names":false,"suffix":""},{"dropping-particle":"","family":"Guan","given":"Jianxin","non-dropping-particle":"","parse-names":false,"suffix":""},{"dropping-particle":"","family":"Zhou","given":"Chenguang","non-dropping-particle":"","parse-names":false,"suffix":""},{"dropping-particle":"","family":"Chen","given":"Xinjiani","non-dropping-particle":"","parse-names":false,"suffix":""},{"dropping-particle":"","family":"Gu","given":"Chunhui","non-dropping-particle":"","parse-names":false,"suffix":""},{"dropping-particle":"","family":"Li","given":"Yu","non-dropping-particle":"","parse-names":false,"suffix":""},{"dropping-particle":"","family":"Ratner","given":"Mark A.","non-dropping-particle":"","parse-names":false,"suffix":""},{"dropping-particle":"","family":"Nitzan","given":"Abraham","non-dropping-particle":"","parse-names":false,"suffix":""},{"dropping-particle":"","family":"Stoddart","given":"J. Fraser","non-dropping-particle":"","parse-names":false,"suffix":""},{"dropping-particle":"","family":"Guo","given":"Xuefeng","non-dropping-particle":"","parse-names":false,"suffix":""}],"container-title":"Nature Reviews Physics","id":"ITEM-1","issue":"3","issued":{"date-parts":[["2019"]]},"page":"211-230","title":"Concepts in the design and engineering of single-molecule electronic devices","type":"article-journal","volume":"1"},"uris":["http://www.mendeley.com/documents/?uuid=8c549d9f-6877-4a01-810b-c19057c434f8"]}],"mendeley":{"formattedCitation":"&lt;sup&gt;26&lt;/sup&gt;","plainTextFormattedCitation":"26"},"properties":{"noteIndex":0},"schema":"https://github.com/citation-style-language/schema/raw/master/csl-citation.json"}</w:instrText>
      </w:r>
      <w:r w:rsidR="00797B20">
        <w:rPr>
          <w:lang w:val="en-US"/>
        </w:rPr>
        <w:fldChar w:fldCharType="separate"/>
      </w:r>
      <w:r w:rsidR="00797B20" w:rsidRPr="00797B20">
        <w:rPr>
          <w:noProof/>
          <w:vertAlign w:val="superscript"/>
          <w:lang w:val="en-US"/>
        </w:rPr>
        <w:t>26</w:t>
      </w:r>
      <w:r w:rsidR="00797B20">
        <w:rPr>
          <w:lang w:val="en-US"/>
        </w:rPr>
        <w:fldChar w:fldCharType="end"/>
      </w:r>
      <w:r w:rsidRPr="001632C4">
        <w:rPr>
          <w:lang w:val="en-US"/>
        </w:rPr>
        <w:t xml:space="preserve">. </w:t>
      </w:r>
      <w:r w:rsidR="00002FB3">
        <w:rPr>
          <w:lang w:val="en-US"/>
        </w:rPr>
        <w:t>This ambipolar conductivity based on the ferrocenium stability</w:t>
      </w:r>
      <w:r w:rsidR="00A90A70">
        <w:rPr>
          <w:rStyle w:val="Refdenotaalpie"/>
          <w:i/>
          <w:iCs/>
          <w:lang w:val="en-US"/>
        </w:rPr>
        <w:fldChar w:fldCharType="begin" w:fldLock="1"/>
      </w:r>
      <w:r w:rsidR="00797B20">
        <w:rPr>
          <w:iCs/>
          <w:lang w:val="en-US"/>
        </w:rPr>
        <w:instrText>ADDIN CSL_CITATION {"citationItems":[{"id":"ITEM-1","itemData":{"DOI":"10.1021/ja500936n","ISSN":"15205126","abstract":"Hole transfer between a CdSe/CdS core/shell semiconductor nanorod and a surface-ligated alkyl ferrocene is investigated by a combination of ab initio quantum chemistry calculations and electrochemical and time-resolved photoluminescence measurements. The calculated driving force for hole transfer corresponds well with electrochemical measurements of nanorods partially ligated by 6-ferrocenylhexanethiolate. The calculations and the experiments suggest that single step hole transfer from the valence band to ferrocene is in the Marcus inverted region. Additionally, time-resolved photoluminescence data suggest that two-step hole transfer to ferrocene mediated by a deep trap state is unlikely. However, the calculations also suggest that shallow surface states of the CdS shell could play a significant role in mediating hole transfer as long as their energies are close enough to the nanorod highest occupied molecular orbital energy. Regardless of the detailed mechanism of hole transfer, our results suggest that holes may be extracted more efficiently from well-passivated nanocrystals by reducing the energetic driving force for hole transfer, thus minimizing energetic losses. © 2014 American Chemical Society.","author":[{"dropping-particle":"","family":"Tarafder","given":"Kartick","non-dropping-particle":"","parse-names":false,"suffix":""},{"dropping-particle":"","family":"Surendranath","given":"Yogesh","non-dropping-particle":"","parse-names":false,"suffix":""},{"dropping-particle":"","family":"Olshansky","given":"Jacob H.","non-dropping-particle":"","parse-names":false,"suffix":""},{"dropping-particle":"","family":"Alivisatos","given":"A. Paul","non-dropping-particle":"","parse-names":false,"suffix":""},{"dropping-particle":"","family":"Wang","given":"Lin Wang","non-dropping-particle":"","parse-names":false,"suffix":""}],"container-title":"Journal of the American Chemical Society","id":"ITEM-1","issue":"13","issued":{"date-parts":[["2014"]]},"page":"5121-5131","title":"Hole transfer dynamics from a CdSe/CdS quantum rod to a tethered ferrocene derivative","type":"article-journal","volume":"136"},"uris":["http://www.mendeley.com/documents/?uuid=a1391687-b69e-4852-99c0-7e47d92bc648"]}],"mendeley":{"formattedCitation":"&lt;sup&gt;27&lt;/sup&gt;","plainTextFormattedCitation":"27","previouslyFormattedCitation":"&lt;sup&gt;28&lt;/sup&gt;"},"properties":{"noteIndex":0},"schema":"https://github.com/citation-style-language/schema/raw/master/csl-citation.json"}</w:instrText>
      </w:r>
      <w:r w:rsidR="00A90A70">
        <w:rPr>
          <w:rStyle w:val="Refdenotaalpie"/>
          <w:i/>
          <w:iCs/>
          <w:lang w:val="en-US"/>
        </w:rPr>
        <w:fldChar w:fldCharType="separate"/>
      </w:r>
      <w:r w:rsidR="00797B20" w:rsidRPr="00797B20">
        <w:rPr>
          <w:iCs/>
          <w:noProof/>
          <w:vertAlign w:val="superscript"/>
          <w:lang w:val="en-US"/>
        </w:rPr>
        <w:t>27</w:t>
      </w:r>
      <w:r w:rsidR="00A90A70">
        <w:rPr>
          <w:rStyle w:val="Refdenotaalpie"/>
          <w:i/>
          <w:iCs/>
          <w:lang w:val="en-US"/>
        </w:rPr>
        <w:fldChar w:fldCharType="end"/>
      </w:r>
      <w:r w:rsidRPr="001632C4">
        <w:rPr>
          <w:lang w:val="en-US"/>
        </w:rPr>
        <w:t xml:space="preserve"> </w:t>
      </w:r>
      <w:r w:rsidR="00002FB3" w:rsidRPr="001632C4">
        <w:rPr>
          <w:lang w:val="en-US"/>
        </w:rPr>
        <w:t>can be understood in terms of ferrocene based redox switch</w:t>
      </w:r>
      <w:r w:rsidR="00A90A70">
        <w:rPr>
          <w:rStyle w:val="Refdenotaalpie"/>
          <w:lang w:val="en-US"/>
        </w:rPr>
        <w:fldChar w:fldCharType="begin" w:fldLock="1"/>
      </w:r>
      <w:r w:rsidR="00797B20">
        <w:rPr>
          <w:lang w:val="en-US"/>
        </w:rPr>
        <w:instrText>ADDIN CSL_CITATION {"citationItems":[{"id":"ITEM-1","itemData":{"DOI":"10.1007/s40828-020-00119-6","ISBN":"0123456789","ISSN":"21993793","abstract":"Abstract: Woodward and co-workers in 1952 characterised the unique structural features of ferrocene (the first sandwich compound), demonstrated its aromatic nature and observed that on treatment with mild oxidising agents (aqueous Ag2SO4, p-benzoquinone in organic solvents) the orange solution of ferrocene (Fc) turned blue due to the formation of ferrocenium (Fc+). A few months later, the one-electron Fc/Fc+ redox change was characterised polarographically by Page and Wilkinson with E1/2 = 0.31 V vs SCE (0.56 V vs NHE) in ethanol/water 9:1. Since then ferrocene has become an icon of organometallic electrochemistry. Owing to the stability of its molecular framework, to the ease of functionalisation at the cyclopentadienyl rings and to the fast, reversible and kinetically uncomplicated Fc/Fc+ redox change, ferrocene has been used as a building block for the design of switchable functional systems. In this review, we will consider (1) electrochemical sensors for metal ions, anions and metal–anion pairs operating through the Fc/Fc+ redox change, (2) ferrocene-based redox switches of fluorescence and (3) cross-transport of electrons and anions through a liquid membrane mediated by lipophilic ferrocene derivatives. Graphic abstract: [Figure not available: see fulltext.].","author":[{"dropping-particle":"","family":"Fabbrizzi","given":"Luigi","non-dropping-particle":"","parse-names":false,"suffix":""}],"container-title":"ChemTexts","id":"ITEM-1","issue":"4","issued":{"date-parts":[["2020"]]},"page":"1-20","publisher":"Springer International Publishing","title":"The ferrocenium/ferrocene couple: a versatile redox switch","type":"article-journal","volume":"6"},"uris":["http://www.mendeley.com/documents/?uuid=a3ffa9e5-7b17-4564-bea6-f4b849ed70d2"]}],"mendeley":{"formattedCitation":"&lt;sup&gt;28&lt;/sup&gt;","plainTextFormattedCitation":"28","previouslyFormattedCitation":"&lt;sup&gt;29&lt;/sup&gt;"},"properties":{"noteIndex":0},"schema":"https://github.com/citation-style-language/schema/raw/master/csl-citation.json"}</w:instrText>
      </w:r>
      <w:r w:rsidR="00A90A70">
        <w:rPr>
          <w:rStyle w:val="Refdenotaalpie"/>
          <w:lang w:val="en-US"/>
        </w:rPr>
        <w:fldChar w:fldCharType="separate"/>
      </w:r>
      <w:r w:rsidR="00797B20" w:rsidRPr="00797B20">
        <w:rPr>
          <w:bCs/>
          <w:noProof/>
          <w:vertAlign w:val="superscript"/>
        </w:rPr>
        <w:t>28</w:t>
      </w:r>
      <w:r w:rsidR="00A90A70">
        <w:rPr>
          <w:rStyle w:val="Refdenotaalpie"/>
          <w:lang w:val="en-US"/>
        </w:rPr>
        <w:fldChar w:fldCharType="end"/>
      </w:r>
      <w:r w:rsidR="00002FB3" w:rsidRPr="001632C4">
        <w:rPr>
          <w:lang w:val="en-US"/>
        </w:rPr>
        <w:t xml:space="preserve">. </w:t>
      </w:r>
      <w:r w:rsidR="00002FB3">
        <w:rPr>
          <w:lang w:val="en-US"/>
        </w:rPr>
        <w:t xml:space="preserve"> </w:t>
      </w:r>
    </w:p>
    <w:p w14:paraId="05669C53" w14:textId="77777777" w:rsidR="00024F20" w:rsidRPr="001632C4" w:rsidRDefault="00024F20" w:rsidP="00B21BF5">
      <w:pPr>
        <w:pStyle w:val="Head1"/>
        <w:rPr>
          <w:b/>
          <w:bCs w:val="0"/>
          <w:lang w:val="en-US"/>
        </w:rPr>
      </w:pPr>
    </w:p>
    <w:p w14:paraId="3BCFA667" w14:textId="282F86ED" w:rsidR="00024F20" w:rsidRPr="001632C4" w:rsidRDefault="00024F20" w:rsidP="00024F20">
      <w:pPr>
        <w:pStyle w:val="Head1"/>
        <w:jc w:val="center"/>
        <w:rPr>
          <w:b/>
          <w:bCs w:val="0"/>
          <w:lang w:val="en-US"/>
        </w:rPr>
      </w:pPr>
      <w:r w:rsidRPr="001632C4">
        <w:rPr>
          <w:noProof/>
          <w:lang w:val="en-US"/>
        </w:rPr>
        <w:drawing>
          <wp:inline distT="0" distB="0" distL="0" distR="0" wp14:anchorId="4257ECD7" wp14:editId="392EFD78">
            <wp:extent cx="2635352" cy="1980000"/>
            <wp:effectExtent l="0" t="0" r="6350" b="127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635352" cy="1980000"/>
                    </a:xfrm>
                    <a:prstGeom prst="rect">
                      <a:avLst/>
                    </a:prstGeom>
                  </pic:spPr>
                </pic:pic>
              </a:graphicData>
            </a:graphic>
          </wp:inline>
        </w:drawing>
      </w:r>
    </w:p>
    <w:p w14:paraId="5ED9FBFD" w14:textId="10CAC817" w:rsidR="0033602E" w:rsidRPr="001632C4" w:rsidRDefault="0033602E" w:rsidP="00D62305">
      <w:pPr>
        <w:spacing w:line="276" w:lineRule="auto"/>
        <w:rPr>
          <w:lang w:val="en-US"/>
        </w:rPr>
      </w:pPr>
      <w:r w:rsidRPr="001632C4">
        <w:rPr>
          <w:b/>
          <w:bCs/>
          <w:noProof/>
          <w:lang w:val="en-US"/>
        </w:rPr>
        <w:t>Figure S2</w:t>
      </w:r>
      <w:r w:rsidR="00F4621A">
        <w:rPr>
          <w:b/>
          <w:bCs/>
          <w:noProof/>
          <w:lang w:val="en-US"/>
        </w:rPr>
        <w:t>3</w:t>
      </w:r>
      <w:r w:rsidRPr="001632C4">
        <w:rPr>
          <w:b/>
          <w:bCs/>
          <w:noProof/>
          <w:lang w:val="en-US"/>
        </w:rPr>
        <w:t xml:space="preserve">. </w:t>
      </w:r>
      <w:proofErr w:type="spellStart"/>
      <w:r w:rsidRPr="001632C4">
        <w:rPr>
          <w:b/>
          <w:lang w:val="en-US"/>
        </w:rPr>
        <w:t>Photoresponse</w:t>
      </w:r>
      <w:proofErr w:type="spellEnd"/>
      <w:r w:rsidRPr="001632C4">
        <w:rPr>
          <w:b/>
          <w:lang w:val="en-US"/>
        </w:rPr>
        <w:t>.</w:t>
      </w:r>
      <w:r w:rsidRPr="001632C4">
        <w:rPr>
          <w:lang w:val="en-US"/>
        </w:rPr>
        <w:t xml:space="preserve"> Drain to source conductance a</w:t>
      </w:r>
      <w:r w:rsidR="00002FB3">
        <w:rPr>
          <w:lang w:val="en-US"/>
        </w:rPr>
        <w:t>t</w:t>
      </w:r>
      <w:r w:rsidRPr="001632C4">
        <w:rPr>
          <w:lang w:val="en-US"/>
        </w:rPr>
        <w:t xml:space="preserve"> dark and light pulsing</w:t>
      </w:r>
      <w:r w:rsidR="00002FB3">
        <w:rPr>
          <w:lang w:val="en-US"/>
        </w:rPr>
        <w:t xml:space="preserve"> </w:t>
      </w:r>
      <w:r w:rsidRPr="001632C4">
        <w:rPr>
          <w:lang w:val="en-US"/>
        </w:rPr>
        <w:t xml:space="preserve">conditions. Light power: 8.8 </w:t>
      </w:r>
      <w:proofErr w:type="spellStart"/>
      <w:r w:rsidRPr="001632C4">
        <w:rPr>
          <w:lang w:val="en-US"/>
        </w:rPr>
        <w:t>mW</w:t>
      </w:r>
      <w:proofErr w:type="spellEnd"/>
      <w:r w:rsidRPr="001632C4">
        <w:rPr>
          <w:i/>
          <w:iCs/>
          <w:lang w:val="en-US"/>
        </w:rPr>
        <w:t>, V</w:t>
      </w:r>
      <w:r w:rsidRPr="001632C4">
        <w:rPr>
          <w:i/>
          <w:iCs/>
          <w:vertAlign w:val="subscript"/>
          <w:lang w:val="en-US"/>
        </w:rPr>
        <w:t>DS</w:t>
      </w:r>
      <w:r w:rsidR="00002FB3">
        <w:rPr>
          <w:i/>
          <w:iCs/>
          <w:vertAlign w:val="subscript"/>
          <w:lang w:val="en-US"/>
        </w:rPr>
        <w:t xml:space="preserve"> </w:t>
      </w:r>
      <w:r w:rsidRPr="001632C4">
        <w:rPr>
          <w:lang w:val="en-US"/>
        </w:rPr>
        <w:t>=</w:t>
      </w:r>
      <w:r w:rsidR="00002FB3">
        <w:rPr>
          <w:lang w:val="en-US"/>
        </w:rPr>
        <w:t xml:space="preserve"> </w:t>
      </w:r>
      <w:r w:rsidRPr="001632C4">
        <w:rPr>
          <w:lang w:val="en-US"/>
        </w:rPr>
        <w:t>0.1V</w:t>
      </w:r>
    </w:p>
    <w:p w14:paraId="4F562971" w14:textId="11ED2505" w:rsidR="00FD5E16" w:rsidRPr="001632C4" w:rsidRDefault="00FD5E16" w:rsidP="00FD5E16">
      <w:pPr>
        <w:rPr>
          <w:b/>
          <w:lang w:val="en-US"/>
        </w:rPr>
      </w:pPr>
    </w:p>
    <w:p w14:paraId="51B1E2CB" w14:textId="3641BE8D" w:rsidR="00C10B27" w:rsidRPr="001632C4" w:rsidRDefault="00C10B27" w:rsidP="00024F20">
      <w:pPr>
        <w:jc w:val="center"/>
        <w:rPr>
          <w:b/>
          <w:lang w:val="en-US"/>
        </w:rPr>
      </w:pPr>
      <w:r w:rsidRPr="001632C4">
        <w:rPr>
          <w:b/>
          <w:noProof/>
          <w:lang w:val="en-US"/>
        </w:rPr>
        <w:drawing>
          <wp:inline distT="0" distB="0" distL="0" distR="0" wp14:anchorId="6589AC59" wp14:editId="696AE978">
            <wp:extent cx="2640000" cy="1980000"/>
            <wp:effectExtent l="0" t="0" r="1905" b="1270"/>
            <wp:docPr id="17" name="Imagen 2">
              <a:extLst xmlns:a="http://schemas.openxmlformats.org/drawingml/2006/main">
                <a:ext uri="{FF2B5EF4-FFF2-40B4-BE49-F238E27FC236}">
                  <a16:creationId xmlns:a16="http://schemas.microsoft.com/office/drawing/2014/main" id="{E6AF5A6D-B8BA-CA42-8D0B-52A260C0E9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E6AF5A6D-B8BA-CA42-8D0B-52A260C0E928}"/>
                        </a:ext>
                      </a:extLst>
                    </pic:cNvPr>
                    <pic:cNvPicPr>
                      <a:picLocks noChangeAspect="1"/>
                    </pic:cNvPicPr>
                  </pic:nvPicPr>
                  <pic:blipFill>
                    <a:blip r:embed="rId37"/>
                    <a:stretch>
                      <a:fillRect/>
                    </a:stretch>
                  </pic:blipFill>
                  <pic:spPr>
                    <a:xfrm>
                      <a:off x="0" y="0"/>
                      <a:ext cx="2640000" cy="1980000"/>
                    </a:xfrm>
                    <a:prstGeom prst="rect">
                      <a:avLst/>
                    </a:prstGeom>
                  </pic:spPr>
                </pic:pic>
              </a:graphicData>
            </a:graphic>
          </wp:inline>
        </w:drawing>
      </w:r>
      <w:r w:rsidR="0056622D" w:rsidRPr="001632C4">
        <w:rPr>
          <w:b/>
          <w:noProof/>
          <w:lang w:val="en-US"/>
        </w:rPr>
        <w:drawing>
          <wp:inline distT="0" distB="0" distL="0" distR="0" wp14:anchorId="1337E69D" wp14:editId="6296E222">
            <wp:extent cx="2970000" cy="1980000"/>
            <wp:effectExtent l="0" t="0" r="1905" b="1270"/>
            <wp:docPr id="19" name="Imagen 4">
              <a:extLst xmlns:a="http://schemas.openxmlformats.org/drawingml/2006/main">
                <a:ext uri="{FF2B5EF4-FFF2-40B4-BE49-F238E27FC236}">
                  <a16:creationId xmlns:a16="http://schemas.microsoft.com/office/drawing/2014/main" id="{4AF9B82C-5C54-A844-985C-68ECB344F1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a:extLst>
                        <a:ext uri="{FF2B5EF4-FFF2-40B4-BE49-F238E27FC236}">
                          <a16:creationId xmlns:a16="http://schemas.microsoft.com/office/drawing/2014/main" id="{4AF9B82C-5C54-A844-985C-68ECB344F124}"/>
                        </a:ext>
                      </a:extLst>
                    </pic:cNvPr>
                    <pic:cNvPicPr>
                      <a:picLocks noChangeAspect="1"/>
                    </pic:cNvPicPr>
                  </pic:nvPicPr>
                  <pic:blipFill>
                    <a:blip r:embed="rId38"/>
                    <a:stretch>
                      <a:fillRect/>
                    </a:stretch>
                  </pic:blipFill>
                  <pic:spPr>
                    <a:xfrm>
                      <a:off x="0" y="0"/>
                      <a:ext cx="2970000" cy="1980000"/>
                    </a:xfrm>
                    <a:prstGeom prst="rect">
                      <a:avLst/>
                    </a:prstGeom>
                  </pic:spPr>
                </pic:pic>
              </a:graphicData>
            </a:graphic>
          </wp:inline>
        </w:drawing>
      </w:r>
    </w:p>
    <w:p w14:paraId="20F998E0" w14:textId="721C7969" w:rsidR="00C10B27" w:rsidRPr="001632C4" w:rsidRDefault="00C10B27" w:rsidP="00D62305">
      <w:pPr>
        <w:spacing w:line="276" w:lineRule="auto"/>
        <w:rPr>
          <w:lang w:val="en-US"/>
        </w:rPr>
      </w:pPr>
      <w:r w:rsidRPr="001632C4">
        <w:rPr>
          <w:b/>
          <w:bCs/>
          <w:noProof/>
          <w:lang w:val="en-US"/>
        </w:rPr>
        <w:t>Figure S2</w:t>
      </w:r>
      <w:r w:rsidR="00F4621A">
        <w:rPr>
          <w:b/>
          <w:bCs/>
          <w:noProof/>
          <w:lang w:val="en-US"/>
        </w:rPr>
        <w:t>4</w:t>
      </w:r>
      <w:r w:rsidRPr="001632C4">
        <w:rPr>
          <w:b/>
          <w:bCs/>
          <w:noProof/>
          <w:lang w:val="en-US"/>
        </w:rPr>
        <w:t xml:space="preserve">. </w:t>
      </w:r>
      <w:proofErr w:type="spellStart"/>
      <w:r w:rsidRPr="001632C4">
        <w:rPr>
          <w:b/>
          <w:lang w:val="en-US"/>
        </w:rPr>
        <w:t>Photoresponse</w:t>
      </w:r>
      <w:proofErr w:type="spellEnd"/>
      <w:r w:rsidRPr="001632C4">
        <w:rPr>
          <w:b/>
          <w:lang w:val="en-US"/>
        </w:rPr>
        <w:t>.</w:t>
      </w:r>
      <w:r w:rsidRPr="001632C4">
        <w:rPr>
          <w:lang w:val="en-US"/>
        </w:rPr>
        <w:t xml:space="preserve"> </w:t>
      </w:r>
      <w:r w:rsidR="0056622D" w:rsidRPr="0056622D">
        <w:rPr>
          <w:b/>
          <w:bCs/>
          <w:lang w:val="en-US"/>
        </w:rPr>
        <w:t>(a)</w:t>
      </w:r>
      <w:r w:rsidR="0056622D">
        <w:rPr>
          <w:lang w:val="en-US"/>
        </w:rPr>
        <w:t xml:space="preserve"> </w:t>
      </w:r>
      <w:r w:rsidRPr="001632C4">
        <w:rPr>
          <w:lang w:val="en-US"/>
        </w:rPr>
        <w:t xml:space="preserve">Drain to source conductance </w:t>
      </w:r>
      <w:r w:rsidR="00002FB3" w:rsidRPr="001632C4">
        <w:rPr>
          <w:lang w:val="en-US"/>
        </w:rPr>
        <w:t xml:space="preserve">as a function of light power (max. 8.8 </w:t>
      </w:r>
      <w:proofErr w:type="spellStart"/>
      <w:r w:rsidR="00002FB3" w:rsidRPr="001632C4">
        <w:rPr>
          <w:lang w:val="en-US"/>
        </w:rPr>
        <w:t>mW</w:t>
      </w:r>
      <w:proofErr w:type="spellEnd"/>
      <w:r w:rsidR="00002FB3" w:rsidRPr="001632C4">
        <w:rPr>
          <w:lang w:val="en-US"/>
        </w:rPr>
        <w:t>)</w:t>
      </w:r>
      <w:r w:rsidR="00002FB3">
        <w:rPr>
          <w:lang w:val="en-US"/>
        </w:rPr>
        <w:t xml:space="preserve">. </w:t>
      </w:r>
      <w:r w:rsidRPr="001632C4">
        <w:rPr>
          <w:i/>
          <w:iCs/>
          <w:lang w:val="en-US"/>
        </w:rPr>
        <w:t>V</w:t>
      </w:r>
      <w:r w:rsidRPr="001632C4">
        <w:rPr>
          <w:i/>
          <w:iCs/>
          <w:vertAlign w:val="subscript"/>
          <w:lang w:val="en-US"/>
        </w:rPr>
        <w:t>GB</w:t>
      </w:r>
      <w:r w:rsidR="00002FB3">
        <w:rPr>
          <w:i/>
          <w:iCs/>
          <w:vertAlign w:val="subscript"/>
          <w:lang w:val="en-US"/>
        </w:rPr>
        <w:t xml:space="preserve"> </w:t>
      </w:r>
      <w:r w:rsidRPr="001632C4">
        <w:rPr>
          <w:lang w:val="en-US"/>
        </w:rPr>
        <w:t>=</w:t>
      </w:r>
      <w:r w:rsidR="00002FB3">
        <w:rPr>
          <w:lang w:val="en-US"/>
        </w:rPr>
        <w:t xml:space="preserve"> </w:t>
      </w:r>
      <w:r w:rsidRPr="001632C4">
        <w:rPr>
          <w:lang w:val="en-US"/>
        </w:rPr>
        <w:t>20V</w:t>
      </w:r>
      <w:r w:rsidRPr="001632C4">
        <w:rPr>
          <w:i/>
          <w:iCs/>
          <w:lang w:val="en-US"/>
        </w:rPr>
        <w:t>, V</w:t>
      </w:r>
      <w:r w:rsidRPr="001632C4">
        <w:rPr>
          <w:i/>
          <w:iCs/>
          <w:vertAlign w:val="subscript"/>
          <w:lang w:val="en-US"/>
        </w:rPr>
        <w:t>DS</w:t>
      </w:r>
      <w:r w:rsidR="00002FB3">
        <w:rPr>
          <w:i/>
          <w:iCs/>
          <w:vertAlign w:val="subscript"/>
          <w:lang w:val="en-US"/>
        </w:rPr>
        <w:t xml:space="preserve"> </w:t>
      </w:r>
      <w:r w:rsidRPr="001632C4">
        <w:rPr>
          <w:lang w:val="en-US"/>
        </w:rPr>
        <w:t>=</w:t>
      </w:r>
      <w:r w:rsidR="00002FB3">
        <w:rPr>
          <w:lang w:val="en-US"/>
        </w:rPr>
        <w:t xml:space="preserve"> </w:t>
      </w:r>
      <w:r w:rsidRPr="001632C4">
        <w:rPr>
          <w:lang w:val="en-US"/>
        </w:rPr>
        <w:t>0.1V</w:t>
      </w:r>
      <w:r w:rsidR="008B33A5">
        <w:rPr>
          <w:lang w:val="en-US"/>
        </w:rPr>
        <w:t>.</w:t>
      </w:r>
      <w:r w:rsidR="0056622D">
        <w:rPr>
          <w:lang w:val="en-US"/>
        </w:rPr>
        <w:t xml:space="preserve"> </w:t>
      </w:r>
      <w:r w:rsidR="0056622D" w:rsidRPr="0056622D">
        <w:rPr>
          <w:b/>
          <w:bCs/>
          <w:lang w:val="en-US"/>
        </w:rPr>
        <w:t>(b)</w:t>
      </w:r>
      <w:r w:rsidR="0056622D">
        <w:rPr>
          <w:lang w:val="en-US"/>
        </w:rPr>
        <w:t xml:space="preserve"> </w:t>
      </w:r>
      <w:r w:rsidRPr="001632C4">
        <w:rPr>
          <w:lang w:val="en-US"/>
        </w:rPr>
        <w:t xml:space="preserve">Drain to source conductance </w:t>
      </w:r>
      <w:r w:rsidR="00002FB3" w:rsidRPr="001632C4">
        <w:rPr>
          <w:lang w:val="en-US"/>
        </w:rPr>
        <w:t xml:space="preserve">as a function of </w:t>
      </w:r>
      <w:r w:rsidR="00002FB3" w:rsidRPr="001632C4">
        <w:rPr>
          <w:i/>
          <w:iCs/>
          <w:lang w:val="en-US"/>
        </w:rPr>
        <w:t>V</w:t>
      </w:r>
      <w:r w:rsidR="00002FB3" w:rsidRPr="001632C4">
        <w:rPr>
          <w:i/>
          <w:iCs/>
          <w:vertAlign w:val="subscript"/>
          <w:lang w:val="en-US"/>
        </w:rPr>
        <w:t>GB</w:t>
      </w:r>
      <w:r w:rsidRPr="001632C4">
        <w:rPr>
          <w:lang w:val="en-US"/>
        </w:rPr>
        <w:t xml:space="preserve">. Light power: 8.8 </w:t>
      </w:r>
      <w:proofErr w:type="spellStart"/>
      <w:r w:rsidRPr="001632C4">
        <w:rPr>
          <w:lang w:val="en-US"/>
        </w:rPr>
        <w:t>mW</w:t>
      </w:r>
      <w:proofErr w:type="spellEnd"/>
      <w:r w:rsidRPr="001632C4">
        <w:rPr>
          <w:i/>
          <w:iCs/>
          <w:lang w:val="en-US"/>
        </w:rPr>
        <w:t>, V</w:t>
      </w:r>
      <w:r w:rsidRPr="001632C4">
        <w:rPr>
          <w:i/>
          <w:iCs/>
          <w:vertAlign w:val="subscript"/>
          <w:lang w:val="en-US"/>
        </w:rPr>
        <w:t xml:space="preserve">DS </w:t>
      </w:r>
      <w:r w:rsidRPr="001632C4">
        <w:rPr>
          <w:lang w:val="en-US"/>
        </w:rPr>
        <w:t>= 0.1V</w:t>
      </w:r>
      <w:r w:rsidR="008B33A5">
        <w:rPr>
          <w:lang w:val="en-US"/>
        </w:rPr>
        <w:t>.</w:t>
      </w:r>
    </w:p>
    <w:p w14:paraId="4380DE87" w14:textId="77777777" w:rsidR="00C10B27" w:rsidRPr="001632C4" w:rsidRDefault="00C10B27" w:rsidP="00C10B27">
      <w:pPr>
        <w:jc w:val="center"/>
        <w:rPr>
          <w:b/>
          <w:lang w:val="en-US"/>
        </w:rPr>
      </w:pPr>
    </w:p>
    <w:p w14:paraId="6B502F4E" w14:textId="77777777" w:rsidR="0056622D" w:rsidRDefault="0056622D">
      <w:pPr>
        <w:rPr>
          <w:rFonts w:eastAsiaTheme="majorEastAsia"/>
          <w:sz w:val="28"/>
          <w:szCs w:val="28"/>
          <w:lang w:val="en-US" w:eastAsia="ja-JP"/>
        </w:rPr>
      </w:pPr>
      <w:r w:rsidRPr="007A2731">
        <w:rPr>
          <w:sz w:val="28"/>
          <w:szCs w:val="28"/>
          <w:lang w:val="en-US"/>
        </w:rPr>
        <w:br w:type="page"/>
      </w:r>
    </w:p>
    <w:p w14:paraId="24321A4C" w14:textId="46B365AB" w:rsidR="00606FEC" w:rsidRPr="00AC11A2" w:rsidRDefault="00E449C2" w:rsidP="006D652D">
      <w:pPr>
        <w:pStyle w:val="Ttulo1"/>
        <w:rPr>
          <w:rFonts w:ascii="Times New Roman" w:hAnsi="Times New Roman" w:cs="Times New Roman"/>
          <w:color w:val="auto"/>
          <w:sz w:val="28"/>
          <w:szCs w:val="28"/>
        </w:rPr>
      </w:pPr>
      <w:bookmarkStart w:id="20" w:name="_Toc104545481"/>
      <w:bookmarkStart w:id="21" w:name="_Toc104545499"/>
      <w:r w:rsidRPr="00AC11A2">
        <w:rPr>
          <w:rFonts w:ascii="Times New Roman" w:hAnsi="Times New Roman" w:cs="Times New Roman"/>
          <w:color w:val="auto"/>
          <w:sz w:val="28"/>
          <w:szCs w:val="28"/>
        </w:rPr>
        <w:lastRenderedPageBreak/>
        <w:t>References</w:t>
      </w:r>
      <w:bookmarkEnd w:id="20"/>
      <w:bookmarkEnd w:id="21"/>
    </w:p>
    <w:p w14:paraId="09BAF76D" w14:textId="77777777" w:rsidR="006D652D" w:rsidRPr="006D652D" w:rsidRDefault="006D652D" w:rsidP="006D652D">
      <w:pPr>
        <w:rPr>
          <w:lang w:val="en-US" w:eastAsia="ja-JP"/>
        </w:rPr>
      </w:pPr>
    </w:p>
    <w:p w14:paraId="0B9A6937" w14:textId="288E67FB" w:rsidR="00797B20" w:rsidRPr="0081495E" w:rsidRDefault="002C46DC" w:rsidP="00797B20">
      <w:pPr>
        <w:widowControl w:val="0"/>
        <w:autoSpaceDE w:val="0"/>
        <w:autoSpaceDN w:val="0"/>
        <w:adjustRightInd w:val="0"/>
        <w:ind w:left="640" w:hanging="640"/>
        <w:rPr>
          <w:noProof/>
          <w:lang w:val="en-US"/>
        </w:rPr>
      </w:pPr>
      <w:r>
        <w:rPr>
          <w:lang w:val="en-US"/>
        </w:rPr>
        <w:fldChar w:fldCharType="begin" w:fldLock="1"/>
      </w:r>
      <w:r>
        <w:rPr>
          <w:lang w:val="en-US"/>
        </w:rPr>
        <w:instrText xml:space="preserve">ADDIN Mendeley Bibliography CSL_BIBLIOGRAPHY </w:instrText>
      </w:r>
      <w:r>
        <w:rPr>
          <w:lang w:val="en-US"/>
        </w:rPr>
        <w:fldChar w:fldCharType="separate"/>
      </w:r>
      <w:r w:rsidR="00797B20" w:rsidRPr="0081495E">
        <w:rPr>
          <w:noProof/>
          <w:lang w:val="en-US"/>
        </w:rPr>
        <w:t>1.</w:t>
      </w:r>
      <w:r w:rsidR="00797B20" w:rsidRPr="0081495E">
        <w:rPr>
          <w:noProof/>
          <w:lang w:val="en-US"/>
        </w:rPr>
        <w:tab/>
        <w:t xml:space="preserve">Park, S., Park, J. H., Hwang, S. &amp; Kwak, J. Programmable Electrochemical Rectifier Based on a Thin-Layer Cell. </w:t>
      </w:r>
      <w:r w:rsidR="00797B20" w:rsidRPr="0081495E">
        <w:rPr>
          <w:i/>
          <w:iCs/>
          <w:noProof/>
          <w:lang w:val="en-US"/>
        </w:rPr>
        <w:t>ACS Appl. Mater. Interfaces</w:t>
      </w:r>
      <w:r w:rsidR="00797B20" w:rsidRPr="0081495E">
        <w:rPr>
          <w:noProof/>
          <w:lang w:val="en-US"/>
        </w:rPr>
        <w:t xml:space="preserve"> </w:t>
      </w:r>
      <w:r w:rsidR="00797B20" w:rsidRPr="0081495E">
        <w:rPr>
          <w:b/>
          <w:bCs/>
          <w:noProof/>
          <w:lang w:val="en-US"/>
        </w:rPr>
        <w:t>9</w:t>
      </w:r>
      <w:r w:rsidR="00797B20" w:rsidRPr="0081495E">
        <w:rPr>
          <w:noProof/>
          <w:lang w:val="en-US"/>
        </w:rPr>
        <w:t>, 20955–20962 (2017).</w:t>
      </w:r>
    </w:p>
    <w:p w14:paraId="3DC31E2D"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w:t>
      </w:r>
      <w:r w:rsidRPr="0081495E">
        <w:rPr>
          <w:noProof/>
          <w:lang w:val="en-US"/>
        </w:rPr>
        <w:tab/>
        <w:t xml:space="preserve">Nerngchamnong, N. </w:t>
      </w:r>
      <w:r w:rsidRPr="0081495E">
        <w:rPr>
          <w:i/>
          <w:iCs/>
          <w:noProof/>
          <w:lang w:val="en-US"/>
        </w:rPr>
        <w:t>et al.</w:t>
      </w:r>
      <w:r w:rsidRPr="0081495E">
        <w:rPr>
          <w:noProof/>
          <w:lang w:val="en-US"/>
        </w:rPr>
        <w:t xml:space="preserve"> The role of van der Waals forces in the performance of molecular diodes. </w:t>
      </w:r>
      <w:r w:rsidRPr="0081495E">
        <w:rPr>
          <w:i/>
          <w:iCs/>
          <w:noProof/>
          <w:lang w:val="en-US"/>
        </w:rPr>
        <w:t>Nat. Nanotechnol.</w:t>
      </w:r>
      <w:r w:rsidRPr="0081495E">
        <w:rPr>
          <w:noProof/>
          <w:lang w:val="en-US"/>
        </w:rPr>
        <w:t xml:space="preserve"> </w:t>
      </w:r>
      <w:r w:rsidRPr="0081495E">
        <w:rPr>
          <w:b/>
          <w:bCs/>
          <w:noProof/>
          <w:lang w:val="en-US"/>
        </w:rPr>
        <w:t>8</w:t>
      </w:r>
      <w:r w:rsidRPr="0081495E">
        <w:rPr>
          <w:noProof/>
          <w:lang w:val="en-US"/>
        </w:rPr>
        <w:t>, 113–118 (2013).</w:t>
      </w:r>
    </w:p>
    <w:p w14:paraId="01696ADC"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3.</w:t>
      </w:r>
      <w:r w:rsidRPr="0081495E">
        <w:rPr>
          <w:noProof/>
          <w:lang w:val="en-US"/>
        </w:rPr>
        <w:tab/>
        <w:t>Tian, H., Dai, Y., Shao, H. &amp; Yu, H. Modulated Intermolecular Interactions in Ferrocenylalkanethiolate Self-Assembled Monolayers on Gold. (2013) doi:10.1021/jp310012v.</w:t>
      </w:r>
    </w:p>
    <w:p w14:paraId="44352A7A"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4.</w:t>
      </w:r>
      <w:r w:rsidRPr="0081495E">
        <w:rPr>
          <w:noProof/>
          <w:lang w:val="en-US"/>
        </w:rPr>
        <w:tab/>
        <w:t xml:space="preserve">Reuter, M. G., Hersam, M. C., Seideman, T. &amp; Ratner, M. A. Signatures of cooperative effects and transport mechanisms in conductance histograms. </w:t>
      </w:r>
      <w:r w:rsidRPr="0081495E">
        <w:rPr>
          <w:i/>
          <w:iCs/>
          <w:noProof/>
          <w:lang w:val="en-US"/>
        </w:rPr>
        <w:t>Nano Lett.</w:t>
      </w:r>
      <w:r w:rsidRPr="0081495E">
        <w:rPr>
          <w:noProof/>
          <w:lang w:val="en-US"/>
        </w:rPr>
        <w:t xml:space="preserve"> </w:t>
      </w:r>
      <w:r w:rsidRPr="0081495E">
        <w:rPr>
          <w:b/>
          <w:bCs/>
          <w:noProof/>
          <w:lang w:val="en-US"/>
        </w:rPr>
        <w:t>12</w:t>
      </w:r>
      <w:r w:rsidRPr="0081495E">
        <w:rPr>
          <w:noProof/>
          <w:lang w:val="en-US"/>
        </w:rPr>
        <w:t>, 2243–2248 (2012).</w:t>
      </w:r>
    </w:p>
    <w:p w14:paraId="46AB58C5"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5.</w:t>
      </w:r>
      <w:r w:rsidRPr="0081495E">
        <w:rPr>
          <w:noProof/>
          <w:lang w:val="en-US"/>
        </w:rPr>
        <w:tab/>
        <w:t xml:space="preserve">Trasobares, J. </w:t>
      </w:r>
      <w:r w:rsidRPr="0081495E">
        <w:rPr>
          <w:i/>
          <w:iCs/>
          <w:noProof/>
          <w:lang w:val="en-US"/>
        </w:rPr>
        <w:t>et al.</w:t>
      </w:r>
      <w:r w:rsidRPr="0081495E">
        <w:rPr>
          <w:noProof/>
          <w:lang w:val="en-US"/>
        </w:rPr>
        <w:t xml:space="preserve"> Estimation of </w:t>
      </w:r>
      <w:r w:rsidRPr="00797B20">
        <w:rPr>
          <w:noProof/>
          <w:lang w:val="es-ES_tradnl"/>
        </w:rPr>
        <w:t>π</w:t>
      </w:r>
      <w:r w:rsidRPr="0081495E">
        <w:rPr>
          <w:noProof/>
          <w:lang w:val="en-US"/>
        </w:rPr>
        <w:t>-</w:t>
      </w:r>
      <w:r w:rsidRPr="00797B20">
        <w:rPr>
          <w:noProof/>
          <w:lang w:val="es-ES_tradnl"/>
        </w:rPr>
        <w:t>π</w:t>
      </w:r>
      <w:r w:rsidRPr="0081495E">
        <w:rPr>
          <w:noProof/>
          <w:lang w:val="en-US"/>
        </w:rPr>
        <w:t xml:space="preserve"> Electronic Couplings from Current Measurements. </w:t>
      </w:r>
      <w:r w:rsidRPr="0081495E">
        <w:rPr>
          <w:i/>
          <w:iCs/>
          <w:noProof/>
          <w:lang w:val="en-US"/>
        </w:rPr>
        <w:t>Nano Lett.</w:t>
      </w:r>
      <w:r w:rsidRPr="0081495E">
        <w:rPr>
          <w:noProof/>
          <w:lang w:val="en-US"/>
        </w:rPr>
        <w:t xml:space="preserve"> </w:t>
      </w:r>
      <w:r w:rsidRPr="0081495E">
        <w:rPr>
          <w:b/>
          <w:bCs/>
          <w:noProof/>
          <w:lang w:val="en-US"/>
        </w:rPr>
        <w:t>17</w:t>
      </w:r>
      <w:r w:rsidRPr="0081495E">
        <w:rPr>
          <w:noProof/>
          <w:lang w:val="en-US"/>
        </w:rPr>
        <w:t>, 3215–3224 (2017).</w:t>
      </w:r>
    </w:p>
    <w:p w14:paraId="367969B0"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6.</w:t>
      </w:r>
      <w:r w:rsidRPr="0081495E">
        <w:rPr>
          <w:noProof/>
          <w:lang w:val="en-US"/>
        </w:rPr>
        <w:tab/>
        <w:t xml:space="preserve">Nerngchamnong, N. </w:t>
      </w:r>
      <w:r w:rsidRPr="0081495E">
        <w:rPr>
          <w:i/>
          <w:iCs/>
          <w:noProof/>
          <w:lang w:val="en-US"/>
        </w:rPr>
        <w:t>et al.</w:t>
      </w:r>
      <w:r w:rsidRPr="0081495E">
        <w:rPr>
          <w:noProof/>
          <w:lang w:val="en-US"/>
        </w:rPr>
        <w:t xml:space="preserve"> Nonideal Electrochemical Behavior of Ferrocenyl-Alkanethiolate SAMs Maps the Microenvironment of the Redox Unit. </w:t>
      </w:r>
      <w:r w:rsidRPr="0081495E">
        <w:rPr>
          <w:i/>
          <w:iCs/>
          <w:noProof/>
          <w:lang w:val="en-US"/>
        </w:rPr>
        <w:t>J. Phys. Chem. C</w:t>
      </w:r>
      <w:r w:rsidRPr="0081495E">
        <w:rPr>
          <w:noProof/>
          <w:lang w:val="en-US"/>
        </w:rPr>
        <w:t xml:space="preserve"> </w:t>
      </w:r>
      <w:r w:rsidRPr="0081495E">
        <w:rPr>
          <w:b/>
          <w:bCs/>
          <w:noProof/>
          <w:lang w:val="en-US"/>
        </w:rPr>
        <w:t>119</w:t>
      </w:r>
      <w:r w:rsidRPr="0081495E">
        <w:rPr>
          <w:noProof/>
          <w:lang w:val="en-US"/>
        </w:rPr>
        <w:t>, 21978–21991 (2015).</w:t>
      </w:r>
    </w:p>
    <w:p w14:paraId="6AD862E5"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7.</w:t>
      </w:r>
      <w:r w:rsidRPr="0081495E">
        <w:rPr>
          <w:noProof/>
          <w:lang w:val="en-US"/>
        </w:rPr>
        <w:tab/>
        <w:t xml:space="preserve">D’Andrade, B. W. </w:t>
      </w:r>
      <w:r w:rsidRPr="0081495E">
        <w:rPr>
          <w:i/>
          <w:iCs/>
          <w:noProof/>
          <w:lang w:val="en-US"/>
        </w:rPr>
        <w:t>et al.</w:t>
      </w:r>
      <w:r w:rsidRPr="0081495E">
        <w:rPr>
          <w:noProof/>
          <w:lang w:val="en-US"/>
        </w:rPr>
        <w:t xml:space="preserve"> Relationship between the ionization and oxidation potentials of molecular organic semiconductors. </w:t>
      </w:r>
      <w:r w:rsidRPr="0081495E">
        <w:rPr>
          <w:i/>
          <w:iCs/>
          <w:noProof/>
          <w:lang w:val="en-US"/>
        </w:rPr>
        <w:t>Org. Electron.</w:t>
      </w:r>
      <w:r w:rsidRPr="0081495E">
        <w:rPr>
          <w:noProof/>
          <w:lang w:val="en-US"/>
        </w:rPr>
        <w:t xml:space="preserve"> </w:t>
      </w:r>
      <w:r w:rsidRPr="0081495E">
        <w:rPr>
          <w:b/>
          <w:bCs/>
          <w:noProof/>
          <w:lang w:val="en-US"/>
        </w:rPr>
        <w:t>6</w:t>
      </w:r>
      <w:r w:rsidRPr="0081495E">
        <w:rPr>
          <w:noProof/>
          <w:lang w:val="en-US"/>
        </w:rPr>
        <w:t>, 11–20 (2005).</w:t>
      </w:r>
    </w:p>
    <w:p w14:paraId="0A56E2DB"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8.</w:t>
      </w:r>
      <w:r w:rsidRPr="0081495E">
        <w:rPr>
          <w:noProof/>
          <w:lang w:val="en-US"/>
        </w:rPr>
        <w:tab/>
        <w:t xml:space="preserve">Heimel, G., Romaner, L., Zojer, E. &amp; Bredas, J. L. The interface energetics of self-assembled monolayers on metals. </w:t>
      </w:r>
      <w:r w:rsidRPr="0081495E">
        <w:rPr>
          <w:i/>
          <w:iCs/>
          <w:noProof/>
          <w:lang w:val="en-US"/>
        </w:rPr>
        <w:t>Acc. Chem. Res.</w:t>
      </w:r>
      <w:r w:rsidRPr="0081495E">
        <w:rPr>
          <w:noProof/>
          <w:lang w:val="en-US"/>
        </w:rPr>
        <w:t xml:space="preserve"> </w:t>
      </w:r>
      <w:r w:rsidRPr="0081495E">
        <w:rPr>
          <w:b/>
          <w:bCs/>
          <w:noProof/>
          <w:lang w:val="en-US"/>
        </w:rPr>
        <w:t>41</w:t>
      </w:r>
      <w:r w:rsidRPr="0081495E">
        <w:rPr>
          <w:noProof/>
          <w:lang w:val="en-US"/>
        </w:rPr>
        <w:t>, 721–729 (2008).</w:t>
      </w:r>
    </w:p>
    <w:p w14:paraId="4249A22E"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9.</w:t>
      </w:r>
      <w:r w:rsidRPr="0081495E">
        <w:rPr>
          <w:noProof/>
          <w:lang w:val="en-US"/>
        </w:rPr>
        <w:tab/>
        <w:t xml:space="preserve">Alévêque, O. </w:t>
      </w:r>
      <w:r w:rsidRPr="0081495E">
        <w:rPr>
          <w:i/>
          <w:iCs/>
          <w:noProof/>
          <w:lang w:val="en-US"/>
        </w:rPr>
        <w:t>et al.</w:t>
      </w:r>
      <w:r w:rsidRPr="0081495E">
        <w:rPr>
          <w:noProof/>
          <w:lang w:val="en-US"/>
        </w:rPr>
        <w:t xml:space="preserve"> Electroactive self-assembled monolayers: Laviron’s interaction model extended to non-random distribution of redox centers. </w:t>
      </w:r>
      <w:r w:rsidRPr="0081495E">
        <w:rPr>
          <w:i/>
          <w:iCs/>
          <w:noProof/>
          <w:lang w:val="en-US"/>
        </w:rPr>
        <w:t>Electrochem. commun.</w:t>
      </w:r>
      <w:r w:rsidRPr="0081495E">
        <w:rPr>
          <w:noProof/>
          <w:lang w:val="en-US"/>
        </w:rPr>
        <w:t xml:space="preserve"> </w:t>
      </w:r>
      <w:r w:rsidRPr="0081495E">
        <w:rPr>
          <w:b/>
          <w:bCs/>
          <w:noProof/>
          <w:lang w:val="en-US"/>
        </w:rPr>
        <w:t>12</w:t>
      </w:r>
      <w:r w:rsidRPr="0081495E">
        <w:rPr>
          <w:noProof/>
          <w:lang w:val="en-US"/>
        </w:rPr>
        <w:t>, 1462–1466 (2010).</w:t>
      </w:r>
    </w:p>
    <w:p w14:paraId="1DDFA883"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10.</w:t>
      </w:r>
      <w:r w:rsidRPr="0081495E">
        <w:rPr>
          <w:noProof/>
          <w:lang w:val="en-US"/>
        </w:rPr>
        <w:tab/>
        <w:t xml:space="preserve">Laviron, E. Surface linear potential sweep voltammetry. Equation of the peaks for a reversible reaction when interactions between the adsorbed molecules are taken into account. </w:t>
      </w:r>
      <w:r w:rsidRPr="0081495E">
        <w:rPr>
          <w:i/>
          <w:iCs/>
          <w:noProof/>
          <w:lang w:val="en-US"/>
        </w:rPr>
        <w:t>J. Electroanal. Chem.</w:t>
      </w:r>
      <w:r w:rsidRPr="0081495E">
        <w:rPr>
          <w:noProof/>
          <w:lang w:val="en-US"/>
        </w:rPr>
        <w:t xml:space="preserve"> </w:t>
      </w:r>
      <w:r w:rsidRPr="0081495E">
        <w:rPr>
          <w:b/>
          <w:bCs/>
          <w:noProof/>
          <w:lang w:val="en-US"/>
        </w:rPr>
        <w:t>52</w:t>
      </w:r>
      <w:r w:rsidRPr="0081495E">
        <w:rPr>
          <w:noProof/>
          <w:lang w:val="en-US"/>
        </w:rPr>
        <w:t>, 395–402 (1974).</w:t>
      </w:r>
    </w:p>
    <w:p w14:paraId="28506F5A"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11.</w:t>
      </w:r>
      <w:r w:rsidRPr="0081495E">
        <w:rPr>
          <w:noProof/>
          <w:lang w:val="en-US"/>
        </w:rPr>
        <w:tab/>
        <w:t xml:space="preserve">Umaña, M., Rolison, D. R., Nowak, R., Daum, P. &amp; Murray, R. W. X-ray photoelectron spectroscopy of metal, metal oxide, and carbon electrode surfaces chemically modified with ferrocene and ferricenium. </w:t>
      </w:r>
      <w:r w:rsidRPr="0081495E">
        <w:rPr>
          <w:i/>
          <w:iCs/>
          <w:noProof/>
          <w:lang w:val="en-US"/>
        </w:rPr>
        <w:t>Surf. Sci.</w:t>
      </w:r>
      <w:r w:rsidRPr="0081495E">
        <w:rPr>
          <w:noProof/>
          <w:lang w:val="en-US"/>
        </w:rPr>
        <w:t xml:space="preserve"> </w:t>
      </w:r>
      <w:r w:rsidRPr="0081495E">
        <w:rPr>
          <w:b/>
          <w:bCs/>
          <w:noProof/>
          <w:lang w:val="en-US"/>
        </w:rPr>
        <w:t>101</w:t>
      </w:r>
      <w:r w:rsidRPr="0081495E">
        <w:rPr>
          <w:noProof/>
          <w:lang w:val="en-US"/>
        </w:rPr>
        <w:t>, 295–309 (1980).</w:t>
      </w:r>
    </w:p>
    <w:p w14:paraId="30CC874B"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12.</w:t>
      </w:r>
      <w:r w:rsidRPr="0081495E">
        <w:rPr>
          <w:noProof/>
          <w:lang w:val="en-US"/>
        </w:rPr>
        <w:tab/>
        <w:t xml:space="preserve">De Leo, L. P. M., De La Llave, E., Scherlis, D. &amp; Williams, F. J. Molecular and electronic structure of electroactive self-assembled monolayers. </w:t>
      </w:r>
      <w:r w:rsidRPr="0081495E">
        <w:rPr>
          <w:i/>
          <w:iCs/>
          <w:noProof/>
          <w:lang w:val="en-US"/>
        </w:rPr>
        <w:t>J. Chem. Phys.</w:t>
      </w:r>
      <w:r w:rsidRPr="0081495E">
        <w:rPr>
          <w:noProof/>
          <w:lang w:val="en-US"/>
        </w:rPr>
        <w:t xml:space="preserve"> </w:t>
      </w:r>
      <w:r w:rsidRPr="0081495E">
        <w:rPr>
          <w:b/>
          <w:bCs/>
          <w:noProof/>
          <w:lang w:val="en-US"/>
        </w:rPr>
        <w:t>138</w:t>
      </w:r>
      <w:r w:rsidRPr="0081495E">
        <w:rPr>
          <w:noProof/>
          <w:lang w:val="en-US"/>
        </w:rPr>
        <w:t>, 114707 (2013).</w:t>
      </w:r>
    </w:p>
    <w:p w14:paraId="316F198B"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13.</w:t>
      </w:r>
      <w:r w:rsidRPr="0081495E">
        <w:rPr>
          <w:noProof/>
          <w:lang w:val="en-US"/>
        </w:rPr>
        <w:tab/>
        <w:t xml:space="preserve">Rabti, A., Mayorga-martinez, C. C., Baptista-pires, L., Raoua, N. &amp; Merkoçi, A. Ferrocene-functionalized graphene electrode for biosensing applications. </w:t>
      </w:r>
      <w:r w:rsidRPr="0081495E">
        <w:rPr>
          <w:i/>
          <w:iCs/>
          <w:noProof/>
          <w:lang w:val="en-US"/>
        </w:rPr>
        <w:t>Anal. Chim. Acta J.</w:t>
      </w:r>
      <w:r w:rsidRPr="0081495E">
        <w:rPr>
          <w:noProof/>
          <w:lang w:val="en-US"/>
        </w:rPr>
        <w:t xml:space="preserve"> </w:t>
      </w:r>
      <w:r w:rsidRPr="0081495E">
        <w:rPr>
          <w:b/>
          <w:bCs/>
          <w:noProof/>
          <w:lang w:val="en-US"/>
        </w:rPr>
        <w:t>926</w:t>
      </w:r>
      <w:r w:rsidRPr="0081495E">
        <w:rPr>
          <w:noProof/>
          <w:lang w:val="en-US"/>
        </w:rPr>
        <w:t>, 28–35 (2016).</w:t>
      </w:r>
    </w:p>
    <w:p w14:paraId="0E33C669"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14.</w:t>
      </w:r>
      <w:r w:rsidRPr="0081495E">
        <w:rPr>
          <w:noProof/>
          <w:lang w:val="en-US"/>
        </w:rPr>
        <w:tab/>
        <w:t xml:space="preserve">Watcharinyanon, S., Moons, E. &amp; Johansson, L. S. O. Mixed self-assembled monolayers of ferrocene-terminated and unsubstituted alkanethiols on gold: Surface structure and work function. </w:t>
      </w:r>
      <w:r w:rsidRPr="0081495E">
        <w:rPr>
          <w:i/>
          <w:iCs/>
          <w:noProof/>
          <w:lang w:val="en-US"/>
        </w:rPr>
        <w:t>J. Phys. Chem. C</w:t>
      </w:r>
      <w:r w:rsidRPr="0081495E">
        <w:rPr>
          <w:noProof/>
          <w:lang w:val="en-US"/>
        </w:rPr>
        <w:t xml:space="preserve"> </w:t>
      </w:r>
      <w:r w:rsidRPr="0081495E">
        <w:rPr>
          <w:b/>
          <w:bCs/>
          <w:noProof/>
          <w:lang w:val="en-US"/>
        </w:rPr>
        <w:t>113</w:t>
      </w:r>
      <w:r w:rsidRPr="0081495E">
        <w:rPr>
          <w:noProof/>
          <w:lang w:val="en-US"/>
        </w:rPr>
        <w:t>, 1972–1979 (2009).</w:t>
      </w:r>
    </w:p>
    <w:p w14:paraId="734F669C"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15.</w:t>
      </w:r>
      <w:r w:rsidRPr="0081495E">
        <w:rPr>
          <w:noProof/>
          <w:lang w:val="en-US"/>
        </w:rPr>
        <w:tab/>
        <w:t xml:space="preserve">Pirkle, A. </w:t>
      </w:r>
      <w:r w:rsidRPr="0081495E">
        <w:rPr>
          <w:i/>
          <w:iCs/>
          <w:noProof/>
          <w:lang w:val="en-US"/>
        </w:rPr>
        <w:t>et al.</w:t>
      </w:r>
      <w:r w:rsidRPr="0081495E">
        <w:rPr>
          <w:noProof/>
          <w:lang w:val="en-US"/>
        </w:rPr>
        <w:t xml:space="preserve"> The effect of chemical residues on the physical and electrical properties of chemical vapor deposited graphene transferred to SiO2. </w:t>
      </w:r>
      <w:r w:rsidRPr="0081495E">
        <w:rPr>
          <w:i/>
          <w:iCs/>
          <w:noProof/>
          <w:lang w:val="en-US"/>
        </w:rPr>
        <w:t>Appl. Phys. Lett.</w:t>
      </w:r>
      <w:r w:rsidRPr="0081495E">
        <w:rPr>
          <w:noProof/>
          <w:lang w:val="en-US"/>
        </w:rPr>
        <w:t xml:space="preserve"> </w:t>
      </w:r>
      <w:r w:rsidRPr="0081495E">
        <w:rPr>
          <w:b/>
          <w:bCs/>
          <w:noProof/>
          <w:lang w:val="en-US"/>
        </w:rPr>
        <w:t>99</w:t>
      </w:r>
      <w:r w:rsidRPr="0081495E">
        <w:rPr>
          <w:noProof/>
          <w:lang w:val="en-US"/>
        </w:rPr>
        <w:t>, 2009–2012 (2011).</w:t>
      </w:r>
    </w:p>
    <w:p w14:paraId="48205EEA"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16.</w:t>
      </w:r>
      <w:r w:rsidRPr="0081495E">
        <w:rPr>
          <w:noProof/>
          <w:lang w:val="en-US"/>
        </w:rPr>
        <w:tab/>
        <w:t xml:space="preserve">Chaves, F. A., Jiménez, D., Cummings, A. W. &amp; Roche, S. Physical model of the contact resistivity of metal-graphene junctions. </w:t>
      </w:r>
      <w:r w:rsidRPr="0081495E">
        <w:rPr>
          <w:i/>
          <w:iCs/>
          <w:noProof/>
          <w:lang w:val="en-US"/>
        </w:rPr>
        <w:t>J. Appl. Phys.</w:t>
      </w:r>
      <w:r w:rsidRPr="0081495E">
        <w:rPr>
          <w:noProof/>
          <w:lang w:val="en-US"/>
        </w:rPr>
        <w:t xml:space="preserve"> </w:t>
      </w:r>
      <w:r w:rsidRPr="0081495E">
        <w:rPr>
          <w:b/>
          <w:bCs/>
          <w:noProof/>
          <w:lang w:val="en-US"/>
        </w:rPr>
        <w:t>115</w:t>
      </w:r>
      <w:r w:rsidRPr="0081495E">
        <w:rPr>
          <w:noProof/>
          <w:lang w:val="en-US"/>
        </w:rPr>
        <w:t>, (2014).</w:t>
      </w:r>
    </w:p>
    <w:p w14:paraId="1CE614BF"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17.</w:t>
      </w:r>
      <w:r w:rsidRPr="0081495E">
        <w:rPr>
          <w:noProof/>
          <w:lang w:val="en-US"/>
        </w:rPr>
        <w:tab/>
        <w:t xml:space="preserve">Dai, X. </w:t>
      </w:r>
      <w:r w:rsidRPr="0081495E">
        <w:rPr>
          <w:i/>
          <w:iCs/>
          <w:noProof/>
          <w:lang w:val="en-US"/>
        </w:rPr>
        <w:t>et al.</w:t>
      </w:r>
      <w:r w:rsidRPr="0081495E">
        <w:rPr>
          <w:noProof/>
          <w:lang w:val="en-US"/>
        </w:rPr>
        <w:t xml:space="preserve"> Modularized Field-Effect Transistor Biosensors. </w:t>
      </w:r>
      <w:r w:rsidRPr="0081495E">
        <w:rPr>
          <w:i/>
          <w:iCs/>
          <w:noProof/>
          <w:lang w:val="en-US"/>
        </w:rPr>
        <w:t>Nano Lett.</w:t>
      </w:r>
      <w:r w:rsidRPr="0081495E">
        <w:rPr>
          <w:noProof/>
          <w:lang w:val="en-US"/>
        </w:rPr>
        <w:t xml:space="preserve"> </w:t>
      </w:r>
      <w:r w:rsidRPr="0081495E">
        <w:rPr>
          <w:b/>
          <w:bCs/>
          <w:noProof/>
          <w:lang w:val="en-US"/>
        </w:rPr>
        <w:t>19</w:t>
      </w:r>
      <w:r w:rsidRPr="0081495E">
        <w:rPr>
          <w:noProof/>
          <w:lang w:val="en-US"/>
        </w:rPr>
        <w:t>, 6658–6664 (2019).</w:t>
      </w:r>
    </w:p>
    <w:p w14:paraId="41B69FC7"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18.</w:t>
      </w:r>
      <w:r w:rsidRPr="0081495E">
        <w:rPr>
          <w:noProof/>
          <w:lang w:val="en-US"/>
        </w:rPr>
        <w:tab/>
        <w:t xml:space="preserve">Ono, T. </w:t>
      </w:r>
      <w:r w:rsidRPr="0081495E">
        <w:rPr>
          <w:i/>
          <w:iCs/>
          <w:noProof/>
          <w:lang w:val="en-US"/>
        </w:rPr>
        <w:t>et al.</w:t>
      </w:r>
      <w:r w:rsidRPr="0081495E">
        <w:rPr>
          <w:noProof/>
          <w:lang w:val="en-US"/>
        </w:rPr>
        <w:t xml:space="preserve"> Electrical Biosensing at Physiological Ionic Strength Using Graphene Field-Effect Transistor in Femtoliter Microdroplet. </w:t>
      </w:r>
      <w:r w:rsidRPr="0081495E">
        <w:rPr>
          <w:i/>
          <w:iCs/>
          <w:noProof/>
          <w:lang w:val="en-US"/>
        </w:rPr>
        <w:t>Nano Lett.</w:t>
      </w:r>
      <w:r w:rsidRPr="0081495E">
        <w:rPr>
          <w:noProof/>
          <w:lang w:val="en-US"/>
        </w:rPr>
        <w:t xml:space="preserve"> </w:t>
      </w:r>
      <w:r w:rsidRPr="0081495E">
        <w:rPr>
          <w:b/>
          <w:bCs/>
          <w:noProof/>
          <w:lang w:val="en-US"/>
        </w:rPr>
        <w:t>19</w:t>
      </w:r>
      <w:r w:rsidRPr="0081495E">
        <w:rPr>
          <w:noProof/>
          <w:lang w:val="en-US"/>
        </w:rPr>
        <w:t>, 4004–4009 (2019).</w:t>
      </w:r>
    </w:p>
    <w:p w14:paraId="161C7E92"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19.</w:t>
      </w:r>
      <w:r w:rsidRPr="0081495E">
        <w:rPr>
          <w:noProof/>
          <w:lang w:val="en-US"/>
        </w:rPr>
        <w:tab/>
        <w:t xml:space="preserve">Schranghamer, T. F., Oberoi, A. &amp; Das, S. Graphene memristive synapses for high precision neuromorphic computing. </w:t>
      </w:r>
      <w:r w:rsidRPr="0081495E">
        <w:rPr>
          <w:i/>
          <w:iCs/>
          <w:noProof/>
          <w:lang w:val="en-US"/>
        </w:rPr>
        <w:t>Nat. Commun.</w:t>
      </w:r>
      <w:r w:rsidRPr="0081495E">
        <w:rPr>
          <w:noProof/>
          <w:lang w:val="en-US"/>
        </w:rPr>
        <w:t xml:space="preserve"> </w:t>
      </w:r>
      <w:r w:rsidRPr="0081495E">
        <w:rPr>
          <w:b/>
          <w:bCs/>
          <w:noProof/>
          <w:lang w:val="en-US"/>
        </w:rPr>
        <w:t>11</w:t>
      </w:r>
      <w:r w:rsidRPr="0081495E">
        <w:rPr>
          <w:noProof/>
          <w:lang w:val="en-US"/>
        </w:rPr>
        <w:t>, 1–11 (2020).</w:t>
      </w:r>
    </w:p>
    <w:p w14:paraId="5E306261"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20.</w:t>
      </w:r>
      <w:r w:rsidRPr="0081495E">
        <w:rPr>
          <w:noProof/>
          <w:lang w:val="en-US"/>
        </w:rPr>
        <w:tab/>
        <w:t xml:space="preserve">Burzurí, E., Granados, D. &amp; Pérez, E. M. Physically Unclonable Functions Based on </w:t>
      </w:r>
      <w:r w:rsidRPr="0081495E">
        <w:rPr>
          <w:noProof/>
          <w:lang w:val="en-US"/>
        </w:rPr>
        <w:lastRenderedPageBreak/>
        <w:t xml:space="preserve">Single-Walled Carbon Nanotubes: A Scalable and Inexpensive Method toward Unique Identifiers. </w:t>
      </w:r>
      <w:r w:rsidRPr="0081495E">
        <w:rPr>
          <w:i/>
          <w:iCs/>
          <w:noProof/>
          <w:lang w:val="en-US"/>
        </w:rPr>
        <w:t>ACS Appl. Nano Mater.</w:t>
      </w:r>
      <w:r w:rsidRPr="0081495E">
        <w:rPr>
          <w:noProof/>
          <w:lang w:val="en-US"/>
        </w:rPr>
        <w:t xml:space="preserve"> </w:t>
      </w:r>
      <w:r w:rsidRPr="0081495E">
        <w:rPr>
          <w:b/>
          <w:bCs/>
          <w:noProof/>
          <w:lang w:val="en-US"/>
        </w:rPr>
        <w:t>2</w:t>
      </w:r>
      <w:r w:rsidRPr="0081495E">
        <w:rPr>
          <w:noProof/>
          <w:lang w:val="en-US"/>
        </w:rPr>
        <w:t>, 1796–1801 (2019).</w:t>
      </w:r>
    </w:p>
    <w:p w14:paraId="013B1E0D"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21.</w:t>
      </w:r>
      <w:r w:rsidRPr="0081495E">
        <w:rPr>
          <w:noProof/>
          <w:lang w:val="en-US"/>
        </w:rPr>
        <w:tab/>
        <w:t xml:space="preserve">Viero, Y. </w:t>
      </w:r>
      <w:r w:rsidRPr="0081495E">
        <w:rPr>
          <w:i/>
          <w:iCs/>
          <w:noProof/>
          <w:lang w:val="en-US"/>
        </w:rPr>
        <w:t>et al.</w:t>
      </w:r>
      <w:r w:rsidRPr="0081495E">
        <w:rPr>
          <w:noProof/>
          <w:lang w:val="en-US"/>
        </w:rPr>
        <w:t xml:space="preserve"> Light-Stimulatable Molecules/Nanoparticles Networks for Switchable Logical Functions and Reservoir Computing. </w:t>
      </w:r>
      <w:r w:rsidRPr="0081495E">
        <w:rPr>
          <w:i/>
          <w:iCs/>
          <w:noProof/>
          <w:lang w:val="en-US"/>
        </w:rPr>
        <w:t>Adv. Funct. Mater.</w:t>
      </w:r>
      <w:r w:rsidRPr="0081495E">
        <w:rPr>
          <w:noProof/>
          <w:lang w:val="en-US"/>
        </w:rPr>
        <w:t xml:space="preserve"> </w:t>
      </w:r>
      <w:r w:rsidRPr="0081495E">
        <w:rPr>
          <w:b/>
          <w:bCs/>
          <w:noProof/>
          <w:lang w:val="en-US"/>
        </w:rPr>
        <w:t>28</w:t>
      </w:r>
      <w:r w:rsidRPr="0081495E">
        <w:rPr>
          <w:noProof/>
          <w:lang w:val="en-US"/>
        </w:rPr>
        <w:t>, 1801506 (1–10) (2018).</w:t>
      </w:r>
    </w:p>
    <w:p w14:paraId="53FC8108"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22.</w:t>
      </w:r>
      <w:r w:rsidRPr="0081495E">
        <w:rPr>
          <w:noProof/>
          <w:lang w:val="en-US"/>
        </w:rPr>
        <w:tab/>
        <w:t xml:space="preserve">Nirmalraj, P., Daly, R., Martin, N. &amp; Thompson, D. Motion of Fullerenes around Topological Defects on Metals: Implications for the Progress of Molecular Scale Devices. </w:t>
      </w:r>
      <w:r w:rsidRPr="0081495E">
        <w:rPr>
          <w:i/>
          <w:iCs/>
          <w:noProof/>
          <w:lang w:val="en-US"/>
        </w:rPr>
        <w:t>ACS Appl. Mater. Interfaces</w:t>
      </w:r>
      <w:r w:rsidRPr="0081495E">
        <w:rPr>
          <w:noProof/>
          <w:lang w:val="en-US"/>
        </w:rPr>
        <w:t xml:space="preserve"> </w:t>
      </w:r>
      <w:r w:rsidRPr="0081495E">
        <w:rPr>
          <w:b/>
          <w:bCs/>
          <w:noProof/>
          <w:lang w:val="en-US"/>
        </w:rPr>
        <w:t>9</w:t>
      </w:r>
      <w:r w:rsidRPr="0081495E">
        <w:rPr>
          <w:noProof/>
          <w:lang w:val="en-US"/>
        </w:rPr>
        <w:t>, 7897–7902 (2017).</w:t>
      </w:r>
    </w:p>
    <w:p w14:paraId="18EF0579"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23.</w:t>
      </w:r>
      <w:r w:rsidRPr="0081495E">
        <w:rPr>
          <w:noProof/>
          <w:lang w:val="en-US"/>
        </w:rPr>
        <w:tab/>
        <w:t xml:space="preserve">Daeneke, T. </w:t>
      </w:r>
      <w:r w:rsidRPr="0081495E">
        <w:rPr>
          <w:i/>
          <w:iCs/>
          <w:noProof/>
          <w:lang w:val="en-US"/>
        </w:rPr>
        <w:t>et al.</w:t>
      </w:r>
      <w:r w:rsidRPr="0081495E">
        <w:rPr>
          <w:noProof/>
          <w:lang w:val="en-US"/>
        </w:rPr>
        <w:t xml:space="preserve"> High-efficiency dye-sensitized solar cells with ferrocene-based electrolytes. </w:t>
      </w:r>
      <w:r w:rsidRPr="0081495E">
        <w:rPr>
          <w:i/>
          <w:iCs/>
          <w:noProof/>
          <w:lang w:val="en-US"/>
        </w:rPr>
        <w:t>Nat. Chem.</w:t>
      </w:r>
      <w:r w:rsidRPr="0081495E">
        <w:rPr>
          <w:noProof/>
          <w:lang w:val="en-US"/>
        </w:rPr>
        <w:t xml:space="preserve"> </w:t>
      </w:r>
      <w:r w:rsidRPr="0081495E">
        <w:rPr>
          <w:b/>
          <w:bCs/>
          <w:noProof/>
          <w:lang w:val="en-US"/>
        </w:rPr>
        <w:t>3</w:t>
      </w:r>
      <w:r w:rsidRPr="0081495E">
        <w:rPr>
          <w:noProof/>
          <w:lang w:val="en-US"/>
        </w:rPr>
        <w:t>, 211–215 (2011).</w:t>
      </w:r>
    </w:p>
    <w:p w14:paraId="24B1B1AD"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24.</w:t>
      </w:r>
      <w:r w:rsidRPr="0081495E">
        <w:rPr>
          <w:noProof/>
          <w:lang w:val="en-US"/>
        </w:rPr>
        <w:tab/>
        <w:t xml:space="preserve">Ponseca, C. S., Chábera, P., Uhlig, J., Persson, P. &amp; Sundström, V. Ultrafast Electron Dynamics in Solar Energy Conversion. </w:t>
      </w:r>
      <w:r w:rsidRPr="0081495E">
        <w:rPr>
          <w:i/>
          <w:iCs/>
          <w:noProof/>
          <w:lang w:val="en-US"/>
        </w:rPr>
        <w:t>Chem. Rev.</w:t>
      </w:r>
      <w:r w:rsidRPr="0081495E">
        <w:rPr>
          <w:noProof/>
          <w:lang w:val="en-US"/>
        </w:rPr>
        <w:t xml:space="preserve"> </w:t>
      </w:r>
      <w:r w:rsidRPr="0081495E">
        <w:rPr>
          <w:b/>
          <w:bCs/>
          <w:noProof/>
          <w:lang w:val="en-US"/>
        </w:rPr>
        <w:t>117</w:t>
      </w:r>
      <w:r w:rsidRPr="0081495E">
        <w:rPr>
          <w:noProof/>
          <w:lang w:val="en-US"/>
        </w:rPr>
        <w:t>, 10940–11024 (2017).</w:t>
      </w:r>
    </w:p>
    <w:p w14:paraId="4FF9EE99"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25.</w:t>
      </w:r>
      <w:r w:rsidRPr="0081495E">
        <w:rPr>
          <w:noProof/>
          <w:lang w:val="en-US"/>
        </w:rPr>
        <w:tab/>
        <w:t xml:space="preserve">Jia, C. </w:t>
      </w:r>
      <w:r w:rsidRPr="0081495E">
        <w:rPr>
          <w:i/>
          <w:iCs/>
          <w:noProof/>
          <w:lang w:val="en-US"/>
        </w:rPr>
        <w:t>et al.</w:t>
      </w:r>
      <w:r w:rsidRPr="0081495E">
        <w:rPr>
          <w:noProof/>
          <w:lang w:val="en-US"/>
        </w:rPr>
        <w:t xml:space="preserve"> Quantum interference mediated vertical molecular tunneling transistors. </w:t>
      </w:r>
      <w:r w:rsidRPr="0081495E">
        <w:rPr>
          <w:i/>
          <w:iCs/>
          <w:noProof/>
          <w:lang w:val="en-US"/>
        </w:rPr>
        <w:t>Sci. Adv.</w:t>
      </w:r>
      <w:r w:rsidRPr="0081495E">
        <w:rPr>
          <w:noProof/>
          <w:lang w:val="en-US"/>
        </w:rPr>
        <w:t xml:space="preserve"> </w:t>
      </w:r>
      <w:r w:rsidRPr="0081495E">
        <w:rPr>
          <w:b/>
          <w:bCs/>
          <w:noProof/>
          <w:lang w:val="en-US"/>
        </w:rPr>
        <w:t>4</w:t>
      </w:r>
      <w:r w:rsidRPr="0081495E">
        <w:rPr>
          <w:noProof/>
          <w:lang w:val="en-US"/>
        </w:rPr>
        <w:t>, eaat8237 (2018).</w:t>
      </w:r>
    </w:p>
    <w:p w14:paraId="424338A0"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26.</w:t>
      </w:r>
      <w:r w:rsidRPr="0081495E">
        <w:rPr>
          <w:noProof/>
          <w:lang w:val="en-US"/>
        </w:rPr>
        <w:tab/>
        <w:t xml:space="preserve">Xin, N. </w:t>
      </w:r>
      <w:r w:rsidRPr="0081495E">
        <w:rPr>
          <w:i/>
          <w:iCs/>
          <w:noProof/>
          <w:lang w:val="en-US"/>
        </w:rPr>
        <w:t>et al.</w:t>
      </w:r>
      <w:r w:rsidRPr="0081495E">
        <w:rPr>
          <w:noProof/>
          <w:lang w:val="en-US"/>
        </w:rPr>
        <w:t xml:space="preserve"> Concepts in the design and engineering of single-molecule electronic devices. </w:t>
      </w:r>
      <w:r w:rsidRPr="0081495E">
        <w:rPr>
          <w:i/>
          <w:iCs/>
          <w:noProof/>
          <w:lang w:val="en-US"/>
        </w:rPr>
        <w:t>Nat. Rev. Phys.</w:t>
      </w:r>
      <w:r w:rsidRPr="0081495E">
        <w:rPr>
          <w:noProof/>
          <w:lang w:val="en-US"/>
        </w:rPr>
        <w:t xml:space="preserve"> </w:t>
      </w:r>
      <w:r w:rsidRPr="0081495E">
        <w:rPr>
          <w:b/>
          <w:bCs/>
          <w:noProof/>
          <w:lang w:val="en-US"/>
        </w:rPr>
        <w:t>1</w:t>
      </w:r>
      <w:r w:rsidRPr="0081495E">
        <w:rPr>
          <w:noProof/>
          <w:lang w:val="en-US"/>
        </w:rPr>
        <w:t>, 211–230 (2019).</w:t>
      </w:r>
    </w:p>
    <w:p w14:paraId="27E0322F" w14:textId="77777777" w:rsidR="00797B20" w:rsidRPr="0081495E" w:rsidRDefault="00797B20" w:rsidP="00797B20">
      <w:pPr>
        <w:widowControl w:val="0"/>
        <w:autoSpaceDE w:val="0"/>
        <w:autoSpaceDN w:val="0"/>
        <w:adjustRightInd w:val="0"/>
        <w:ind w:left="640" w:hanging="640"/>
        <w:rPr>
          <w:noProof/>
          <w:lang w:val="en-US"/>
        </w:rPr>
      </w:pPr>
      <w:r w:rsidRPr="0081495E">
        <w:rPr>
          <w:noProof/>
          <w:lang w:val="en-US"/>
        </w:rPr>
        <w:t>27.</w:t>
      </w:r>
      <w:r w:rsidRPr="0081495E">
        <w:rPr>
          <w:noProof/>
          <w:lang w:val="en-US"/>
        </w:rPr>
        <w:tab/>
        <w:t xml:space="preserve">Tarafder, K., Surendranath, Y., Olshansky, J. H., Alivisatos, A. P. &amp; Wang, L. W. Hole transfer dynamics from a CdSe/CdS quantum rod to a tethered ferrocene derivative. </w:t>
      </w:r>
      <w:r w:rsidRPr="0081495E">
        <w:rPr>
          <w:i/>
          <w:iCs/>
          <w:noProof/>
          <w:lang w:val="en-US"/>
        </w:rPr>
        <w:t>J. Am. Chem. Soc.</w:t>
      </w:r>
      <w:r w:rsidRPr="0081495E">
        <w:rPr>
          <w:noProof/>
          <w:lang w:val="en-US"/>
        </w:rPr>
        <w:t xml:space="preserve"> </w:t>
      </w:r>
      <w:r w:rsidRPr="0081495E">
        <w:rPr>
          <w:b/>
          <w:bCs/>
          <w:noProof/>
          <w:lang w:val="en-US"/>
        </w:rPr>
        <w:t>136</w:t>
      </w:r>
      <w:r w:rsidRPr="0081495E">
        <w:rPr>
          <w:noProof/>
          <w:lang w:val="en-US"/>
        </w:rPr>
        <w:t>, 5121–5131 (2014).</w:t>
      </w:r>
    </w:p>
    <w:p w14:paraId="5EF209AB" w14:textId="77777777" w:rsidR="00797B20" w:rsidRPr="00797B20" w:rsidRDefault="00797B20" w:rsidP="00797B20">
      <w:pPr>
        <w:widowControl w:val="0"/>
        <w:autoSpaceDE w:val="0"/>
        <w:autoSpaceDN w:val="0"/>
        <w:adjustRightInd w:val="0"/>
        <w:ind w:left="640" w:hanging="640"/>
        <w:rPr>
          <w:noProof/>
        </w:rPr>
      </w:pPr>
      <w:r w:rsidRPr="0081495E">
        <w:rPr>
          <w:noProof/>
          <w:lang w:val="en-US"/>
        </w:rPr>
        <w:t>28.</w:t>
      </w:r>
      <w:r w:rsidRPr="0081495E">
        <w:rPr>
          <w:noProof/>
          <w:lang w:val="en-US"/>
        </w:rPr>
        <w:tab/>
        <w:t xml:space="preserve">Fabbrizzi, L. The ferrocenium/ferrocene couple: a versatile redox switch. </w:t>
      </w:r>
      <w:r w:rsidRPr="00797B20">
        <w:rPr>
          <w:i/>
          <w:iCs/>
          <w:noProof/>
          <w:lang w:val="es-ES_tradnl"/>
        </w:rPr>
        <w:t>ChemTexts</w:t>
      </w:r>
      <w:r w:rsidRPr="00797B20">
        <w:rPr>
          <w:noProof/>
          <w:lang w:val="es-ES_tradnl"/>
        </w:rPr>
        <w:t xml:space="preserve"> </w:t>
      </w:r>
      <w:r w:rsidRPr="00797B20">
        <w:rPr>
          <w:b/>
          <w:bCs/>
          <w:noProof/>
          <w:lang w:val="es-ES_tradnl"/>
        </w:rPr>
        <w:t>6</w:t>
      </w:r>
      <w:r w:rsidRPr="00797B20">
        <w:rPr>
          <w:noProof/>
          <w:lang w:val="es-ES_tradnl"/>
        </w:rPr>
        <w:t>, 1–20 (2020).</w:t>
      </w:r>
    </w:p>
    <w:p w14:paraId="5102C937" w14:textId="0669C1BC" w:rsidR="0056759E" w:rsidRPr="001632C4" w:rsidRDefault="002C46DC" w:rsidP="00797B20">
      <w:pPr>
        <w:widowControl w:val="0"/>
        <w:autoSpaceDE w:val="0"/>
        <w:autoSpaceDN w:val="0"/>
        <w:adjustRightInd w:val="0"/>
        <w:ind w:left="640" w:hanging="640"/>
        <w:rPr>
          <w:lang w:val="en-US"/>
        </w:rPr>
      </w:pPr>
      <w:r>
        <w:rPr>
          <w:lang w:val="en-US"/>
        </w:rPr>
        <w:fldChar w:fldCharType="end"/>
      </w:r>
    </w:p>
    <w:p w14:paraId="7983D178" w14:textId="77777777" w:rsidR="00073462" w:rsidRPr="001632C4" w:rsidRDefault="00073462">
      <w:pPr>
        <w:widowControl w:val="0"/>
        <w:autoSpaceDE w:val="0"/>
        <w:autoSpaceDN w:val="0"/>
        <w:adjustRightInd w:val="0"/>
        <w:rPr>
          <w:lang w:val="en-US"/>
        </w:rPr>
      </w:pPr>
    </w:p>
    <w:sectPr w:rsidR="00073462" w:rsidRPr="001632C4" w:rsidSect="00404548">
      <w:headerReference w:type="default" r:id="rId39"/>
      <w:footerReference w:type="default" r:id="rId40"/>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7640C" w14:textId="77777777" w:rsidR="00E94B6F" w:rsidRDefault="00E94B6F">
      <w:r>
        <w:separator/>
      </w:r>
    </w:p>
  </w:endnote>
  <w:endnote w:type="continuationSeparator" w:id="0">
    <w:p w14:paraId="60BCB859" w14:textId="77777777" w:rsidR="00E94B6F" w:rsidRDefault="00E94B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6A1" w14:textId="77777777" w:rsidR="00533331" w:rsidRDefault="00533331">
    <w:pPr>
      <w:pStyle w:val="Piedepgina"/>
      <w:jc w:val="center"/>
    </w:pPr>
    <w:r>
      <w:fldChar w:fldCharType="begin"/>
    </w:r>
    <w:r>
      <w:instrText>PAGE   \* MERGEFORMAT</w:instrText>
    </w:r>
    <w:r>
      <w:fldChar w:fldCharType="separate"/>
    </w:r>
    <w:r>
      <w:rPr>
        <w:noProof/>
      </w:rPr>
      <w:t>15</w:t>
    </w:r>
    <w:r>
      <w:fldChar w:fldCharType="end"/>
    </w:r>
  </w:p>
  <w:p w14:paraId="76AE581B" w14:textId="77777777" w:rsidR="00533331" w:rsidRDefault="00533331" w:rsidP="00881456">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9F2DF" w14:textId="77777777" w:rsidR="00E94B6F" w:rsidRDefault="00E94B6F">
      <w:r>
        <w:separator/>
      </w:r>
    </w:p>
  </w:footnote>
  <w:footnote w:type="continuationSeparator" w:id="0">
    <w:p w14:paraId="209669D1" w14:textId="77777777" w:rsidR="00E94B6F" w:rsidRDefault="00E94B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A9236" w14:textId="008BF5C7" w:rsidR="00533331" w:rsidRPr="009B44CC" w:rsidRDefault="00533331" w:rsidP="009B44CC">
    <w:pPr>
      <w:pStyle w:val="Encabezado"/>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5F1B44"/>
    <w:multiLevelType w:val="hybridMultilevel"/>
    <w:tmpl w:val="8E327724"/>
    <w:lvl w:ilvl="0" w:tplc="040A0017">
      <w:start w:val="1"/>
      <w:numFmt w:val="low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1" w15:restartNumberingAfterBreak="0">
    <w:nsid w:val="25A44CC4"/>
    <w:multiLevelType w:val="hybridMultilevel"/>
    <w:tmpl w:val="8214B254"/>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 w15:restartNumberingAfterBreak="0">
    <w:nsid w:val="32505231"/>
    <w:multiLevelType w:val="hybridMultilevel"/>
    <w:tmpl w:val="0D26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0A413A"/>
    <w:multiLevelType w:val="hybridMultilevel"/>
    <w:tmpl w:val="34DAE82E"/>
    <w:lvl w:ilvl="0" w:tplc="040A0017">
      <w:start w:val="1"/>
      <w:numFmt w:val="lowerLetter"/>
      <w:lvlText w:val="%1)"/>
      <w:lvlJc w:val="left"/>
      <w:pPr>
        <w:ind w:left="3900" w:hanging="360"/>
      </w:pPr>
      <w:rPr>
        <w:rFonts w:hint="default"/>
      </w:rPr>
    </w:lvl>
    <w:lvl w:ilvl="1" w:tplc="040A0019" w:tentative="1">
      <w:start w:val="1"/>
      <w:numFmt w:val="lowerLetter"/>
      <w:lvlText w:val="%2."/>
      <w:lvlJc w:val="left"/>
      <w:pPr>
        <w:ind w:left="4620" w:hanging="360"/>
      </w:pPr>
    </w:lvl>
    <w:lvl w:ilvl="2" w:tplc="040A001B" w:tentative="1">
      <w:start w:val="1"/>
      <w:numFmt w:val="lowerRoman"/>
      <w:lvlText w:val="%3."/>
      <w:lvlJc w:val="right"/>
      <w:pPr>
        <w:ind w:left="5340" w:hanging="180"/>
      </w:pPr>
    </w:lvl>
    <w:lvl w:ilvl="3" w:tplc="040A000F" w:tentative="1">
      <w:start w:val="1"/>
      <w:numFmt w:val="decimal"/>
      <w:lvlText w:val="%4."/>
      <w:lvlJc w:val="left"/>
      <w:pPr>
        <w:ind w:left="6060" w:hanging="360"/>
      </w:pPr>
    </w:lvl>
    <w:lvl w:ilvl="4" w:tplc="040A0019" w:tentative="1">
      <w:start w:val="1"/>
      <w:numFmt w:val="lowerLetter"/>
      <w:lvlText w:val="%5."/>
      <w:lvlJc w:val="left"/>
      <w:pPr>
        <w:ind w:left="6780" w:hanging="360"/>
      </w:pPr>
    </w:lvl>
    <w:lvl w:ilvl="5" w:tplc="040A001B" w:tentative="1">
      <w:start w:val="1"/>
      <w:numFmt w:val="lowerRoman"/>
      <w:lvlText w:val="%6."/>
      <w:lvlJc w:val="right"/>
      <w:pPr>
        <w:ind w:left="7500" w:hanging="180"/>
      </w:pPr>
    </w:lvl>
    <w:lvl w:ilvl="6" w:tplc="040A000F" w:tentative="1">
      <w:start w:val="1"/>
      <w:numFmt w:val="decimal"/>
      <w:lvlText w:val="%7."/>
      <w:lvlJc w:val="left"/>
      <w:pPr>
        <w:ind w:left="8220" w:hanging="360"/>
      </w:pPr>
    </w:lvl>
    <w:lvl w:ilvl="7" w:tplc="040A0019" w:tentative="1">
      <w:start w:val="1"/>
      <w:numFmt w:val="lowerLetter"/>
      <w:lvlText w:val="%8."/>
      <w:lvlJc w:val="left"/>
      <w:pPr>
        <w:ind w:left="8940" w:hanging="360"/>
      </w:pPr>
    </w:lvl>
    <w:lvl w:ilvl="8" w:tplc="040A001B" w:tentative="1">
      <w:start w:val="1"/>
      <w:numFmt w:val="lowerRoman"/>
      <w:lvlText w:val="%9."/>
      <w:lvlJc w:val="right"/>
      <w:pPr>
        <w:ind w:left="9660" w:hanging="180"/>
      </w:pPr>
    </w:lvl>
  </w:abstractNum>
  <w:abstractNum w:abstractNumId="4" w15:restartNumberingAfterBreak="0">
    <w:nsid w:val="69AC4835"/>
    <w:multiLevelType w:val="hybridMultilevel"/>
    <w:tmpl w:val="6FC07C9E"/>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747D42D2"/>
    <w:multiLevelType w:val="hybridMultilevel"/>
    <w:tmpl w:val="E9A0257E"/>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663901476">
    <w:abstractNumId w:val="2"/>
  </w:num>
  <w:num w:numId="2" w16cid:durableId="1045955949">
    <w:abstractNumId w:val="0"/>
  </w:num>
  <w:num w:numId="3" w16cid:durableId="1037244515">
    <w:abstractNumId w:val="3"/>
  </w:num>
  <w:num w:numId="4" w16cid:durableId="2021546005">
    <w:abstractNumId w:val="5"/>
  </w:num>
  <w:num w:numId="5" w16cid:durableId="818809277">
    <w:abstractNumId w:val="4"/>
  </w:num>
  <w:num w:numId="6" w16cid:durableId="13225874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6A0"/>
    <w:rsid w:val="000003BB"/>
    <w:rsid w:val="00002812"/>
    <w:rsid w:val="00002FB3"/>
    <w:rsid w:val="0000374D"/>
    <w:rsid w:val="00003D2C"/>
    <w:rsid w:val="00004A23"/>
    <w:rsid w:val="0000637B"/>
    <w:rsid w:val="00006A0A"/>
    <w:rsid w:val="0000703E"/>
    <w:rsid w:val="00007320"/>
    <w:rsid w:val="00007739"/>
    <w:rsid w:val="000112FC"/>
    <w:rsid w:val="000118B0"/>
    <w:rsid w:val="00011F40"/>
    <w:rsid w:val="00012EAB"/>
    <w:rsid w:val="00013E96"/>
    <w:rsid w:val="0001454A"/>
    <w:rsid w:val="0001683C"/>
    <w:rsid w:val="000172E7"/>
    <w:rsid w:val="0002074D"/>
    <w:rsid w:val="000214A8"/>
    <w:rsid w:val="00023F64"/>
    <w:rsid w:val="00024793"/>
    <w:rsid w:val="00024F20"/>
    <w:rsid w:val="00027FB5"/>
    <w:rsid w:val="000314D2"/>
    <w:rsid w:val="000325C3"/>
    <w:rsid w:val="0003318F"/>
    <w:rsid w:val="00034C40"/>
    <w:rsid w:val="00035E0D"/>
    <w:rsid w:val="00036214"/>
    <w:rsid w:val="0004094E"/>
    <w:rsid w:val="00040B7B"/>
    <w:rsid w:val="00041C1B"/>
    <w:rsid w:val="000437F7"/>
    <w:rsid w:val="00045AA8"/>
    <w:rsid w:val="00045F11"/>
    <w:rsid w:val="00050985"/>
    <w:rsid w:val="0005501E"/>
    <w:rsid w:val="00055883"/>
    <w:rsid w:val="00056595"/>
    <w:rsid w:val="00056AF2"/>
    <w:rsid w:val="000579D7"/>
    <w:rsid w:val="0006044D"/>
    <w:rsid w:val="00060D37"/>
    <w:rsid w:val="00062324"/>
    <w:rsid w:val="00063C0E"/>
    <w:rsid w:val="00071496"/>
    <w:rsid w:val="00071F9B"/>
    <w:rsid w:val="00072EA7"/>
    <w:rsid w:val="00073462"/>
    <w:rsid w:val="00073F10"/>
    <w:rsid w:val="000741BC"/>
    <w:rsid w:val="00074C88"/>
    <w:rsid w:val="00076EAD"/>
    <w:rsid w:val="00080655"/>
    <w:rsid w:val="00080982"/>
    <w:rsid w:val="0008287E"/>
    <w:rsid w:val="00083031"/>
    <w:rsid w:val="0008414A"/>
    <w:rsid w:val="00084BEE"/>
    <w:rsid w:val="00085BDA"/>
    <w:rsid w:val="0008614E"/>
    <w:rsid w:val="0008662C"/>
    <w:rsid w:val="0008740B"/>
    <w:rsid w:val="000900D2"/>
    <w:rsid w:val="00090438"/>
    <w:rsid w:val="000904D3"/>
    <w:rsid w:val="00091C31"/>
    <w:rsid w:val="0009309C"/>
    <w:rsid w:val="00093F1B"/>
    <w:rsid w:val="000943CC"/>
    <w:rsid w:val="0009564B"/>
    <w:rsid w:val="00096237"/>
    <w:rsid w:val="000A0904"/>
    <w:rsid w:val="000A13C6"/>
    <w:rsid w:val="000A1F4B"/>
    <w:rsid w:val="000A21A9"/>
    <w:rsid w:val="000A3E93"/>
    <w:rsid w:val="000A46DA"/>
    <w:rsid w:val="000A472C"/>
    <w:rsid w:val="000A5773"/>
    <w:rsid w:val="000A682F"/>
    <w:rsid w:val="000A7412"/>
    <w:rsid w:val="000B05A0"/>
    <w:rsid w:val="000B33EE"/>
    <w:rsid w:val="000B4293"/>
    <w:rsid w:val="000B5364"/>
    <w:rsid w:val="000B5AF6"/>
    <w:rsid w:val="000B66BE"/>
    <w:rsid w:val="000B7E69"/>
    <w:rsid w:val="000C0DD7"/>
    <w:rsid w:val="000C112A"/>
    <w:rsid w:val="000C259E"/>
    <w:rsid w:val="000C3955"/>
    <w:rsid w:val="000C3E0C"/>
    <w:rsid w:val="000C5420"/>
    <w:rsid w:val="000C6252"/>
    <w:rsid w:val="000C6F8A"/>
    <w:rsid w:val="000C7F55"/>
    <w:rsid w:val="000D2D4B"/>
    <w:rsid w:val="000D45F4"/>
    <w:rsid w:val="000D5AB4"/>
    <w:rsid w:val="000D66DB"/>
    <w:rsid w:val="000D7EBA"/>
    <w:rsid w:val="000E0465"/>
    <w:rsid w:val="000E0F9F"/>
    <w:rsid w:val="000E7559"/>
    <w:rsid w:val="000E788B"/>
    <w:rsid w:val="000E7A5B"/>
    <w:rsid w:val="000E7BBA"/>
    <w:rsid w:val="000F2393"/>
    <w:rsid w:val="000F499E"/>
    <w:rsid w:val="000F512F"/>
    <w:rsid w:val="001000C1"/>
    <w:rsid w:val="0010012B"/>
    <w:rsid w:val="001013F4"/>
    <w:rsid w:val="00101708"/>
    <w:rsid w:val="0010447D"/>
    <w:rsid w:val="001054D4"/>
    <w:rsid w:val="0010686C"/>
    <w:rsid w:val="00107830"/>
    <w:rsid w:val="00107C5F"/>
    <w:rsid w:val="00107CCC"/>
    <w:rsid w:val="00110011"/>
    <w:rsid w:val="001105BD"/>
    <w:rsid w:val="00112B1F"/>
    <w:rsid w:val="00116559"/>
    <w:rsid w:val="00116C82"/>
    <w:rsid w:val="00120E85"/>
    <w:rsid w:val="00122882"/>
    <w:rsid w:val="00123ADA"/>
    <w:rsid w:val="00125009"/>
    <w:rsid w:val="00125573"/>
    <w:rsid w:val="0012642A"/>
    <w:rsid w:val="00126D17"/>
    <w:rsid w:val="0012728D"/>
    <w:rsid w:val="00127DDF"/>
    <w:rsid w:val="001305BF"/>
    <w:rsid w:val="00130FB8"/>
    <w:rsid w:val="00131D58"/>
    <w:rsid w:val="00133FD8"/>
    <w:rsid w:val="001370B1"/>
    <w:rsid w:val="001377CA"/>
    <w:rsid w:val="00140B94"/>
    <w:rsid w:val="001413E1"/>
    <w:rsid w:val="001450FB"/>
    <w:rsid w:val="0014658A"/>
    <w:rsid w:val="00147DB8"/>
    <w:rsid w:val="00151444"/>
    <w:rsid w:val="00151683"/>
    <w:rsid w:val="001530EB"/>
    <w:rsid w:val="0015392F"/>
    <w:rsid w:val="0015563E"/>
    <w:rsid w:val="00155F66"/>
    <w:rsid w:val="001632C4"/>
    <w:rsid w:val="0016390D"/>
    <w:rsid w:val="00164057"/>
    <w:rsid w:val="00165B37"/>
    <w:rsid w:val="00166C7F"/>
    <w:rsid w:val="001676D0"/>
    <w:rsid w:val="00170369"/>
    <w:rsid w:val="00173757"/>
    <w:rsid w:val="0017399E"/>
    <w:rsid w:val="00174176"/>
    <w:rsid w:val="00180D3C"/>
    <w:rsid w:val="00181D92"/>
    <w:rsid w:val="001823B6"/>
    <w:rsid w:val="00182A8B"/>
    <w:rsid w:val="001848EB"/>
    <w:rsid w:val="00187DB9"/>
    <w:rsid w:val="0019077D"/>
    <w:rsid w:val="0019092A"/>
    <w:rsid w:val="00191469"/>
    <w:rsid w:val="0019194D"/>
    <w:rsid w:val="00195EBF"/>
    <w:rsid w:val="0019723B"/>
    <w:rsid w:val="001A2E28"/>
    <w:rsid w:val="001A3DF1"/>
    <w:rsid w:val="001A4240"/>
    <w:rsid w:val="001A5A9B"/>
    <w:rsid w:val="001A6821"/>
    <w:rsid w:val="001A734D"/>
    <w:rsid w:val="001B4224"/>
    <w:rsid w:val="001B7472"/>
    <w:rsid w:val="001C10AC"/>
    <w:rsid w:val="001C2CEC"/>
    <w:rsid w:val="001C4F5F"/>
    <w:rsid w:val="001C55FB"/>
    <w:rsid w:val="001D0A25"/>
    <w:rsid w:val="001D12BC"/>
    <w:rsid w:val="001D561D"/>
    <w:rsid w:val="001E18CC"/>
    <w:rsid w:val="001E3D2D"/>
    <w:rsid w:val="001E4091"/>
    <w:rsid w:val="001E4605"/>
    <w:rsid w:val="001E5106"/>
    <w:rsid w:val="001E5F4E"/>
    <w:rsid w:val="001F177A"/>
    <w:rsid w:val="001F1A29"/>
    <w:rsid w:val="001F2689"/>
    <w:rsid w:val="001F2AB7"/>
    <w:rsid w:val="001F3C9B"/>
    <w:rsid w:val="001F3E77"/>
    <w:rsid w:val="001F4BD1"/>
    <w:rsid w:val="001F5110"/>
    <w:rsid w:val="001F5702"/>
    <w:rsid w:val="001F65A2"/>
    <w:rsid w:val="001F7579"/>
    <w:rsid w:val="002002FC"/>
    <w:rsid w:val="00201F71"/>
    <w:rsid w:val="00203934"/>
    <w:rsid w:val="00204284"/>
    <w:rsid w:val="0020446B"/>
    <w:rsid w:val="00204BA7"/>
    <w:rsid w:val="00205473"/>
    <w:rsid w:val="0020690F"/>
    <w:rsid w:val="00207014"/>
    <w:rsid w:val="002072AB"/>
    <w:rsid w:val="00207C76"/>
    <w:rsid w:val="00210140"/>
    <w:rsid w:val="0021176B"/>
    <w:rsid w:val="00211942"/>
    <w:rsid w:val="00211F11"/>
    <w:rsid w:val="0021309A"/>
    <w:rsid w:val="00214BDA"/>
    <w:rsid w:val="00214D95"/>
    <w:rsid w:val="00215531"/>
    <w:rsid w:val="002162B2"/>
    <w:rsid w:val="00216F54"/>
    <w:rsid w:val="002172D5"/>
    <w:rsid w:val="00220933"/>
    <w:rsid w:val="00220C72"/>
    <w:rsid w:val="00221C5D"/>
    <w:rsid w:val="0022540C"/>
    <w:rsid w:val="00226AA4"/>
    <w:rsid w:val="00233869"/>
    <w:rsid w:val="00233C8A"/>
    <w:rsid w:val="002349E8"/>
    <w:rsid w:val="00236036"/>
    <w:rsid w:val="00236164"/>
    <w:rsid w:val="002402BF"/>
    <w:rsid w:val="00240CC7"/>
    <w:rsid w:val="00240D90"/>
    <w:rsid w:val="00242471"/>
    <w:rsid w:val="002506EB"/>
    <w:rsid w:val="00250EE4"/>
    <w:rsid w:val="0025139E"/>
    <w:rsid w:val="00251982"/>
    <w:rsid w:val="00253CB1"/>
    <w:rsid w:val="002543F9"/>
    <w:rsid w:val="00256242"/>
    <w:rsid w:val="00256B2E"/>
    <w:rsid w:val="00257473"/>
    <w:rsid w:val="00257ADD"/>
    <w:rsid w:val="00263723"/>
    <w:rsid w:val="00263CF8"/>
    <w:rsid w:val="00265635"/>
    <w:rsid w:val="0026613F"/>
    <w:rsid w:val="00266389"/>
    <w:rsid w:val="002675F7"/>
    <w:rsid w:val="002725A5"/>
    <w:rsid w:val="0027314F"/>
    <w:rsid w:val="00273459"/>
    <w:rsid w:val="00280433"/>
    <w:rsid w:val="002821C3"/>
    <w:rsid w:val="002822D6"/>
    <w:rsid w:val="00282508"/>
    <w:rsid w:val="00282877"/>
    <w:rsid w:val="0028289F"/>
    <w:rsid w:val="00284157"/>
    <w:rsid w:val="00285631"/>
    <w:rsid w:val="00290D94"/>
    <w:rsid w:val="00291102"/>
    <w:rsid w:val="0029203C"/>
    <w:rsid w:val="00293225"/>
    <w:rsid w:val="002940A1"/>
    <w:rsid w:val="00294873"/>
    <w:rsid w:val="002A0DE1"/>
    <w:rsid w:val="002A2058"/>
    <w:rsid w:val="002A3CB1"/>
    <w:rsid w:val="002A4A81"/>
    <w:rsid w:val="002A73A2"/>
    <w:rsid w:val="002A7CE8"/>
    <w:rsid w:val="002B0671"/>
    <w:rsid w:val="002B262F"/>
    <w:rsid w:val="002B3553"/>
    <w:rsid w:val="002B5E06"/>
    <w:rsid w:val="002C0CFF"/>
    <w:rsid w:val="002C10B0"/>
    <w:rsid w:val="002C19FA"/>
    <w:rsid w:val="002C1B92"/>
    <w:rsid w:val="002C2606"/>
    <w:rsid w:val="002C46DC"/>
    <w:rsid w:val="002C4BAE"/>
    <w:rsid w:val="002C7572"/>
    <w:rsid w:val="002D05F9"/>
    <w:rsid w:val="002D0752"/>
    <w:rsid w:val="002D09B9"/>
    <w:rsid w:val="002D1284"/>
    <w:rsid w:val="002D16A0"/>
    <w:rsid w:val="002D28F3"/>
    <w:rsid w:val="002D2930"/>
    <w:rsid w:val="002D2DFF"/>
    <w:rsid w:val="002D3D6D"/>
    <w:rsid w:val="002D3DB1"/>
    <w:rsid w:val="002D4B3F"/>
    <w:rsid w:val="002D5A2E"/>
    <w:rsid w:val="002D5BF8"/>
    <w:rsid w:val="002D7177"/>
    <w:rsid w:val="002D7ECC"/>
    <w:rsid w:val="002E088A"/>
    <w:rsid w:val="002E1B8F"/>
    <w:rsid w:val="002E2DEF"/>
    <w:rsid w:val="002E4138"/>
    <w:rsid w:val="002E4E3E"/>
    <w:rsid w:val="002E5F19"/>
    <w:rsid w:val="002E6812"/>
    <w:rsid w:val="002E6A79"/>
    <w:rsid w:val="002E76B2"/>
    <w:rsid w:val="002E79A2"/>
    <w:rsid w:val="002F4F4B"/>
    <w:rsid w:val="002F55FD"/>
    <w:rsid w:val="002F594C"/>
    <w:rsid w:val="002F5EE1"/>
    <w:rsid w:val="002F784A"/>
    <w:rsid w:val="00301984"/>
    <w:rsid w:val="00301B0B"/>
    <w:rsid w:val="00301E84"/>
    <w:rsid w:val="00302E7A"/>
    <w:rsid w:val="00303D1B"/>
    <w:rsid w:val="003046B7"/>
    <w:rsid w:val="003142BA"/>
    <w:rsid w:val="00314C56"/>
    <w:rsid w:val="00314E1C"/>
    <w:rsid w:val="00315394"/>
    <w:rsid w:val="00317A57"/>
    <w:rsid w:val="00320A99"/>
    <w:rsid w:val="0032144B"/>
    <w:rsid w:val="00322985"/>
    <w:rsid w:val="00322D5B"/>
    <w:rsid w:val="00323332"/>
    <w:rsid w:val="0032361A"/>
    <w:rsid w:val="00323EE9"/>
    <w:rsid w:val="00325AC2"/>
    <w:rsid w:val="00326462"/>
    <w:rsid w:val="00326A1C"/>
    <w:rsid w:val="00327FDC"/>
    <w:rsid w:val="0033174F"/>
    <w:rsid w:val="0033602E"/>
    <w:rsid w:val="003360E3"/>
    <w:rsid w:val="003371D5"/>
    <w:rsid w:val="003376CD"/>
    <w:rsid w:val="0034091D"/>
    <w:rsid w:val="00341B22"/>
    <w:rsid w:val="003452C3"/>
    <w:rsid w:val="003501A7"/>
    <w:rsid w:val="0035048A"/>
    <w:rsid w:val="00353769"/>
    <w:rsid w:val="0036263B"/>
    <w:rsid w:val="00363B62"/>
    <w:rsid w:val="003643EB"/>
    <w:rsid w:val="003645B0"/>
    <w:rsid w:val="00364B2C"/>
    <w:rsid w:val="003664F1"/>
    <w:rsid w:val="00366E38"/>
    <w:rsid w:val="00367E3F"/>
    <w:rsid w:val="0037101E"/>
    <w:rsid w:val="00372009"/>
    <w:rsid w:val="00377EA5"/>
    <w:rsid w:val="00377F77"/>
    <w:rsid w:val="00383073"/>
    <w:rsid w:val="0038438F"/>
    <w:rsid w:val="00385123"/>
    <w:rsid w:val="003852E4"/>
    <w:rsid w:val="003872E4"/>
    <w:rsid w:val="00387C67"/>
    <w:rsid w:val="00387D98"/>
    <w:rsid w:val="00390B0F"/>
    <w:rsid w:val="00390B38"/>
    <w:rsid w:val="00390B6B"/>
    <w:rsid w:val="00391CFE"/>
    <w:rsid w:val="00392188"/>
    <w:rsid w:val="0039353B"/>
    <w:rsid w:val="00394F9E"/>
    <w:rsid w:val="00395426"/>
    <w:rsid w:val="00395B91"/>
    <w:rsid w:val="00396615"/>
    <w:rsid w:val="003966E2"/>
    <w:rsid w:val="0039700D"/>
    <w:rsid w:val="00397089"/>
    <w:rsid w:val="003978A8"/>
    <w:rsid w:val="003A039A"/>
    <w:rsid w:val="003A0F30"/>
    <w:rsid w:val="003A4C44"/>
    <w:rsid w:val="003A5A57"/>
    <w:rsid w:val="003A5AD0"/>
    <w:rsid w:val="003A6CE3"/>
    <w:rsid w:val="003A7899"/>
    <w:rsid w:val="003B005C"/>
    <w:rsid w:val="003B0887"/>
    <w:rsid w:val="003B15EE"/>
    <w:rsid w:val="003B2642"/>
    <w:rsid w:val="003B2E68"/>
    <w:rsid w:val="003B2F88"/>
    <w:rsid w:val="003B517D"/>
    <w:rsid w:val="003B51FD"/>
    <w:rsid w:val="003B5F3F"/>
    <w:rsid w:val="003B60EC"/>
    <w:rsid w:val="003C00ED"/>
    <w:rsid w:val="003C1C0A"/>
    <w:rsid w:val="003C35DF"/>
    <w:rsid w:val="003C4A68"/>
    <w:rsid w:val="003C554F"/>
    <w:rsid w:val="003C61DD"/>
    <w:rsid w:val="003D2E25"/>
    <w:rsid w:val="003D3BD5"/>
    <w:rsid w:val="003D537A"/>
    <w:rsid w:val="003D63E7"/>
    <w:rsid w:val="003D6A8C"/>
    <w:rsid w:val="003E05F1"/>
    <w:rsid w:val="003E113B"/>
    <w:rsid w:val="003E5092"/>
    <w:rsid w:val="003E5898"/>
    <w:rsid w:val="003E715D"/>
    <w:rsid w:val="003F103E"/>
    <w:rsid w:val="003F128E"/>
    <w:rsid w:val="003F24D4"/>
    <w:rsid w:val="003F2E48"/>
    <w:rsid w:val="003F440C"/>
    <w:rsid w:val="003F4E0E"/>
    <w:rsid w:val="003F525A"/>
    <w:rsid w:val="003F65DC"/>
    <w:rsid w:val="003F6DDA"/>
    <w:rsid w:val="003F7BE6"/>
    <w:rsid w:val="004006A9"/>
    <w:rsid w:val="00400A44"/>
    <w:rsid w:val="00404548"/>
    <w:rsid w:val="00404F68"/>
    <w:rsid w:val="004052AE"/>
    <w:rsid w:val="00407DF6"/>
    <w:rsid w:val="004118A5"/>
    <w:rsid w:val="0041203A"/>
    <w:rsid w:val="00413672"/>
    <w:rsid w:val="00414041"/>
    <w:rsid w:val="00414465"/>
    <w:rsid w:val="00414729"/>
    <w:rsid w:val="00414C80"/>
    <w:rsid w:val="00414F4B"/>
    <w:rsid w:val="004152CC"/>
    <w:rsid w:val="00415EF9"/>
    <w:rsid w:val="00416629"/>
    <w:rsid w:val="004168B3"/>
    <w:rsid w:val="00417DA1"/>
    <w:rsid w:val="00421CF6"/>
    <w:rsid w:val="00423478"/>
    <w:rsid w:val="00425B76"/>
    <w:rsid w:val="004260A2"/>
    <w:rsid w:val="00426F6A"/>
    <w:rsid w:val="00426FC6"/>
    <w:rsid w:val="004273BC"/>
    <w:rsid w:val="00427C5F"/>
    <w:rsid w:val="00433A2C"/>
    <w:rsid w:val="00434CDC"/>
    <w:rsid w:val="00436721"/>
    <w:rsid w:val="0044492A"/>
    <w:rsid w:val="00444DDF"/>
    <w:rsid w:val="00446603"/>
    <w:rsid w:val="00447FE2"/>
    <w:rsid w:val="004507E5"/>
    <w:rsid w:val="00451405"/>
    <w:rsid w:val="004519AD"/>
    <w:rsid w:val="0045459A"/>
    <w:rsid w:val="004545DB"/>
    <w:rsid w:val="00455529"/>
    <w:rsid w:val="0045786A"/>
    <w:rsid w:val="0046089C"/>
    <w:rsid w:val="00460F76"/>
    <w:rsid w:val="0046110B"/>
    <w:rsid w:val="0046246C"/>
    <w:rsid w:val="00462F12"/>
    <w:rsid w:val="00463050"/>
    <w:rsid w:val="0046340F"/>
    <w:rsid w:val="00466168"/>
    <w:rsid w:val="00466DC8"/>
    <w:rsid w:val="0046778B"/>
    <w:rsid w:val="004714D4"/>
    <w:rsid w:val="004718E3"/>
    <w:rsid w:val="004747E2"/>
    <w:rsid w:val="00475712"/>
    <w:rsid w:val="004759CB"/>
    <w:rsid w:val="0047648D"/>
    <w:rsid w:val="004772D0"/>
    <w:rsid w:val="00480CCE"/>
    <w:rsid w:val="00482700"/>
    <w:rsid w:val="00482B68"/>
    <w:rsid w:val="00482F5D"/>
    <w:rsid w:val="00482FAA"/>
    <w:rsid w:val="00485E4E"/>
    <w:rsid w:val="004868D0"/>
    <w:rsid w:val="0049075F"/>
    <w:rsid w:val="00492207"/>
    <w:rsid w:val="00492DA8"/>
    <w:rsid w:val="004971E1"/>
    <w:rsid w:val="004973C8"/>
    <w:rsid w:val="00497E77"/>
    <w:rsid w:val="004A04F6"/>
    <w:rsid w:val="004A0888"/>
    <w:rsid w:val="004A0F99"/>
    <w:rsid w:val="004A2479"/>
    <w:rsid w:val="004A43B6"/>
    <w:rsid w:val="004A4748"/>
    <w:rsid w:val="004A70EE"/>
    <w:rsid w:val="004A774E"/>
    <w:rsid w:val="004A7D3E"/>
    <w:rsid w:val="004A7FF9"/>
    <w:rsid w:val="004B379D"/>
    <w:rsid w:val="004B48D5"/>
    <w:rsid w:val="004B5F0C"/>
    <w:rsid w:val="004B6031"/>
    <w:rsid w:val="004C046E"/>
    <w:rsid w:val="004C0607"/>
    <w:rsid w:val="004C1609"/>
    <w:rsid w:val="004C216B"/>
    <w:rsid w:val="004C2D30"/>
    <w:rsid w:val="004C5061"/>
    <w:rsid w:val="004C5DD3"/>
    <w:rsid w:val="004C5FDF"/>
    <w:rsid w:val="004C6289"/>
    <w:rsid w:val="004C762D"/>
    <w:rsid w:val="004D30F9"/>
    <w:rsid w:val="004D4A32"/>
    <w:rsid w:val="004D5C34"/>
    <w:rsid w:val="004D64AB"/>
    <w:rsid w:val="004E16EE"/>
    <w:rsid w:val="004E5BF4"/>
    <w:rsid w:val="004E6471"/>
    <w:rsid w:val="004E7CE8"/>
    <w:rsid w:val="004F100B"/>
    <w:rsid w:val="004F271D"/>
    <w:rsid w:val="004F2DB6"/>
    <w:rsid w:val="004F38A5"/>
    <w:rsid w:val="004F5114"/>
    <w:rsid w:val="004F5DD9"/>
    <w:rsid w:val="004F756C"/>
    <w:rsid w:val="005001FA"/>
    <w:rsid w:val="00500744"/>
    <w:rsid w:val="005019AF"/>
    <w:rsid w:val="005025C0"/>
    <w:rsid w:val="00502733"/>
    <w:rsid w:val="00503031"/>
    <w:rsid w:val="0050488D"/>
    <w:rsid w:val="00504AF4"/>
    <w:rsid w:val="00504D12"/>
    <w:rsid w:val="0050527A"/>
    <w:rsid w:val="0050535A"/>
    <w:rsid w:val="005106F5"/>
    <w:rsid w:val="00511192"/>
    <w:rsid w:val="005118AD"/>
    <w:rsid w:val="00512353"/>
    <w:rsid w:val="005170F0"/>
    <w:rsid w:val="00517FBC"/>
    <w:rsid w:val="005220C2"/>
    <w:rsid w:val="00522E88"/>
    <w:rsid w:val="005232B1"/>
    <w:rsid w:val="00523369"/>
    <w:rsid w:val="0052398F"/>
    <w:rsid w:val="00527E76"/>
    <w:rsid w:val="00532960"/>
    <w:rsid w:val="00533331"/>
    <w:rsid w:val="00534830"/>
    <w:rsid w:val="00535560"/>
    <w:rsid w:val="00535C49"/>
    <w:rsid w:val="00542A43"/>
    <w:rsid w:val="0054562B"/>
    <w:rsid w:val="00545A73"/>
    <w:rsid w:val="005462F6"/>
    <w:rsid w:val="005464E3"/>
    <w:rsid w:val="005469CB"/>
    <w:rsid w:val="00546DEB"/>
    <w:rsid w:val="00546F0F"/>
    <w:rsid w:val="005477E7"/>
    <w:rsid w:val="00550159"/>
    <w:rsid w:val="00551897"/>
    <w:rsid w:val="00551FFD"/>
    <w:rsid w:val="00552A0F"/>
    <w:rsid w:val="005551ED"/>
    <w:rsid w:val="00555AAD"/>
    <w:rsid w:val="00555B30"/>
    <w:rsid w:val="00556419"/>
    <w:rsid w:val="00556E24"/>
    <w:rsid w:val="005572B4"/>
    <w:rsid w:val="005572DD"/>
    <w:rsid w:val="00560564"/>
    <w:rsid w:val="00562E2B"/>
    <w:rsid w:val="00564668"/>
    <w:rsid w:val="0056615F"/>
    <w:rsid w:val="0056622D"/>
    <w:rsid w:val="0056759E"/>
    <w:rsid w:val="00570353"/>
    <w:rsid w:val="0057063C"/>
    <w:rsid w:val="005715F5"/>
    <w:rsid w:val="0057171E"/>
    <w:rsid w:val="00571D43"/>
    <w:rsid w:val="00571EEC"/>
    <w:rsid w:val="00572666"/>
    <w:rsid w:val="0057267E"/>
    <w:rsid w:val="005726BD"/>
    <w:rsid w:val="00574A5A"/>
    <w:rsid w:val="005753B8"/>
    <w:rsid w:val="0057649F"/>
    <w:rsid w:val="005764E3"/>
    <w:rsid w:val="00583ED5"/>
    <w:rsid w:val="00584786"/>
    <w:rsid w:val="00584F03"/>
    <w:rsid w:val="00587437"/>
    <w:rsid w:val="0059082F"/>
    <w:rsid w:val="00592678"/>
    <w:rsid w:val="00594644"/>
    <w:rsid w:val="00594992"/>
    <w:rsid w:val="0059526F"/>
    <w:rsid w:val="005952D7"/>
    <w:rsid w:val="00596F36"/>
    <w:rsid w:val="005A14F4"/>
    <w:rsid w:val="005A1741"/>
    <w:rsid w:val="005A1B70"/>
    <w:rsid w:val="005A235F"/>
    <w:rsid w:val="005A2D7C"/>
    <w:rsid w:val="005A52CF"/>
    <w:rsid w:val="005A5783"/>
    <w:rsid w:val="005A751F"/>
    <w:rsid w:val="005A7719"/>
    <w:rsid w:val="005A7765"/>
    <w:rsid w:val="005A77C2"/>
    <w:rsid w:val="005B022B"/>
    <w:rsid w:val="005B14FB"/>
    <w:rsid w:val="005B291B"/>
    <w:rsid w:val="005B76C5"/>
    <w:rsid w:val="005B7AF0"/>
    <w:rsid w:val="005B7B8A"/>
    <w:rsid w:val="005C0759"/>
    <w:rsid w:val="005C09C6"/>
    <w:rsid w:val="005C3229"/>
    <w:rsid w:val="005C3FB8"/>
    <w:rsid w:val="005C458D"/>
    <w:rsid w:val="005C491E"/>
    <w:rsid w:val="005C58F0"/>
    <w:rsid w:val="005C5D82"/>
    <w:rsid w:val="005C5E0A"/>
    <w:rsid w:val="005C6C0C"/>
    <w:rsid w:val="005C709E"/>
    <w:rsid w:val="005D0424"/>
    <w:rsid w:val="005D1BE6"/>
    <w:rsid w:val="005D2276"/>
    <w:rsid w:val="005D25FD"/>
    <w:rsid w:val="005D2808"/>
    <w:rsid w:val="005D6301"/>
    <w:rsid w:val="005E0858"/>
    <w:rsid w:val="005E2421"/>
    <w:rsid w:val="005E2794"/>
    <w:rsid w:val="005E3CBF"/>
    <w:rsid w:val="005E6F9D"/>
    <w:rsid w:val="005E723B"/>
    <w:rsid w:val="005E7B5A"/>
    <w:rsid w:val="005F01FC"/>
    <w:rsid w:val="005F0C89"/>
    <w:rsid w:val="005F3506"/>
    <w:rsid w:val="005F3701"/>
    <w:rsid w:val="005F41DF"/>
    <w:rsid w:val="005F4521"/>
    <w:rsid w:val="005F5478"/>
    <w:rsid w:val="005F65D5"/>
    <w:rsid w:val="005F6D07"/>
    <w:rsid w:val="006006FC"/>
    <w:rsid w:val="00601F37"/>
    <w:rsid w:val="006045BA"/>
    <w:rsid w:val="0060583A"/>
    <w:rsid w:val="006069D8"/>
    <w:rsid w:val="00606FEC"/>
    <w:rsid w:val="00610147"/>
    <w:rsid w:val="00611649"/>
    <w:rsid w:val="00611A09"/>
    <w:rsid w:val="00611A0E"/>
    <w:rsid w:val="00612734"/>
    <w:rsid w:val="00614154"/>
    <w:rsid w:val="00614BD3"/>
    <w:rsid w:val="00614D9C"/>
    <w:rsid w:val="00615F0B"/>
    <w:rsid w:val="00620C4F"/>
    <w:rsid w:val="00620DF0"/>
    <w:rsid w:val="00623A77"/>
    <w:rsid w:val="006256F5"/>
    <w:rsid w:val="00630838"/>
    <w:rsid w:val="0063097B"/>
    <w:rsid w:val="0063453E"/>
    <w:rsid w:val="00635170"/>
    <w:rsid w:val="006364B8"/>
    <w:rsid w:val="0063694F"/>
    <w:rsid w:val="00636A64"/>
    <w:rsid w:val="00636B93"/>
    <w:rsid w:val="00637EA9"/>
    <w:rsid w:val="00640550"/>
    <w:rsid w:val="0064326A"/>
    <w:rsid w:val="00644D5D"/>
    <w:rsid w:val="00646DC7"/>
    <w:rsid w:val="006511FB"/>
    <w:rsid w:val="00651A9D"/>
    <w:rsid w:val="00652D8A"/>
    <w:rsid w:val="006538F3"/>
    <w:rsid w:val="00654C93"/>
    <w:rsid w:val="00656092"/>
    <w:rsid w:val="0065657B"/>
    <w:rsid w:val="0065741C"/>
    <w:rsid w:val="00660B85"/>
    <w:rsid w:val="006622E0"/>
    <w:rsid w:val="00662DCE"/>
    <w:rsid w:val="00664F6D"/>
    <w:rsid w:val="006650B8"/>
    <w:rsid w:val="006654AF"/>
    <w:rsid w:val="00666167"/>
    <w:rsid w:val="00666329"/>
    <w:rsid w:val="0066651B"/>
    <w:rsid w:val="00667105"/>
    <w:rsid w:val="006672EE"/>
    <w:rsid w:val="0067011F"/>
    <w:rsid w:val="0067015E"/>
    <w:rsid w:val="006716A4"/>
    <w:rsid w:val="00671D67"/>
    <w:rsid w:val="00672E1E"/>
    <w:rsid w:val="006740EF"/>
    <w:rsid w:val="006753E9"/>
    <w:rsid w:val="006760E3"/>
    <w:rsid w:val="00677729"/>
    <w:rsid w:val="00680453"/>
    <w:rsid w:val="006805F9"/>
    <w:rsid w:val="006822F4"/>
    <w:rsid w:val="00682508"/>
    <w:rsid w:val="00682526"/>
    <w:rsid w:val="006827FC"/>
    <w:rsid w:val="00683555"/>
    <w:rsid w:val="00684494"/>
    <w:rsid w:val="006853C0"/>
    <w:rsid w:val="006855AD"/>
    <w:rsid w:val="00686F1D"/>
    <w:rsid w:val="00687654"/>
    <w:rsid w:val="0069278F"/>
    <w:rsid w:val="00692F7A"/>
    <w:rsid w:val="006930DF"/>
    <w:rsid w:val="00695E06"/>
    <w:rsid w:val="00696022"/>
    <w:rsid w:val="00696315"/>
    <w:rsid w:val="006A0D51"/>
    <w:rsid w:val="006A1C05"/>
    <w:rsid w:val="006A225B"/>
    <w:rsid w:val="006A284A"/>
    <w:rsid w:val="006A30D2"/>
    <w:rsid w:val="006A5A6A"/>
    <w:rsid w:val="006A5FE3"/>
    <w:rsid w:val="006B1824"/>
    <w:rsid w:val="006B23B2"/>
    <w:rsid w:val="006B4845"/>
    <w:rsid w:val="006B61F2"/>
    <w:rsid w:val="006B635C"/>
    <w:rsid w:val="006B63EE"/>
    <w:rsid w:val="006B6A4B"/>
    <w:rsid w:val="006C0F46"/>
    <w:rsid w:val="006C1708"/>
    <w:rsid w:val="006C1C29"/>
    <w:rsid w:val="006C322E"/>
    <w:rsid w:val="006C3782"/>
    <w:rsid w:val="006C3CDE"/>
    <w:rsid w:val="006C4745"/>
    <w:rsid w:val="006C47EC"/>
    <w:rsid w:val="006D0EE8"/>
    <w:rsid w:val="006D3162"/>
    <w:rsid w:val="006D37E7"/>
    <w:rsid w:val="006D5146"/>
    <w:rsid w:val="006D59D6"/>
    <w:rsid w:val="006D5C04"/>
    <w:rsid w:val="006D6328"/>
    <w:rsid w:val="006D652D"/>
    <w:rsid w:val="006D7508"/>
    <w:rsid w:val="006D7611"/>
    <w:rsid w:val="006E0F2F"/>
    <w:rsid w:val="006E1832"/>
    <w:rsid w:val="006E19D7"/>
    <w:rsid w:val="006E2767"/>
    <w:rsid w:val="006E71B9"/>
    <w:rsid w:val="006F3266"/>
    <w:rsid w:val="006F39B2"/>
    <w:rsid w:val="006F5136"/>
    <w:rsid w:val="006F5384"/>
    <w:rsid w:val="006F6250"/>
    <w:rsid w:val="006F6299"/>
    <w:rsid w:val="006F6604"/>
    <w:rsid w:val="006F70D7"/>
    <w:rsid w:val="006F71D8"/>
    <w:rsid w:val="006F7D1A"/>
    <w:rsid w:val="00700F49"/>
    <w:rsid w:val="00702F6F"/>
    <w:rsid w:val="0070346C"/>
    <w:rsid w:val="00704BAA"/>
    <w:rsid w:val="007051A0"/>
    <w:rsid w:val="00706496"/>
    <w:rsid w:val="00711A12"/>
    <w:rsid w:val="00711CDF"/>
    <w:rsid w:val="00711F11"/>
    <w:rsid w:val="007149BA"/>
    <w:rsid w:val="007151DA"/>
    <w:rsid w:val="007154C4"/>
    <w:rsid w:val="00715DB9"/>
    <w:rsid w:val="007174BE"/>
    <w:rsid w:val="00717FC9"/>
    <w:rsid w:val="00720688"/>
    <w:rsid w:val="007218A0"/>
    <w:rsid w:val="007238AF"/>
    <w:rsid w:val="00725542"/>
    <w:rsid w:val="00726908"/>
    <w:rsid w:val="007270C7"/>
    <w:rsid w:val="00730F3A"/>
    <w:rsid w:val="0073228C"/>
    <w:rsid w:val="00733011"/>
    <w:rsid w:val="00734DE2"/>
    <w:rsid w:val="00735F34"/>
    <w:rsid w:val="00736944"/>
    <w:rsid w:val="00740F8A"/>
    <w:rsid w:val="007410D6"/>
    <w:rsid w:val="00741200"/>
    <w:rsid w:val="00741219"/>
    <w:rsid w:val="00741333"/>
    <w:rsid w:val="007418CF"/>
    <w:rsid w:val="007424EF"/>
    <w:rsid w:val="00742FF2"/>
    <w:rsid w:val="00744D6A"/>
    <w:rsid w:val="00746138"/>
    <w:rsid w:val="0074620A"/>
    <w:rsid w:val="00750AD8"/>
    <w:rsid w:val="00750C97"/>
    <w:rsid w:val="00751D50"/>
    <w:rsid w:val="007527D5"/>
    <w:rsid w:val="00752F3C"/>
    <w:rsid w:val="00754DFA"/>
    <w:rsid w:val="007561FC"/>
    <w:rsid w:val="00761D34"/>
    <w:rsid w:val="00762C34"/>
    <w:rsid w:val="00762D2D"/>
    <w:rsid w:val="00764622"/>
    <w:rsid w:val="00764CAD"/>
    <w:rsid w:val="00770FA1"/>
    <w:rsid w:val="00773884"/>
    <w:rsid w:val="00773E03"/>
    <w:rsid w:val="00774813"/>
    <w:rsid w:val="0078052A"/>
    <w:rsid w:val="007812FB"/>
    <w:rsid w:val="007832C1"/>
    <w:rsid w:val="00784032"/>
    <w:rsid w:val="00786E79"/>
    <w:rsid w:val="00787925"/>
    <w:rsid w:val="00790E31"/>
    <w:rsid w:val="00791578"/>
    <w:rsid w:val="00793B87"/>
    <w:rsid w:val="0079566E"/>
    <w:rsid w:val="00796509"/>
    <w:rsid w:val="0079691E"/>
    <w:rsid w:val="00797723"/>
    <w:rsid w:val="00797B20"/>
    <w:rsid w:val="007A2731"/>
    <w:rsid w:val="007B0671"/>
    <w:rsid w:val="007B1EEE"/>
    <w:rsid w:val="007B1F94"/>
    <w:rsid w:val="007B2181"/>
    <w:rsid w:val="007B225E"/>
    <w:rsid w:val="007B249B"/>
    <w:rsid w:val="007B6D4D"/>
    <w:rsid w:val="007B6FAF"/>
    <w:rsid w:val="007B7A09"/>
    <w:rsid w:val="007C0F7A"/>
    <w:rsid w:val="007C2119"/>
    <w:rsid w:val="007C27BA"/>
    <w:rsid w:val="007C3B47"/>
    <w:rsid w:val="007C4F9C"/>
    <w:rsid w:val="007C719A"/>
    <w:rsid w:val="007D0F78"/>
    <w:rsid w:val="007D24A9"/>
    <w:rsid w:val="007D27FA"/>
    <w:rsid w:val="007D30B5"/>
    <w:rsid w:val="007D3C52"/>
    <w:rsid w:val="007D6218"/>
    <w:rsid w:val="007D6699"/>
    <w:rsid w:val="007D69DB"/>
    <w:rsid w:val="007D7E30"/>
    <w:rsid w:val="007E0A75"/>
    <w:rsid w:val="007E13E5"/>
    <w:rsid w:val="007E2C58"/>
    <w:rsid w:val="007E374B"/>
    <w:rsid w:val="007E5434"/>
    <w:rsid w:val="007E6419"/>
    <w:rsid w:val="007E76B1"/>
    <w:rsid w:val="007F0533"/>
    <w:rsid w:val="007F1504"/>
    <w:rsid w:val="007F6815"/>
    <w:rsid w:val="007F6BA8"/>
    <w:rsid w:val="00804EAA"/>
    <w:rsid w:val="0080681B"/>
    <w:rsid w:val="0080738C"/>
    <w:rsid w:val="00810B77"/>
    <w:rsid w:val="0081179A"/>
    <w:rsid w:val="0081495E"/>
    <w:rsid w:val="00816D32"/>
    <w:rsid w:val="00816D63"/>
    <w:rsid w:val="00817436"/>
    <w:rsid w:val="00820C1D"/>
    <w:rsid w:val="00822217"/>
    <w:rsid w:val="00823343"/>
    <w:rsid w:val="00823BA3"/>
    <w:rsid w:val="00823D8A"/>
    <w:rsid w:val="0082542D"/>
    <w:rsid w:val="00825DDA"/>
    <w:rsid w:val="00827834"/>
    <w:rsid w:val="00830BFB"/>
    <w:rsid w:val="00831154"/>
    <w:rsid w:val="00831FFD"/>
    <w:rsid w:val="008327F9"/>
    <w:rsid w:val="00832835"/>
    <w:rsid w:val="00832B07"/>
    <w:rsid w:val="00835110"/>
    <w:rsid w:val="008351FC"/>
    <w:rsid w:val="008415F6"/>
    <w:rsid w:val="00841F50"/>
    <w:rsid w:val="00843A0E"/>
    <w:rsid w:val="00843ED1"/>
    <w:rsid w:val="00845DFE"/>
    <w:rsid w:val="00846E17"/>
    <w:rsid w:val="008506C0"/>
    <w:rsid w:val="0085200A"/>
    <w:rsid w:val="00854283"/>
    <w:rsid w:val="008544D4"/>
    <w:rsid w:val="008573E3"/>
    <w:rsid w:val="00861E81"/>
    <w:rsid w:val="008645FF"/>
    <w:rsid w:val="008660E7"/>
    <w:rsid w:val="00866D42"/>
    <w:rsid w:val="0087030E"/>
    <w:rsid w:val="00870AAC"/>
    <w:rsid w:val="00871165"/>
    <w:rsid w:val="008734F7"/>
    <w:rsid w:val="00874E9F"/>
    <w:rsid w:val="00877842"/>
    <w:rsid w:val="008806F8"/>
    <w:rsid w:val="008808E2"/>
    <w:rsid w:val="00881456"/>
    <w:rsid w:val="00881ACB"/>
    <w:rsid w:val="00882E2D"/>
    <w:rsid w:val="00883B50"/>
    <w:rsid w:val="00884EDB"/>
    <w:rsid w:val="00885FC9"/>
    <w:rsid w:val="00887E23"/>
    <w:rsid w:val="00890ED9"/>
    <w:rsid w:val="00891328"/>
    <w:rsid w:val="00891A47"/>
    <w:rsid w:val="00892809"/>
    <w:rsid w:val="0089370F"/>
    <w:rsid w:val="008939AF"/>
    <w:rsid w:val="00893FED"/>
    <w:rsid w:val="0089449A"/>
    <w:rsid w:val="00895AC3"/>
    <w:rsid w:val="00895E48"/>
    <w:rsid w:val="00896687"/>
    <w:rsid w:val="008971F4"/>
    <w:rsid w:val="008A0E7D"/>
    <w:rsid w:val="008A3023"/>
    <w:rsid w:val="008A403F"/>
    <w:rsid w:val="008A4723"/>
    <w:rsid w:val="008A6815"/>
    <w:rsid w:val="008A6818"/>
    <w:rsid w:val="008A73BF"/>
    <w:rsid w:val="008B1031"/>
    <w:rsid w:val="008B2303"/>
    <w:rsid w:val="008B33A5"/>
    <w:rsid w:val="008B34A0"/>
    <w:rsid w:val="008B3F5C"/>
    <w:rsid w:val="008B5740"/>
    <w:rsid w:val="008C0B84"/>
    <w:rsid w:val="008C1D71"/>
    <w:rsid w:val="008C3508"/>
    <w:rsid w:val="008C41DA"/>
    <w:rsid w:val="008C553A"/>
    <w:rsid w:val="008C588E"/>
    <w:rsid w:val="008C5C95"/>
    <w:rsid w:val="008C7226"/>
    <w:rsid w:val="008C7B8F"/>
    <w:rsid w:val="008D2457"/>
    <w:rsid w:val="008D6140"/>
    <w:rsid w:val="008D6EC1"/>
    <w:rsid w:val="008D7B80"/>
    <w:rsid w:val="008E2041"/>
    <w:rsid w:val="008E4184"/>
    <w:rsid w:val="008E549F"/>
    <w:rsid w:val="008E55C2"/>
    <w:rsid w:val="008E6301"/>
    <w:rsid w:val="008E64B8"/>
    <w:rsid w:val="008F10BC"/>
    <w:rsid w:val="008F2052"/>
    <w:rsid w:val="008F26ED"/>
    <w:rsid w:val="008F2A38"/>
    <w:rsid w:val="008F3012"/>
    <w:rsid w:val="008F320F"/>
    <w:rsid w:val="008F592B"/>
    <w:rsid w:val="00901D14"/>
    <w:rsid w:val="00903775"/>
    <w:rsid w:val="009105F1"/>
    <w:rsid w:val="00910788"/>
    <w:rsid w:val="009109F7"/>
    <w:rsid w:val="0091118A"/>
    <w:rsid w:val="00912137"/>
    <w:rsid w:val="00915BED"/>
    <w:rsid w:val="009164A9"/>
    <w:rsid w:val="00916B64"/>
    <w:rsid w:val="0092145D"/>
    <w:rsid w:val="009245DE"/>
    <w:rsid w:val="00930762"/>
    <w:rsid w:val="00930A73"/>
    <w:rsid w:val="00930C0C"/>
    <w:rsid w:val="00931A4B"/>
    <w:rsid w:val="0093361B"/>
    <w:rsid w:val="00936B81"/>
    <w:rsid w:val="0094392B"/>
    <w:rsid w:val="00944701"/>
    <w:rsid w:val="00950ED1"/>
    <w:rsid w:val="00951579"/>
    <w:rsid w:val="00952A7A"/>
    <w:rsid w:val="00953A02"/>
    <w:rsid w:val="0095444E"/>
    <w:rsid w:val="00955670"/>
    <w:rsid w:val="00955C67"/>
    <w:rsid w:val="00957B65"/>
    <w:rsid w:val="00960337"/>
    <w:rsid w:val="00960AFF"/>
    <w:rsid w:val="00963F62"/>
    <w:rsid w:val="00965EFC"/>
    <w:rsid w:val="00966CCE"/>
    <w:rsid w:val="009703A3"/>
    <w:rsid w:val="0097161B"/>
    <w:rsid w:val="009735DF"/>
    <w:rsid w:val="009762D2"/>
    <w:rsid w:val="009762F1"/>
    <w:rsid w:val="0097692D"/>
    <w:rsid w:val="0097739A"/>
    <w:rsid w:val="009776D2"/>
    <w:rsid w:val="00977EA8"/>
    <w:rsid w:val="00980E24"/>
    <w:rsid w:val="0098140D"/>
    <w:rsid w:val="00981CED"/>
    <w:rsid w:val="00983ED6"/>
    <w:rsid w:val="00984A1E"/>
    <w:rsid w:val="00987225"/>
    <w:rsid w:val="00987CF0"/>
    <w:rsid w:val="00990228"/>
    <w:rsid w:val="00990870"/>
    <w:rsid w:val="00990DCF"/>
    <w:rsid w:val="0099108B"/>
    <w:rsid w:val="00991908"/>
    <w:rsid w:val="009920F5"/>
    <w:rsid w:val="0099219B"/>
    <w:rsid w:val="00992B56"/>
    <w:rsid w:val="00992CDA"/>
    <w:rsid w:val="00993342"/>
    <w:rsid w:val="00996CE4"/>
    <w:rsid w:val="0099738F"/>
    <w:rsid w:val="009A0FB3"/>
    <w:rsid w:val="009A131F"/>
    <w:rsid w:val="009A2FDD"/>
    <w:rsid w:val="009A3F36"/>
    <w:rsid w:val="009A48D8"/>
    <w:rsid w:val="009A6C59"/>
    <w:rsid w:val="009A6DEA"/>
    <w:rsid w:val="009A7878"/>
    <w:rsid w:val="009B0888"/>
    <w:rsid w:val="009B33DF"/>
    <w:rsid w:val="009B4270"/>
    <w:rsid w:val="009B44CC"/>
    <w:rsid w:val="009B5651"/>
    <w:rsid w:val="009B61EB"/>
    <w:rsid w:val="009B62E4"/>
    <w:rsid w:val="009C32DC"/>
    <w:rsid w:val="009C4168"/>
    <w:rsid w:val="009C4319"/>
    <w:rsid w:val="009C46B0"/>
    <w:rsid w:val="009C52C7"/>
    <w:rsid w:val="009C674F"/>
    <w:rsid w:val="009D0A0D"/>
    <w:rsid w:val="009D109E"/>
    <w:rsid w:val="009D1CD9"/>
    <w:rsid w:val="009D1F28"/>
    <w:rsid w:val="009D28E5"/>
    <w:rsid w:val="009D4830"/>
    <w:rsid w:val="009D797A"/>
    <w:rsid w:val="009E026A"/>
    <w:rsid w:val="009E1CB7"/>
    <w:rsid w:val="009E3B56"/>
    <w:rsid w:val="009E49B5"/>
    <w:rsid w:val="009E4A4C"/>
    <w:rsid w:val="009E551E"/>
    <w:rsid w:val="009E7066"/>
    <w:rsid w:val="009F1DDB"/>
    <w:rsid w:val="009F1EF8"/>
    <w:rsid w:val="009F3502"/>
    <w:rsid w:val="009F3B30"/>
    <w:rsid w:val="009F4604"/>
    <w:rsid w:val="009F48E4"/>
    <w:rsid w:val="009F4B78"/>
    <w:rsid w:val="009F599B"/>
    <w:rsid w:val="009F5DEC"/>
    <w:rsid w:val="009F606B"/>
    <w:rsid w:val="009F6E66"/>
    <w:rsid w:val="00A0077A"/>
    <w:rsid w:val="00A01315"/>
    <w:rsid w:val="00A025A4"/>
    <w:rsid w:val="00A02AC3"/>
    <w:rsid w:val="00A031D7"/>
    <w:rsid w:val="00A06840"/>
    <w:rsid w:val="00A06EAD"/>
    <w:rsid w:val="00A07D9B"/>
    <w:rsid w:val="00A07F64"/>
    <w:rsid w:val="00A126E8"/>
    <w:rsid w:val="00A1293C"/>
    <w:rsid w:val="00A14F9B"/>
    <w:rsid w:val="00A16309"/>
    <w:rsid w:val="00A167F1"/>
    <w:rsid w:val="00A2085F"/>
    <w:rsid w:val="00A20EC0"/>
    <w:rsid w:val="00A2150B"/>
    <w:rsid w:val="00A215D9"/>
    <w:rsid w:val="00A2292C"/>
    <w:rsid w:val="00A2329A"/>
    <w:rsid w:val="00A234BC"/>
    <w:rsid w:val="00A23FC3"/>
    <w:rsid w:val="00A24343"/>
    <w:rsid w:val="00A24BB9"/>
    <w:rsid w:val="00A25F1B"/>
    <w:rsid w:val="00A3288D"/>
    <w:rsid w:val="00A329DC"/>
    <w:rsid w:val="00A330F2"/>
    <w:rsid w:val="00A33DCF"/>
    <w:rsid w:val="00A3440C"/>
    <w:rsid w:val="00A36473"/>
    <w:rsid w:val="00A41135"/>
    <w:rsid w:val="00A41FEB"/>
    <w:rsid w:val="00A42FBA"/>
    <w:rsid w:val="00A44DA6"/>
    <w:rsid w:val="00A45062"/>
    <w:rsid w:val="00A50921"/>
    <w:rsid w:val="00A5160D"/>
    <w:rsid w:val="00A56CA4"/>
    <w:rsid w:val="00A578C9"/>
    <w:rsid w:val="00A60756"/>
    <w:rsid w:val="00A61AEE"/>
    <w:rsid w:val="00A633B6"/>
    <w:rsid w:val="00A65864"/>
    <w:rsid w:val="00A65F04"/>
    <w:rsid w:val="00A65F2E"/>
    <w:rsid w:val="00A667D6"/>
    <w:rsid w:val="00A66D37"/>
    <w:rsid w:val="00A67880"/>
    <w:rsid w:val="00A70BC0"/>
    <w:rsid w:val="00A7188C"/>
    <w:rsid w:val="00A71AD5"/>
    <w:rsid w:val="00A77B9D"/>
    <w:rsid w:val="00A8073E"/>
    <w:rsid w:val="00A80883"/>
    <w:rsid w:val="00A81BED"/>
    <w:rsid w:val="00A82FC6"/>
    <w:rsid w:val="00A84A0E"/>
    <w:rsid w:val="00A85A0D"/>
    <w:rsid w:val="00A90A70"/>
    <w:rsid w:val="00A92270"/>
    <w:rsid w:val="00A9538D"/>
    <w:rsid w:val="00A95FA8"/>
    <w:rsid w:val="00A975C9"/>
    <w:rsid w:val="00AA0170"/>
    <w:rsid w:val="00AA10AE"/>
    <w:rsid w:val="00AA209C"/>
    <w:rsid w:val="00AA2189"/>
    <w:rsid w:val="00AA2A0F"/>
    <w:rsid w:val="00AA2E6B"/>
    <w:rsid w:val="00AA329F"/>
    <w:rsid w:val="00AA58E2"/>
    <w:rsid w:val="00AA7B6A"/>
    <w:rsid w:val="00AB3062"/>
    <w:rsid w:val="00AB593E"/>
    <w:rsid w:val="00AB5D37"/>
    <w:rsid w:val="00AB683F"/>
    <w:rsid w:val="00AB750C"/>
    <w:rsid w:val="00AC11A2"/>
    <w:rsid w:val="00AC2599"/>
    <w:rsid w:val="00AC4A2E"/>
    <w:rsid w:val="00AD0B7B"/>
    <w:rsid w:val="00AD1885"/>
    <w:rsid w:val="00AD2B35"/>
    <w:rsid w:val="00AD50BA"/>
    <w:rsid w:val="00AE002C"/>
    <w:rsid w:val="00AE02E7"/>
    <w:rsid w:val="00AE0F75"/>
    <w:rsid w:val="00AE319E"/>
    <w:rsid w:val="00AE3B2C"/>
    <w:rsid w:val="00AE3B4E"/>
    <w:rsid w:val="00AE3C95"/>
    <w:rsid w:val="00AE47FC"/>
    <w:rsid w:val="00AE4989"/>
    <w:rsid w:val="00AE5456"/>
    <w:rsid w:val="00AE6365"/>
    <w:rsid w:val="00AE676F"/>
    <w:rsid w:val="00AE709C"/>
    <w:rsid w:val="00AE7259"/>
    <w:rsid w:val="00AE78DC"/>
    <w:rsid w:val="00AE7DD9"/>
    <w:rsid w:val="00AF2B38"/>
    <w:rsid w:val="00AF48B9"/>
    <w:rsid w:val="00AF5322"/>
    <w:rsid w:val="00AF76E6"/>
    <w:rsid w:val="00B004C1"/>
    <w:rsid w:val="00B0168B"/>
    <w:rsid w:val="00B01B7A"/>
    <w:rsid w:val="00B03458"/>
    <w:rsid w:val="00B03FC7"/>
    <w:rsid w:val="00B044C2"/>
    <w:rsid w:val="00B04B8E"/>
    <w:rsid w:val="00B04E88"/>
    <w:rsid w:val="00B05B52"/>
    <w:rsid w:val="00B074C5"/>
    <w:rsid w:val="00B07641"/>
    <w:rsid w:val="00B1072F"/>
    <w:rsid w:val="00B15820"/>
    <w:rsid w:val="00B17C65"/>
    <w:rsid w:val="00B215D8"/>
    <w:rsid w:val="00B21BF5"/>
    <w:rsid w:val="00B2218A"/>
    <w:rsid w:val="00B242EE"/>
    <w:rsid w:val="00B246ED"/>
    <w:rsid w:val="00B26C2F"/>
    <w:rsid w:val="00B26DD0"/>
    <w:rsid w:val="00B31C8D"/>
    <w:rsid w:val="00B338C8"/>
    <w:rsid w:val="00B3410A"/>
    <w:rsid w:val="00B341CC"/>
    <w:rsid w:val="00B34EE0"/>
    <w:rsid w:val="00B35321"/>
    <w:rsid w:val="00B35505"/>
    <w:rsid w:val="00B35CB3"/>
    <w:rsid w:val="00B35E0A"/>
    <w:rsid w:val="00B40124"/>
    <w:rsid w:val="00B40B86"/>
    <w:rsid w:val="00B415F7"/>
    <w:rsid w:val="00B42E03"/>
    <w:rsid w:val="00B443E2"/>
    <w:rsid w:val="00B46222"/>
    <w:rsid w:val="00B4736F"/>
    <w:rsid w:val="00B54092"/>
    <w:rsid w:val="00B5444C"/>
    <w:rsid w:val="00B5568B"/>
    <w:rsid w:val="00B557BF"/>
    <w:rsid w:val="00B55BD6"/>
    <w:rsid w:val="00B5602F"/>
    <w:rsid w:val="00B560DC"/>
    <w:rsid w:val="00B56147"/>
    <w:rsid w:val="00B56D16"/>
    <w:rsid w:val="00B5720A"/>
    <w:rsid w:val="00B604A0"/>
    <w:rsid w:val="00B60761"/>
    <w:rsid w:val="00B620A5"/>
    <w:rsid w:val="00B62BB1"/>
    <w:rsid w:val="00B63559"/>
    <w:rsid w:val="00B73979"/>
    <w:rsid w:val="00B74AC1"/>
    <w:rsid w:val="00B750B7"/>
    <w:rsid w:val="00B751B0"/>
    <w:rsid w:val="00B762E0"/>
    <w:rsid w:val="00B76854"/>
    <w:rsid w:val="00B76A6F"/>
    <w:rsid w:val="00B83F62"/>
    <w:rsid w:val="00B8584A"/>
    <w:rsid w:val="00B86188"/>
    <w:rsid w:val="00B86C54"/>
    <w:rsid w:val="00B874C4"/>
    <w:rsid w:val="00B91334"/>
    <w:rsid w:val="00B92AD8"/>
    <w:rsid w:val="00B97108"/>
    <w:rsid w:val="00B97AA2"/>
    <w:rsid w:val="00B97B8E"/>
    <w:rsid w:val="00BA00A8"/>
    <w:rsid w:val="00BA0378"/>
    <w:rsid w:val="00BA2FD7"/>
    <w:rsid w:val="00BA37A4"/>
    <w:rsid w:val="00BA4FB0"/>
    <w:rsid w:val="00BA6138"/>
    <w:rsid w:val="00BA6650"/>
    <w:rsid w:val="00BB1930"/>
    <w:rsid w:val="00BB3478"/>
    <w:rsid w:val="00BB4C09"/>
    <w:rsid w:val="00BB614E"/>
    <w:rsid w:val="00BC2247"/>
    <w:rsid w:val="00BC2E7B"/>
    <w:rsid w:val="00BC5572"/>
    <w:rsid w:val="00BC5DEC"/>
    <w:rsid w:val="00BC683A"/>
    <w:rsid w:val="00BD0556"/>
    <w:rsid w:val="00BD2322"/>
    <w:rsid w:val="00BD411B"/>
    <w:rsid w:val="00BD497C"/>
    <w:rsid w:val="00BD4F40"/>
    <w:rsid w:val="00BD57EE"/>
    <w:rsid w:val="00BD7B9A"/>
    <w:rsid w:val="00BE4E8A"/>
    <w:rsid w:val="00BE7ADA"/>
    <w:rsid w:val="00BF2A79"/>
    <w:rsid w:val="00BF375F"/>
    <w:rsid w:val="00BF3909"/>
    <w:rsid w:val="00C02372"/>
    <w:rsid w:val="00C0426D"/>
    <w:rsid w:val="00C044C3"/>
    <w:rsid w:val="00C10453"/>
    <w:rsid w:val="00C10B27"/>
    <w:rsid w:val="00C13BCA"/>
    <w:rsid w:val="00C141B9"/>
    <w:rsid w:val="00C158CF"/>
    <w:rsid w:val="00C16518"/>
    <w:rsid w:val="00C1787D"/>
    <w:rsid w:val="00C17D87"/>
    <w:rsid w:val="00C20F14"/>
    <w:rsid w:val="00C22B7C"/>
    <w:rsid w:val="00C23B8E"/>
    <w:rsid w:val="00C24615"/>
    <w:rsid w:val="00C30172"/>
    <w:rsid w:val="00C3184D"/>
    <w:rsid w:val="00C33050"/>
    <w:rsid w:val="00C331FD"/>
    <w:rsid w:val="00C33EA4"/>
    <w:rsid w:val="00C34094"/>
    <w:rsid w:val="00C34DCB"/>
    <w:rsid w:val="00C3693F"/>
    <w:rsid w:val="00C36D0C"/>
    <w:rsid w:val="00C3708D"/>
    <w:rsid w:val="00C4138A"/>
    <w:rsid w:val="00C41E68"/>
    <w:rsid w:val="00C440B4"/>
    <w:rsid w:val="00C446F9"/>
    <w:rsid w:val="00C462CB"/>
    <w:rsid w:val="00C46F39"/>
    <w:rsid w:val="00C47AFE"/>
    <w:rsid w:val="00C5067F"/>
    <w:rsid w:val="00C515C3"/>
    <w:rsid w:val="00C51AA2"/>
    <w:rsid w:val="00C51E82"/>
    <w:rsid w:val="00C52E43"/>
    <w:rsid w:val="00C56464"/>
    <w:rsid w:val="00C56CD4"/>
    <w:rsid w:val="00C56F9C"/>
    <w:rsid w:val="00C57412"/>
    <w:rsid w:val="00C609C3"/>
    <w:rsid w:val="00C60E16"/>
    <w:rsid w:val="00C625E9"/>
    <w:rsid w:val="00C6320C"/>
    <w:rsid w:val="00C65E4E"/>
    <w:rsid w:val="00C66610"/>
    <w:rsid w:val="00C66623"/>
    <w:rsid w:val="00C66648"/>
    <w:rsid w:val="00C66FEF"/>
    <w:rsid w:val="00C70CB4"/>
    <w:rsid w:val="00C727A7"/>
    <w:rsid w:val="00C728D5"/>
    <w:rsid w:val="00C72CF7"/>
    <w:rsid w:val="00C73346"/>
    <w:rsid w:val="00C7490B"/>
    <w:rsid w:val="00C75119"/>
    <w:rsid w:val="00C76DD6"/>
    <w:rsid w:val="00C80AFC"/>
    <w:rsid w:val="00C90B62"/>
    <w:rsid w:val="00C91BE5"/>
    <w:rsid w:val="00C91C08"/>
    <w:rsid w:val="00C91C22"/>
    <w:rsid w:val="00C959F3"/>
    <w:rsid w:val="00C97F0E"/>
    <w:rsid w:val="00CA06AC"/>
    <w:rsid w:val="00CA1D9E"/>
    <w:rsid w:val="00CA242A"/>
    <w:rsid w:val="00CA27BD"/>
    <w:rsid w:val="00CA2AB6"/>
    <w:rsid w:val="00CA36DE"/>
    <w:rsid w:val="00CA3BF5"/>
    <w:rsid w:val="00CA4053"/>
    <w:rsid w:val="00CA4BCC"/>
    <w:rsid w:val="00CA4CD4"/>
    <w:rsid w:val="00CA5313"/>
    <w:rsid w:val="00CA67DD"/>
    <w:rsid w:val="00CA7C36"/>
    <w:rsid w:val="00CA7EF4"/>
    <w:rsid w:val="00CB01D6"/>
    <w:rsid w:val="00CB18CF"/>
    <w:rsid w:val="00CB1C45"/>
    <w:rsid w:val="00CB311E"/>
    <w:rsid w:val="00CB35CD"/>
    <w:rsid w:val="00CB646A"/>
    <w:rsid w:val="00CB71E1"/>
    <w:rsid w:val="00CC0ED3"/>
    <w:rsid w:val="00CC1894"/>
    <w:rsid w:val="00CC2DCD"/>
    <w:rsid w:val="00CC2EE2"/>
    <w:rsid w:val="00CC3D03"/>
    <w:rsid w:val="00CC3D2A"/>
    <w:rsid w:val="00CC40DA"/>
    <w:rsid w:val="00CC45DB"/>
    <w:rsid w:val="00CC5291"/>
    <w:rsid w:val="00CC5327"/>
    <w:rsid w:val="00CC5651"/>
    <w:rsid w:val="00CC65DA"/>
    <w:rsid w:val="00CC73FF"/>
    <w:rsid w:val="00CD141E"/>
    <w:rsid w:val="00CD45DA"/>
    <w:rsid w:val="00CD4EC6"/>
    <w:rsid w:val="00CE0AD2"/>
    <w:rsid w:val="00CE2EA4"/>
    <w:rsid w:val="00CE5714"/>
    <w:rsid w:val="00CE6138"/>
    <w:rsid w:val="00CE6F59"/>
    <w:rsid w:val="00CE7AAB"/>
    <w:rsid w:val="00CF2673"/>
    <w:rsid w:val="00CF2DA1"/>
    <w:rsid w:val="00CF43B1"/>
    <w:rsid w:val="00CF483B"/>
    <w:rsid w:val="00CF5027"/>
    <w:rsid w:val="00CF5F05"/>
    <w:rsid w:val="00D019AF"/>
    <w:rsid w:val="00D0602D"/>
    <w:rsid w:val="00D0614B"/>
    <w:rsid w:val="00D06AD1"/>
    <w:rsid w:val="00D120BB"/>
    <w:rsid w:val="00D12A05"/>
    <w:rsid w:val="00D16517"/>
    <w:rsid w:val="00D170F1"/>
    <w:rsid w:val="00D17549"/>
    <w:rsid w:val="00D20B9E"/>
    <w:rsid w:val="00D24D97"/>
    <w:rsid w:val="00D275F5"/>
    <w:rsid w:val="00D27679"/>
    <w:rsid w:val="00D300E8"/>
    <w:rsid w:val="00D3218E"/>
    <w:rsid w:val="00D34A06"/>
    <w:rsid w:val="00D376F1"/>
    <w:rsid w:val="00D422E7"/>
    <w:rsid w:val="00D43CA8"/>
    <w:rsid w:val="00D4523D"/>
    <w:rsid w:val="00D454B2"/>
    <w:rsid w:val="00D4593F"/>
    <w:rsid w:val="00D45BD4"/>
    <w:rsid w:val="00D4775B"/>
    <w:rsid w:val="00D47AB8"/>
    <w:rsid w:val="00D47BE6"/>
    <w:rsid w:val="00D50064"/>
    <w:rsid w:val="00D50D01"/>
    <w:rsid w:val="00D51CB1"/>
    <w:rsid w:val="00D54E46"/>
    <w:rsid w:val="00D55D94"/>
    <w:rsid w:val="00D56566"/>
    <w:rsid w:val="00D565AD"/>
    <w:rsid w:val="00D57948"/>
    <w:rsid w:val="00D60219"/>
    <w:rsid w:val="00D60E03"/>
    <w:rsid w:val="00D62305"/>
    <w:rsid w:val="00D637E2"/>
    <w:rsid w:val="00D647A4"/>
    <w:rsid w:val="00D6487A"/>
    <w:rsid w:val="00D648BB"/>
    <w:rsid w:val="00D64E04"/>
    <w:rsid w:val="00D65A5E"/>
    <w:rsid w:val="00D660B7"/>
    <w:rsid w:val="00D669D1"/>
    <w:rsid w:val="00D66B89"/>
    <w:rsid w:val="00D678F2"/>
    <w:rsid w:val="00D7049A"/>
    <w:rsid w:val="00D704F6"/>
    <w:rsid w:val="00D722B1"/>
    <w:rsid w:val="00D73044"/>
    <w:rsid w:val="00D73D41"/>
    <w:rsid w:val="00D74A82"/>
    <w:rsid w:val="00D74D39"/>
    <w:rsid w:val="00D753F6"/>
    <w:rsid w:val="00D7737D"/>
    <w:rsid w:val="00D77F00"/>
    <w:rsid w:val="00D80897"/>
    <w:rsid w:val="00D81375"/>
    <w:rsid w:val="00D84CB1"/>
    <w:rsid w:val="00D84E6C"/>
    <w:rsid w:val="00D8540E"/>
    <w:rsid w:val="00D85C4D"/>
    <w:rsid w:val="00D8730B"/>
    <w:rsid w:val="00D87673"/>
    <w:rsid w:val="00D9023A"/>
    <w:rsid w:val="00D9072A"/>
    <w:rsid w:val="00D94852"/>
    <w:rsid w:val="00D951EE"/>
    <w:rsid w:val="00D963DE"/>
    <w:rsid w:val="00D97001"/>
    <w:rsid w:val="00D9744D"/>
    <w:rsid w:val="00D97673"/>
    <w:rsid w:val="00DA039C"/>
    <w:rsid w:val="00DA0848"/>
    <w:rsid w:val="00DA10B4"/>
    <w:rsid w:val="00DA3D7C"/>
    <w:rsid w:val="00DA40C0"/>
    <w:rsid w:val="00DA4926"/>
    <w:rsid w:val="00DA6EBE"/>
    <w:rsid w:val="00DB27CC"/>
    <w:rsid w:val="00DB2A54"/>
    <w:rsid w:val="00DB2AEA"/>
    <w:rsid w:val="00DB4EF9"/>
    <w:rsid w:val="00DB78FC"/>
    <w:rsid w:val="00DC29FE"/>
    <w:rsid w:val="00DC430C"/>
    <w:rsid w:val="00DC542C"/>
    <w:rsid w:val="00DC60FB"/>
    <w:rsid w:val="00DC7319"/>
    <w:rsid w:val="00DC742E"/>
    <w:rsid w:val="00DD1F27"/>
    <w:rsid w:val="00DD38DC"/>
    <w:rsid w:val="00DD63FF"/>
    <w:rsid w:val="00DE70E9"/>
    <w:rsid w:val="00DF1BBF"/>
    <w:rsid w:val="00DF295C"/>
    <w:rsid w:val="00DF3145"/>
    <w:rsid w:val="00DF4B0E"/>
    <w:rsid w:val="00DF5349"/>
    <w:rsid w:val="00E01E4B"/>
    <w:rsid w:val="00E020D7"/>
    <w:rsid w:val="00E03201"/>
    <w:rsid w:val="00E038C6"/>
    <w:rsid w:val="00E062B0"/>
    <w:rsid w:val="00E0711E"/>
    <w:rsid w:val="00E0770C"/>
    <w:rsid w:val="00E117BE"/>
    <w:rsid w:val="00E14303"/>
    <w:rsid w:val="00E14DFA"/>
    <w:rsid w:val="00E158C8"/>
    <w:rsid w:val="00E166AC"/>
    <w:rsid w:val="00E177E1"/>
    <w:rsid w:val="00E17EA5"/>
    <w:rsid w:val="00E229DB"/>
    <w:rsid w:val="00E2571A"/>
    <w:rsid w:val="00E26EDC"/>
    <w:rsid w:val="00E2713C"/>
    <w:rsid w:val="00E27E81"/>
    <w:rsid w:val="00E30B42"/>
    <w:rsid w:val="00E333E6"/>
    <w:rsid w:val="00E342D7"/>
    <w:rsid w:val="00E34D1F"/>
    <w:rsid w:val="00E35C26"/>
    <w:rsid w:val="00E37523"/>
    <w:rsid w:val="00E410EA"/>
    <w:rsid w:val="00E41D5C"/>
    <w:rsid w:val="00E437F7"/>
    <w:rsid w:val="00E43B79"/>
    <w:rsid w:val="00E449C2"/>
    <w:rsid w:val="00E47B03"/>
    <w:rsid w:val="00E529F9"/>
    <w:rsid w:val="00E55017"/>
    <w:rsid w:val="00E55416"/>
    <w:rsid w:val="00E557D1"/>
    <w:rsid w:val="00E56282"/>
    <w:rsid w:val="00E57AAB"/>
    <w:rsid w:val="00E60EB3"/>
    <w:rsid w:val="00E616BF"/>
    <w:rsid w:val="00E6369B"/>
    <w:rsid w:val="00E658AA"/>
    <w:rsid w:val="00E6656A"/>
    <w:rsid w:val="00E670BB"/>
    <w:rsid w:val="00E70A61"/>
    <w:rsid w:val="00E70D30"/>
    <w:rsid w:val="00E70FB8"/>
    <w:rsid w:val="00E716BA"/>
    <w:rsid w:val="00E75047"/>
    <w:rsid w:val="00E75977"/>
    <w:rsid w:val="00E75F7C"/>
    <w:rsid w:val="00E76431"/>
    <w:rsid w:val="00E7686D"/>
    <w:rsid w:val="00E77975"/>
    <w:rsid w:val="00E80267"/>
    <w:rsid w:val="00E80D12"/>
    <w:rsid w:val="00E81104"/>
    <w:rsid w:val="00E813BA"/>
    <w:rsid w:val="00E81DC0"/>
    <w:rsid w:val="00E853BE"/>
    <w:rsid w:val="00E8590C"/>
    <w:rsid w:val="00E85F76"/>
    <w:rsid w:val="00E86130"/>
    <w:rsid w:val="00E876AC"/>
    <w:rsid w:val="00E91697"/>
    <w:rsid w:val="00E92811"/>
    <w:rsid w:val="00E93590"/>
    <w:rsid w:val="00E94506"/>
    <w:rsid w:val="00E94B6F"/>
    <w:rsid w:val="00E94F49"/>
    <w:rsid w:val="00E95A7B"/>
    <w:rsid w:val="00E969E9"/>
    <w:rsid w:val="00EA01A0"/>
    <w:rsid w:val="00EA155A"/>
    <w:rsid w:val="00EA24D4"/>
    <w:rsid w:val="00EA2851"/>
    <w:rsid w:val="00EA3515"/>
    <w:rsid w:val="00EA48B7"/>
    <w:rsid w:val="00EA55FE"/>
    <w:rsid w:val="00EA5E18"/>
    <w:rsid w:val="00EA69F7"/>
    <w:rsid w:val="00EB0AA9"/>
    <w:rsid w:val="00EB0B4F"/>
    <w:rsid w:val="00EB1B59"/>
    <w:rsid w:val="00EB4384"/>
    <w:rsid w:val="00EB5B03"/>
    <w:rsid w:val="00EB6065"/>
    <w:rsid w:val="00EC003D"/>
    <w:rsid w:val="00EC0826"/>
    <w:rsid w:val="00EC0DE7"/>
    <w:rsid w:val="00EC44DE"/>
    <w:rsid w:val="00EC4E99"/>
    <w:rsid w:val="00EC7E23"/>
    <w:rsid w:val="00ED2CBF"/>
    <w:rsid w:val="00ED3A21"/>
    <w:rsid w:val="00ED477E"/>
    <w:rsid w:val="00ED54F9"/>
    <w:rsid w:val="00ED6982"/>
    <w:rsid w:val="00EE0218"/>
    <w:rsid w:val="00EE0CD0"/>
    <w:rsid w:val="00EE0E54"/>
    <w:rsid w:val="00EE1033"/>
    <w:rsid w:val="00EE114E"/>
    <w:rsid w:val="00EE5603"/>
    <w:rsid w:val="00EF24BB"/>
    <w:rsid w:val="00EF2B90"/>
    <w:rsid w:val="00EF32F6"/>
    <w:rsid w:val="00EF4114"/>
    <w:rsid w:val="00EF448F"/>
    <w:rsid w:val="00EF4634"/>
    <w:rsid w:val="00EF472E"/>
    <w:rsid w:val="00EF4A5A"/>
    <w:rsid w:val="00EF4EC4"/>
    <w:rsid w:val="00EF66A9"/>
    <w:rsid w:val="00EF74D8"/>
    <w:rsid w:val="00F00FE6"/>
    <w:rsid w:val="00F01898"/>
    <w:rsid w:val="00F02109"/>
    <w:rsid w:val="00F0416A"/>
    <w:rsid w:val="00F05EE0"/>
    <w:rsid w:val="00F06985"/>
    <w:rsid w:val="00F07D86"/>
    <w:rsid w:val="00F07DE8"/>
    <w:rsid w:val="00F126F0"/>
    <w:rsid w:val="00F156B3"/>
    <w:rsid w:val="00F15FD8"/>
    <w:rsid w:val="00F1652C"/>
    <w:rsid w:val="00F21A1A"/>
    <w:rsid w:val="00F22813"/>
    <w:rsid w:val="00F22FC8"/>
    <w:rsid w:val="00F24297"/>
    <w:rsid w:val="00F27F36"/>
    <w:rsid w:val="00F3107D"/>
    <w:rsid w:val="00F32B8C"/>
    <w:rsid w:val="00F33383"/>
    <w:rsid w:val="00F33D5B"/>
    <w:rsid w:val="00F34967"/>
    <w:rsid w:val="00F35B58"/>
    <w:rsid w:val="00F35EAC"/>
    <w:rsid w:val="00F3603D"/>
    <w:rsid w:val="00F4030B"/>
    <w:rsid w:val="00F41F49"/>
    <w:rsid w:val="00F42F65"/>
    <w:rsid w:val="00F444F5"/>
    <w:rsid w:val="00F446FC"/>
    <w:rsid w:val="00F447D0"/>
    <w:rsid w:val="00F4602E"/>
    <w:rsid w:val="00F4621A"/>
    <w:rsid w:val="00F46BCF"/>
    <w:rsid w:val="00F47214"/>
    <w:rsid w:val="00F47F33"/>
    <w:rsid w:val="00F515AF"/>
    <w:rsid w:val="00F523D3"/>
    <w:rsid w:val="00F535AC"/>
    <w:rsid w:val="00F53E05"/>
    <w:rsid w:val="00F5550A"/>
    <w:rsid w:val="00F55A56"/>
    <w:rsid w:val="00F56088"/>
    <w:rsid w:val="00F6031D"/>
    <w:rsid w:val="00F60B6E"/>
    <w:rsid w:val="00F61303"/>
    <w:rsid w:val="00F62A91"/>
    <w:rsid w:val="00F62D10"/>
    <w:rsid w:val="00F65606"/>
    <w:rsid w:val="00F66614"/>
    <w:rsid w:val="00F67340"/>
    <w:rsid w:val="00F67764"/>
    <w:rsid w:val="00F67E9B"/>
    <w:rsid w:val="00F71232"/>
    <w:rsid w:val="00F71D99"/>
    <w:rsid w:val="00F72513"/>
    <w:rsid w:val="00F73074"/>
    <w:rsid w:val="00F74722"/>
    <w:rsid w:val="00F75F45"/>
    <w:rsid w:val="00F82957"/>
    <w:rsid w:val="00F82F60"/>
    <w:rsid w:val="00F83BD2"/>
    <w:rsid w:val="00F8433E"/>
    <w:rsid w:val="00F857CA"/>
    <w:rsid w:val="00F90611"/>
    <w:rsid w:val="00F92C2B"/>
    <w:rsid w:val="00F94241"/>
    <w:rsid w:val="00F945CD"/>
    <w:rsid w:val="00F95ECF"/>
    <w:rsid w:val="00F966FB"/>
    <w:rsid w:val="00F9792C"/>
    <w:rsid w:val="00F97AAA"/>
    <w:rsid w:val="00FA16D7"/>
    <w:rsid w:val="00FA26AD"/>
    <w:rsid w:val="00FA4AD8"/>
    <w:rsid w:val="00FA7EE0"/>
    <w:rsid w:val="00FB3597"/>
    <w:rsid w:val="00FB53CA"/>
    <w:rsid w:val="00FB6766"/>
    <w:rsid w:val="00FC10E6"/>
    <w:rsid w:val="00FC1C3D"/>
    <w:rsid w:val="00FC3750"/>
    <w:rsid w:val="00FC487C"/>
    <w:rsid w:val="00FC4FCB"/>
    <w:rsid w:val="00FC51A5"/>
    <w:rsid w:val="00FC51BC"/>
    <w:rsid w:val="00FD0B36"/>
    <w:rsid w:val="00FD168A"/>
    <w:rsid w:val="00FD16B1"/>
    <w:rsid w:val="00FD3643"/>
    <w:rsid w:val="00FD4BC5"/>
    <w:rsid w:val="00FD553C"/>
    <w:rsid w:val="00FD5BFE"/>
    <w:rsid w:val="00FD5E16"/>
    <w:rsid w:val="00FD6F5E"/>
    <w:rsid w:val="00FE087D"/>
    <w:rsid w:val="00FE0AC9"/>
    <w:rsid w:val="00FE133D"/>
    <w:rsid w:val="00FE2090"/>
    <w:rsid w:val="00FE359D"/>
    <w:rsid w:val="00FE47EA"/>
    <w:rsid w:val="00FE4D5F"/>
    <w:rsid w:val="00FE7BC4"/>
    <w:rsid w:val="00FF29D4"/>
    <w:rsid w:val="00FF388D"/>
    <w:rsid w:val="00FF7A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CD4"/>
    <w:rPr>
      <w:rFonts w:eastAsia="Times New Roman"/>
      <w:sz w:val="24"/>
      <w:szCs w:val="24"/>
      <w:lang w:val="es-ES" w:eastAsia="es-ES_tradnl"/>
    </w:rPr>
  </w:style>
  <w:style w:type="paragraph" w:styleId="Ttulo1">
    <w:name w:val="heading 1"/>
    <w:basedOn w:val="Normal"/>
    <w:next w:val="Normal"/>
    <w:link w:val="Ttulo1Car"/>
    <w:uiPriority w:val="9"/>
    <w:qFormat/>
    <w:rsid w:val="000579D7"/>
    <w:pPr>
      <w:keepNext/>
      <w:keepLines/>
      <w:spacing w:before="240"/>
      <w:outlineLvl w:val="0"/>
    </w:pPr>
    <w:rPr>
      <w:rFonts w:asciiTheme="majorHAnsi" w:eastAsiaTheme="majorEastAsia" w:hAnsiTheme="majorHAnsi" w:cstheme="majorBidi"/>
      <w:color w:val="2F5496" w:themeColor="accent1" w:themeShade="BF"/>
      <w:sz w:val="32"/>
      <w:szCs w:val="32"/>
      <w:lang w:val="en-US" w:eastAsia="ja-JP"/>
    </w:rPr>
  </w:style>
  <w:style w:type="paragraph" w:styleId="Ttulo2">
    <w:name w:val="heading 2"/>
    <w:basedOn w:val="Normal"/>
    <w:next w:val="Normal"/>
    <w:link w:val="Ttulo2Car"/>
    <w:uiPriority w:val="9"/>
    <w:unhideWhenUsed/>
    <w:qFormat/>
    <w:rsid w:val="00F523D3"/>
    <w:pPr>
      <w:keepNext/>
      <w:keepLines/>
      <w:spacing w:before="40"/>
      <w:outlineLvl w:val="1"/>
    </w:pPr>
    <w:rPr>
      <w:rFonts w:asciiTheme="majorHAnsi" w:eastAsiaTheme="majorEastAsia" w:hAnsiTheme="majorHAnsi" w:cstheme="majorBidi"/>
      <w:color w:val="2F5496" w:themeColor="accent1" w:themeShade="BF"/>
      <w:sz w:val="26"/>
      <w:szCs w:val="26"/>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eastAsia="MS Mincho" w:hAnsi="Arial"/>
      <w:sz w:val="14"/>
      <w:szCs w:val="16"/>
      <w:lang w:val="en-US" w:eastAsia="ja-JP"/>
    </w:rPr>
  </w:style>
  <w:style w:type="paragraph" w:customStyle="1" w:styleId="References">
    <w:name w:val="References"/>
    <w:basedOn w:val="Normal"/>
    <w:rsid w:val="005B291B"/>
    <w:pPr>
      <w:spacing w:line="200" w:lineRule="exact"/>
      <w:ind w:left="425" w:hanging="425"/>
      <w:jc w:val="both"/>
    </w:pPr>
    <w:rPr>
      <w:rFonts w:eastAsia="MS Mincho"/>
      <w:sz w:val="15"/>
      <w:szCs w:val="14"/>
      <w:lang w:val="en-GB" w:eastAsia="ja-JP"/>
    </w:rPr>
  </w:style>
  <w:style w:type="paragraph" w:customStyle="1" w:styleId="HExperimentalSection">
    <w:name w:val="HExperimental_Section"/>
    <w:basedOn w:val="Normal"/>
    <w:rsid w:val="005B291B"/>
    <w:pPr>
      <w:spacing w:before="460" w:after="230" w:line="230" w:lineRule="atLeast"/>
    </w:pPr>
    <w:rPr>
      <w:rFonts w:eastAsia="MS Mincho"/>
      <w:i/>
      <w:szCs w:val="20"/>
      <w:lang w:val="en-US" w:eastAsia="ja-JP"/>
    </w:rPr>
  </w:style>
  <w:style w:type="paragraph" w:customStyle="1" w:styleId="ExperimentalSection">
    <w:name w:val="ExperimentalSection"/>
    <w:basedOn w:val="Normal"/>
    <w:rsid w:val="005B291B"/>
    <w:pPr>
      <w:spacing w:after="240" w:line="200" w:lineRule="exact"/>
      <w:ind w:firstLine="170"/>
      <w:jc w:val="both"/>
    </w:pPr>
    <w:rPr>
      <w:rFonts w:eastAsia="MS Mincho"/>
      <w:sz w:val="16"/>
      <w:szCs w:val="14"/>
      <w:lang w:val="en-GB" w:eastAsia="ja-JP"/>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eastAsia="MS Mincho"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rPr>
      <w:rFonts w:eastAsia="MS Mincho"/>
      <w:lang w:val="en-US" w:eastAsia="ja-JP"/>
    </w:rPr>
  </w:style>
  <w:style w:type="paragraph" w:customStyle="1" w:styleId="TableCaption">
    <w:name w:val="TableCaption"/>
    <w:basedOn w:val="Normal"/>
    <w:rsid w:val="006511FB"/>
    <w:pPr>
      <w:spacing w:after="120" w:line="190" w:lineRule="exact"/>
      <w:jc w:val="both"/>
    </w:pPr>
    <w:rPr>
      <w:rFonts w:ascii="Arial" w:eastAsia="MS Mincho" w:hAnsi="Arial"/>
      <w:sz w:val="16"/>
      <w:szCs w:val="14"/>
      <w:lang w:val="en-GB" w:eastAsia="ja-JP"/>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eastAsia="MS Mincho" w:hAnsi="Arial"/>
      <w:sz w:val="16"/>
      <w:szCs w:val="14"/>
      <w:lang w:val="en-GB" w:eastAsia="ja-JP"/>
    </w:rPr>
  </w:style>
  <w:style w:type="paragraph" w:styleId="Textonotapie">
    <w:name w:val="footnote text"/>
    <w:basedOn w:val="Normal"/>
    <w:semiHidden/>
    <w:rsid w:val="00D81375"/>
    <w:pPr>
      <w:keepLines/>
      <w:widowControl w:val="0"/>
      <w:jc w:val="both"/>
    </w:pPr>
    <w:rPr>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eastAsia="MS Mincho"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Textodeglobo">
    <w:name w:val="Balloon Text"/>
    <w:basedOn w:val="Normal"/>
    <w:link w:val="TextodegloboCar"/>
    <w:semiHidden/>
    <w:rsid w:val="00D81375"/>
    <w:rPr>
      <w:rFonts w:ascii="Tahoma" w:eastAsia="MS Mincho" w:hAnsi="Tahoma" w:cs="Tahoma"/>
      <w:sz w:val="16"/>
      <w:szCs w:val="16"/>
      <w:lang w:val="en-US" w:eastAsia="ja-JP"/>
    </w:rPr>
  </w:style>
  <w:style w:type="paragraph" w:styleId="Encabezado">
    <w:name w:val="header"/>
    <w:basedOn w:val="Normal"/>
    <w:link w:val="EncabezadoCar"/>
    <w:rsid w:val="00881456"/>
    <w:pPr>
      <w:tabs>
        <w:tab w:val="center" w:pos="4536"/>
        <w:tab w:val="right" w:pos="9072"/>
      </w:tabs>
    </w:pPr>
    <w:rPr>
      <w:rFonts w:eastAsia="MS Mincho"/>
      <w:lang w:val="x-none" w:eastAsia="ja-JP"/>
    </w:rPr>
  </w:style>
  <w:style w:type="paragraph" w:styleId="Piedepgina">
    <w:name w:val="footer"/>
    <w:basedOn w:val="Normal"/>
    <w:link w:val="PiedepginaCar"/>
    <w:uiPriority w:val="99"/>
    <w:rsid w:val="00881456"/>
    <w:pPr>
      <w:tabs>
        <w:tab w:val="center" w:pos="4536"/>
        <w:tab w:val="right" w:pos="9072"/>
      </w:tabs>
    </w:pPr>
    <w:rPr>
      <w:rFonts w:eastAsia="MS Mincho"/>
      <w:lang w:val="en-US" w:eastAsia="ja-JP"/>
    </w:rPr>
  </w:style>
  <w:style w:type="paragraph" w:customStyle="1" w:styleId="Title1">
    <w:name w:val="Title1"/>
    <w:basedOn w:val="Normal"/>
    <w:rsid w:val="00004A23"/>
    <w:rPr>
      <w:rFonts w:eastAsia="MS Mincho"/>
      <w:b/>
      <w:lang w:val="en-US" w:eastAsia="ja-JP"/>
    </w:rPr>
  </w:style>
  <w:style w:type="paragraph" w:customStyle="1" w:styleId="AuthorsFull">
    <w:name w:val="Authors Full"/>
    <w:basedOn w:val="Normal"/>
    <w:rsid w:val="00004A23"/>
    <w:rPr>
      <w:rFonts w:eastAsia="MS Mincho"/>
      <w:i/>
      <w:lang w:val="en-US" w:eastAsia="ja-JP"/>
    </w:rPr>
  </w:style>
  <w:style w:type="paragraph" w:customStyle="1" w:styleId="dedication">
    <w:name w:val="dedication"/>
    <w:basedOn w:val="Normal"/>
    <w:rsid w:val="00004A23"/>
    <w:rPr>
      <w:rFonts w:eastAsia="MS Mincho"/>
      <w:i/>
      <w:lang w:val="en-US" w:eastAsia="ja-JP"/>
    </w:rPr>
  </w:style>
  <w:style w:type="paragraph" w:customStyle="1" w:styleId="Addresses">
    <w:name w:val="Addresses"/>
    <w:basedOn w:val="Normal"/>
    <w:rsid w:val="00004A23"/>
    <w:rPr>
      <w:rFonts w:eastAsia="MS Mincho"/>
      <w:lang w:val="en-US" w:eastAsia="ja-JP"/>
    </w:rPr>
  </w:style>
  <w:style w:type="paragraph" w:customStyle="1" w:styleId="Acknowledgements">
    <w:name w:val="Acknowledgements"/>
    <w:basedOn w:val="Normal"/>
    <w:rsid w:val="00004A23"/>
    <w:rPr>
      <w:rFonts w:eastAsia="MS Mincho"/>
      <w:lang w:val="en-US" w:eastAsia="ja-JP"/>
    </w:rPr>
  </w:style>
  <w:style w:type="paragraph" w:customStyle="1" w:styleId="Abstract">
    <w:name w:val="Abstract"/>
    <w:basedOn w:val="Normal"/>
    <w:autoRedefine/>
    <w:rsid w:val="00004A23"/>
    <w:pPr>
      <w:spacing w:line="480" w:lineRule="auto"/>
    </w:pPr>
    <w:rPr>
      <w:rFonts w:eastAsia="MS Mincho"/>
      <w:lang w:val="en-US" w:eastAsia="ja-JP"/>
    </w:rPr>
  </w:style>
  <w:style w:type="paragraph" w:customStyle="1" w:styleId="Head1">
    <w:name w:val="Head 1"/>
    <w:basedOn w:val="Normal"/>
    <w:autoRedefine/>
    <w:rsid w:val="00433A2C"/>
    <w:pPr>
      <w:spacing w:line="360" w:lineRule="auto"/>
      <w:jc w:val="both"/>
    </w:pPr>
    <w:rPr>
      <w:rFonts w:eastAsia="MS Mincho"/>
      <w:bCs/>
    </w:rPr>
  </w:style>
  <w:style w:type="paragraph" w:customStyle="1" w:styleId="Head2">
    <w:name w:val="Head 2"/>
    <w:basedOn w:val="Normal"/>
    <w:autoRedefine/>
    <w:rsid w:val="00004A23"/>
    <w:pPr>
      <w:spacing w:line="360" w:lineRule="auto"/>
    </w:pPr>
    <w:rPr>
      <w:rFonts w:eastAsia="MS Mincho"/>
      <w:i/>
      <w:lang w:val="en-US" w:eastAsia="ja-JP"/>
    </w:rPr>
  </w:style>
  <w:style w:type="paragraph" w:customStyle="1" w:styleId="dates">
    <w:name w:val="dates"/>
    <w:basedOn w:val="Normal"/>
    <w:rsid w:val="00004A23"/>
    <w:pPr>
      <w:jc w:val="right"/>
    </w:pPr>
    <w:rPr>
      <w:rFonts w:eastAsia="MS Mincho"/>
      <w:lang w:val="en-US" w:eastAsia="ja-JP"/>
    </w:rPr>
  </w:style>
  <w:style w:type="paragraph" w:customStyle="1" w:styleId="Literature">
    <w:name w:val="Literature"/>
    <w:basedOn w:val="Normal"/>
    <w:rsid w:val="00004A23"/>
    <w:pPr>
      <w:spacing w:line="480" w:lineRule="auto"/>
    </w:pPr>
    <w:rPr>
      <w:rFonts w:eastAsia="MS Mincho"/>
      <w:lang w:val="en-US" w:eastAsia="ja-JP"/>
    </w:rPr>
  </w:style>
  <w:style w:type="paragraph" w:customStyle="1" w:styleId="Legend">
    <w:name w:val="Legend"/>
    <w:basedOn w:val="Normal"/>
    <w:rsid w:val="00004A23"/>
    <w:rPr>
      <w:rFonts w:eastAsia="MS Mincho"/>
      <w:lang w:val="en-US" w:eastAsia="ja-JP"/>
    </w:rPr>
  </w:style>
  <w:style w:type="paragraph" w:customStyle="1" w:styleId="MainText">
    <w:name w:val="Main Text"/>
    <w:basedOn w:val="Normal"/>
    <w:link w:val="MainTextChar"/>
    <w:rsid w:val="00004A23"/>
    <w:pPr>
      <w:spacing w:line="480" w:lineRule="auto"/>
    </w:pPr>
    <w:rPr>
      <w:rFonts w:eastAsia="MS Mincho"/>
      <w:lang w:val="en-US" w:eastAsia="ja-JP"/>
    </w:rPr>
  </w:style>
  <w:style w:type="paragraph" w:customStyle="1" w:styleId="Tableofcontents">
    <w:name w:val="Table of contents"/>
    <w:basedOn w:val="Normal"/>
    <w:autoRedefine/>
    <w:rsid w:val="001000C1"/>
    <w:pPr>
      <w:jc w:val="both"/>
    </w:pPr>
    <w:rPr>
      <w:rFonts w:eastAsia="MS Mincho"/>
      <w:lang w:val="en-US" w:eastAsia="ja-JP"/>
    </w:rPr>
  </w:style>
  <w:style w:type="paragraph" w:customStyle="1" w:styleId="ExperimentalText">
    <w:name w:val="Experimental Text"/>
    <w:basedOn w:val="Normal"/>
    <w:link w:val="ExperimentalTextChar"/>
    <w:rsid w:val="00004A23"/>
    <w:pPr>
      <w:spacing w:line="480" w:lineRule="auto"/>
    </w:pPr>
    <w:rPr>
      <w:rFonts w:eastAsia="MS Mincho"/>
      <w:lang w:val="en-US" w:eastAsia="ja-JP"/>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rFonts w:eastAsia="MS Mincho"/>
      <w:b/>
      <w:lang w:val="en-US" w:eastAsia="ja-JP"/>
    </w:rPr>
  </w:style>
  <w:style w:type="paragraph" w:customStyle="1" w:styleId="Dedication0">
    <w:name w:val="Dedication"/>
    <w:basedOn w:val="Normal"/>
    <w:autoRedefine/>
    <w:rsid w:val="00322D5B"/>
    <w:rPr>
      <w:rFonts w:eastAsia="MS Mincho"/>
      <w:lang w:val="en-US" w:eastAsia="ja-JP"/>
    </w:rPr>
  </w:style>
  <w:style w:type="paragraph" w:customStyle="1" w:styleId="Maintext0">
    <w:name w:val="Main text"/>
    <w:basedOn w:val="Normal"/>
    <w:link w:val="MaintextChar0"/>
    <w:autoRedefine/>
    <w:rsid w:val="0019723B"/>
    <w:pPr>
      <w:spacing w:line="480" w:lineRule="auto"/>
    </w:pPr>
    <w:rPr>
      <w:rFonts w:eastAsia="MS Mincho"/>
      <w:lang w:val="en-US" w:eastAsia="ja-JP"/>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rFonts w:eastAsia="MS Mincho"/>
      <w:i/>
      <w:lang w:val="en-US" w:eastAsia="ja-JP"/>
    </w:rPr>
  </w:style>
  <w:style w:type="character" w:customStyle="1" w:styleId="EncabezadoCar">
    <w:name w:val="Encabezado Car"/>
    <w:link w:val="Encabezado"/>
    <w:rsid w:val="00414465"/>
    <w:rPr>
      <w:sz w:val="24"/>
      <w:szCs w:val="24"/>
      <w:lang w:eastAsia="ja-JP"/>
    </w:rPr>
  </w:style>
  <w:style w:type="character" w:styleId="Refdecomentario">
    <w:name w:val="annotation reference"/>
    <w:uiPriority w:val="99"/>
    <w:semiHidden/>
    <w:unhideWhenUsed/>
    <w:rsid w:val="00664F6D"/>
    <w:rPr>
      <w:sz w:val="16"/>
      <w:szCs w:val="16"/>
    </w:rPr>
  </w:style>
  <w:style w:type="paragraph" w:styleId="Textocomentario">
    <w:name w:val="annotation text"/>
    <w:basedOn w:val="Normal"/>
    <w:link w:val="TextocomentarioCar"/>
    <w:uiPriority w:val="99"/>
    <w:semiHidden/>
    <w:unhideWhenUsed/>
    <w:rsid w:val="00664F6D"/>
    <w:rPr>
      <w:rFonts w:eastAsia="MS Mincho"/>
      <w:sz w:val="20"/>
      <w:szCs w:val="20"/>
      <w:lang w:val="x-none" w:eastAsia="ja-JP"/>
    </w:rPr>
  </w:style>
  <w:style w:type="character" w:customStyle="1" w:styleId="TextocomentarioCar">
    <w:name w:val="Texto comentario Car"/>
    <w:link w:val="Textocomentario"/>
    <w:uiPriority w:val="99"/>
    <w:semiHidden/>
    <w:rsid w:val="00664F6D"/>
    <w:rPr>
      <w:lang w:eastAsia="ja-JP"/>
    </w:rPr>
  </w:style>
  <w:style w:type="paragraph" w:styleId="Asuntodelcomentario">
    <w:name w:val="annotation subject"/>
    <w:basedOn w:val="Textocomentario"/>
    <w:next w:val="Textocomentario"/>
    <w:link w:val="AsuntodelcomentarioCar"/>
    <w:uiPriority w:val="99"/>
    <w:semiHidden/>
    <w:unhideWhenUsed/>
    <w:rsid w:val="00664F6D"/>
    <w:rPr>
      <w:b/>
      <w:bCs/>
    </w:rPr>
  </w:style>
  <w:style w:type="character" w:customStyle="1" w:styleId="AsuntodelcomentarioCar">
    <w:name w:val="Asunto del comentario Car"/>
    <w:link w:val="Asuntodelcomentario"/>
    <w:uiPriority w:val="99"/>
    <w:semiHidden/>
    <w:rsid w:val="00664F6D"/>
    <w:rPr>
      <w:b/>
      <w:bCs/>
      <w:lang w:eastAsia="ja-JP"/>
    </w:rPr>
  </w:style>
  <w:style w:type="character" w:customStyle="1" w:styleId="PiedepginaCar">
    <w:name w:val="Pie de página Car"/>
    <w:link w:val="Piedepgina"/>
    <w:uiPriority w:val="99"/>
    <w:rsid w:val="007B7A09"/>
    <w:rPr>
      <w:sz w:val="24"/>
      <w:szCs w:val="24"/>
      <w:lang w:eastAsia="ja-JP"/>
    </w:rPr>
  </w:style>
  <w:style w:type="character" w:styleId="Hipervnculo">
    <w:name w:val="Hyperlink"/>
    <w:basedOn w:val="Fuentedeprrafopredeter"/>
    <w:uiPriority w:val="99"/>
    <w:unhideWhenUsed/>
    <w:rsid w:val="0063694F"/>
    <w:rPr>
      <w:color w:val="0563C1" w:themeColor="hyperlink"/>
      <w:u w:val="single"/>
    </w:rPr>
  </w:style>
  <w:style w:type="character" w:customStyle="1" w:styleId="Ttulo2Car">
    <w:name w:val="Título 2 Car"/>
    <w:basedOn w:val="Fuentedeprrafopredeter"/>
    <w:link w:val="Ttulo2"/>
    <w:uiPriority w:val="9"/>
    <w:rsid w:val="00F523D3"/>
    <w:rPr>
      <w:rFonts w:asciiTheme="majorHAnsi" w:eastAsiaTheme="majorEastAsia" w:hAnsiTheme="majorHAnsi" w:cstheme="majorBidi"/>
      <w:color w:val="2F5496" w:themeColor="accent1" w:themeShade="BF"/>
      <w:sz w:val="26"/>
      <w:szCs w:val="26"/>
      <w:lang w:val="en-US" w:eastAsia="en-US"/>
    </w:rPr>
  </w:style>
  <w:style w:type="character" w:customStyle="1" w:styleId="TextodegloboCar">
    <w:name w:val="Texto de globo Car"/>
    <w:basedOn w:val="Fuentedeprrafopredeter"/>
    <w:link w:val="Textodeglobo"/>
    <w:semiHidden/>
    <w:rsid w:val="00F523D3"/>
    <w:rPr>
      <w:rFonts w:ascii="Tahoma" w:hAnsi="Tahoma" w:cs="Tahoma"/>
      <w:sz w:val="16"/>
      <w:szCs w:val="16"/>
      <w:lang w:val="de-DE" w:eastAsia="ja-JP"/>
    </w:rPr>
  </w:style>
  <w:style w:type="paragraph" w:styleId="Prrafodelista">
    <w:name w:val="List Paragraph"/>
    <w:basedOn w:val="Normal"/>
    <w:uiPriority w:val="34"/>
    <w:qFormat/>
    <w:rsid w:val="00F523D3"/>
    <w:pPr>
      <w:ind w:left="720"/>
      <w:contextualSpacing/>
    </w:pPr>
    <w:rPr>
      <w:rFonts w:eastAsiaTheme="minorHAnsi" w:cstheme="minorBidi"/>
      <w:lang w:val="en-US" w:eastAsia="en-US"/>
    </w:rPr>
  </w:style>
  <w:style w:type="character" w:styleId="Hipervnculovisitado">
    <w:name w:val="FollowedHyperlink"/>
    <w:basedOn w:val="Fuentedeprrafopredeter"/>
    <w:uiPriority w:val="99"/>
    <w:semiHidden/>
    <w:unhideWhenUsed/>
    <w:rsid w:val="002D0752"/>
    <w:rPr>
      <w:color w:val="954F72" w:themeColor="followedHyperlink"/>
      <w:u w:val="single"/>
    </w:rPr>
  </w:style>
  <w:style w:type="character" w:styleId="Mencinsinresolver">
    <w:name w:val="Unresolved Mention"/>
    <w:basedOn w:val="Fuentedeprrafopredeter"/>
    <w:uiPriority w:val="99"/>
    <w:semiHidden/>
    <w:unhideWhenUsed/>
    <w:rsid w:val="002D0752"/>
    <w:rPr>
      <w:color w:val="605E5C"/>
      <w:shd w:val="clear" w:color="auto" w:fill="E1DFDD"/>
    </w:rPr>
  </w:style>
  <w:style w:type="paragraph" w:styleId="Revisin">
    <w:name w:val="Revision"/>
    <w:hidden/>
    <w:uiPriority w:val="99"/>
    <w:semiHidden/>
    <w:rsid w:val="00D97001"/>
    <w:rPr>
      <w:sz w:val="24"/>
      <w:szCs w:val="24"/>
      <w:lang w:val="en-US" w:eastAsia="ja-JP"/>
    </w:rPr>
  </w:style>
  <w:style w:type="character" w:styleId="Textodelmarcadordeposicin">
    <w:name w:val="Placeholder Text"/>
    <w:basedOn w:val="Fuentedeprrafopredeter"/>
    <w:uiPriority w:val="99"/>
    <w:semiHidden/>
    <w:rsid w:val="007C4F9C"/>
    <w:rPr>
      <w:color w:val="808080"/>
    </w:rPr>
  </w:style>
  <w:style w:type="paragraph" w:styleId="NormalWeb">
    <w:name w:val="Normal (Web)"/>
    <w:basedOn w:val="Normal"/>
    <w:uiPriority w:val="99"/>
    <w:semiHidden/>
    <w:unhideWhenUsed/>
    <w:rsid w:val="00071F9B"/>
    <w:pPr>
      <w:spacing w:before="100" w:beforeAutospacing="1" w:after="100" w:afterAutospacing="1"/>
    </w:pPr>
  </w:style>
  <w:style w:type="character" w:customStyle="1" w:styleId="Ttulo1Car">
    <w:name w:val="Título 1 Car"/>
    <w:basedOn w:val="Fuentedeprrafopredeter"/>
    <w:link w:val="Ttulo1"/>
    <w:uiPriority w:val="9"/>
    <w:rsid w:val="000579D7"/>
    <w:rPr>
      <w:rFonts w:asciiTheme="majorHAnsi" w:eastAsiaTheme="majorEastAsia" w:hAnsiTheme="majorHAnsi" w:cstheme="majorBidi"/>
      <w:color w:val="2F5496" w:themeColor="accent1" w:themeShade="BF"/>
      <w:sz w:val="32"/>
      <w:szCs w:val="32"/>
      <w:lang w:val="en-US" w:eastAsia="ja-JP"/>
    </w:rPr>
  </w:style>
  <w:style w:type="paragraph" w:styleId="Ttulo">
    <w:name w:val="Title"/>
    <w:basedOn w:val="Normal"/>
    <w:next w:val="Normal"/>
    <w:link w:val="TtuloCar"/>
    <w:uiPriority w:val="10"/>
    <w:qFormat/>
    <w:rsid w:val="00024F20"/>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24F20"/>
    <w:rPr>
      <w:rFonts w:asciiTheme="majorHAnsi" w:eastAsiaTheme="majorEastAsia" w:hAnsiTheme="majorHAnsi" w:cstheme="majorBidi"/>
      <w:spacing w:val="-10"/>
      <w:kern w:val="28"/>
      <w:sz w:val="56"/>
      <w:szCs w:val="56"/>
      <w:lang w:val="es-ES" w:eastAsia="es-ES_tradnl"/>
    </w:rPr>
  </w:style>
  <w:style w:type="paragraph" w:styleId="TDC1">
    <w:name w:val="toc 1"/>
    <w:basedOn w:val="Normal"/>
    <w:next w:val="Normal"/>
    <w:autoRedefine/>
    <w:uiPriority w:val="39"/>
    <w:unhideWhenUsed/>
    <w:rsid w:val="006D652D"/>
    <w:pPr>
      <w:spacing w:before="120" w:after="120"/>
    </w:pPr>
    <w:rPr>
      <w:rFonts w:asciiTheme="minorHAnsi" w:hAnsiTheme="minorHAnsi" w:cstheme="minorHAnsi"/>
      <w:b/>
      <w:bCs/>
      <w:caps/>
      <w:sz w:val="20"/>
      <w:szCs w:val="20"/>
    </w:rPr>
  </w:style>
  <w:style w:type="paragraph" w:styleId="TDC2">
    <w:name w:val="toc 2"/>
    <w:basedOn w:val="Normal"/>
    <w:next w:val="Normal"/>
    <w:autoRedefine/>
    <w:uiPriority w:val="39"/>
    <w:unhideWhenUsed/>
    <w:rsid w:val="006D652D"/>
    <w:pPr>
      <w:ind w:left="240"/>
    </w:pPr>
    <w:rPr>
      <w:rFonts w:asciiTheme="minorHAnsi" w:hAnsiTheme="minorHAnsi" w:cstheme="minorHAnsi"/>
      <w:smallCaps/>
      <w:sz w:val="20"/>
      <w:szCs w:val="20"/>
    </w:rPr>
  </w:style>
  <w:style w:type="paragraph" w:styleId="TDC3">
    <w:name w:val="toc 3"/>
    <w:basedOn w:val="Normal"/>
    <w:next w:val="Normal"/>
    <w:autoRedefine/>
    <w:uiPriority w:val="39"/>
    <w:unhideWhenUsed/>
    <w:rsid w:val="006D652D"/>
    <w:pPr>
      <w:ind w:left="480"/>
    </w:pPr>
    <w:rPr>
      <w:rFonts w:asciiTheme="minorHAnsi" w:hAnsiTheme="minorHAnsi" w:cstheme="minorHAnsi"/>
      <w:i/>
      <w:iCs/>
      <w:sz w:val="20"/>
      <w:szCs w:val="20"/>
    </w:rPr>
  </w:style>
  <w:style w:type="paragraph" w:styleId="TDC4">
    <w:name w:val="toc 4"/>
    <w:basedOn w:val="Normal"/>
    <w:next w:val="Normal"/>
    <w:autoRedefine/>
    <w:uiPriority w:val="39"/>
    <w:unhideWhenUsed/>
    <w:rsid w:val="006D652D"/>
    <w:pPr>
      <w:ind w:left="720"/>
    </w:pPr>
    <w:rPr>
      <w:rFonts w:asciiTheme="minorHAnsi" w:hAnsiTheme="minorHAnsi" w:cstheme="minorHAnsi"/>
      <w:sz w:val="18"/>
      <w:szCs w:val="18"/>
    </w:rPr>
  </w:style>
  <w:style w:type="paragraph" w:styleId="TDC5">
    <w:name w:val="toc 5"/>
    <w:basedOn w:val="Normal"/>
    <w:next w:val="Normal"/>
    <w:autoRedefine/>
    <w:uiPriority w:val="39"/>
    <w:unhideWhenUsed/>
    <w:rsid w:val="006D652D"/>
    <w:pPr>
      <w:ind w:left="960"/>
    </w:pPr>
    <w:rPr>
      <w:rFonts w:asciiTheme="minorHAnsi" w:hAnsiTheme="minorHAnsi" w:cstheme="minorHAnsi"/>
      <w:sz w:val="18"/>
      <w:szCs w:val="18"/>
    </w:rPr>
  </w:style>
  <w:style w:type="paragraph" w:styleId="TDC6">
    <w:name w:val="toc 6"/>
    <w:basedOn w:val="Normal"/>
    <w:next w:val="Normal"/>
    <w:autoRedefine/>
    <w:uiPriority w:val="39"/>
    <w:unhideWhenUsed/>
    <w:rsid w:val="006D652D"/>
    <w:pPr>
      <w:ind w:left="1200"/>
    </w:pPr>
    <w:rPr>
      <w:rFonts w:asciiTheme="minorHAnsi" w:hAnsiTheme="minorHAnsi" w:cstheme="minorHAnsi"/>
      <w:sz w:val="18"/>
      <w:szCs w:val="18"/>
    </w:rPr>
  </w:style>
  <w:style w:type="paragraph" w:styleId="TDC7">
    <w:name w:val="toc 7"/>
    <w:basedOn w:val="Normal"/>
    <w:next w:val="Normal"/>
    <w:autoRedefine/>
    <w:uiPriority w:val="39"/>
    <w:unhideWhenUsed/>
    <w:rsid w:val="006D652D"/>
    <w:pPr>
      <w:ind w:left="1440"/>
    </w:pPr>
    <w:rPr>
      <w:rFonts w:asciiTheme="minorHAnsi" w:hAnsiTheme="minorHAnsi" w:cstheme="minorHAnsi"/>
      <w:sz w:val="18"/>
      <w:szCs w:val="18"/>
    </w:rPr>
  </w:style>
  <w:style w:type="paragraph" w:styleId="TDC8">
    <w:name w:val="toc 8"/>
    <w:basedOn w:val="Normal"/>
    <w:next w:val="Normal"/>
    <w:autoRedefine/>
    <w:uiPriority w:val="39"/>
    <w:unhideWhenUsed/>
    <w:rsid w:val="006D652D"/>
    <w:pPr>
      <w:ind w:left="1680"/>
    </w:pPr>
    <w:rPr>
      <w:rFonts w:asciiTheme="minorHAnsi" w:hAnsiTheme="minorHAnsi" w:cstheme="minorHAnsi"/>
      <w:sz w:val="18"/>
      <w:szCs w:val="18"/>
    </w:rPr>
  </w:style>
  <w:style w:type="paragraph" w:styleId="TDC9">
    <w:name w:val="toc 9"/>
    <w:basedOn w:val="Normal"/>
    <w:next w:val="Normal"/>
    <w:autoRedefine/>
    <w:uiPriority w:val="39"/>
    <w:unhideWhenUsed/>
    <w:rsid w:val="006D652D"/>
    <w:pPr>
      <w:ind w:left="1920"/>
    </w:pPr>
    <w:rPr>
      <w:rFonts w:asciiTheme="minorHAnsi" w:hAnsiTheme="minorHAnsi" w:cstheme="minorHAnsi"/>
      <w:sz w:val="18"/>
      <w:szCs w:val="18"/>
    </w:rPr>
  </w:style>
  <w:style w:type="character" w:styleId="Refdenotaalpie">
    <w:name w:val="footnote reference"/>
    <w:basedOn w:val="Fuentedeprrafopredeter"/>
    <w:uiPriority w:val="99"/>
    <w:semiHidden/>
    <w:unhideWhenUsed/>
    <w:rsid w:val="00A90A7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0800">
      <w:bodyDiv w:val="1"/>
      <w:marLeft w:val="0"/>
      <w:marRight w:val="0"/>
      <w:marTop w:val="0"/>
      <w:marBottom w:val="0"/>
      <w:divBdr>
        <w:top w:val="none" w:sz="0" w:space="0" w:color="auto"/>
        <w:left w:val="none" w:sz="0" w:space="0" w:color="auto"/>
        <w:bottom w:val="none" w:sz="0" w:space="0" w:color="auto"/>
        <w:right w:val="none" w:sz="0" w:space="0" w:color="auto"/>
      </w:divBdr>
    </w:div>
    <w:div w:id="63112683">
      <w:bodyDiv w:val="1"/>
      <w:marLeft w:val="0"/>
      <w:marRight w:val="0"/>
      <w:marTop w:val="0"/>
      <w:marBottom w:val="0"/>
      <w:divBdr>
        <w:top w:val="none" w:sz="0" w:space="0" w:color="auto"/>
        <w:left w:val="none" w:sz="0" w:space="0" w:color="auto"/>
        <w:bottom w:val="none" w:sz="0" w:space="0" w:color="auto"/>
        <w:right w:val="none" w:sz="0" w:space="0" w:color="auto"/>
      </w:divBdr>
    </w:div>
    <w:div w:id="85930215">
      <w:bodyDiv w:val="1"/>
      <w:marLeft w:val="0"/>
      <w:marRight w:val="0"/>
      <w:marTop w:val="0"/>
      <w:marBottom w:val="0"/>
      <w:divBdr>
        <w:top w:val="none" w:sz="0" w:space="0" w:color="auto"/>
        <w:left w:val="none" w:sz="0" w:space="0" w:color="auto"/>
        <w:bottom w:val="none" w:sz="0" w:space="0" w:color="auto"/>
        <w:right w:val="none" w:sz="0" w:space="0" w:color="auto"/>
      </w:divBdr>
    </w:div>
    <w:div w:id="109980019">
      <w:bodyDiv w:val="1"/>
      <w:marLeft w:val="0"/>
      <w:marRight w:val="0"/>
      <w:marTop w:val="0"/>
      <w:marBottom w:val="0"/>
      <w:divBdr>
        <w:top w:val="none" w:sz="0" w:space="0" w:color="auto"/>
        <w:left w:val="none" w:sz="0" w:space="0" w:color="auto"/>
        <w:bottom w:val="none" w:sz="0" w:space="0" w:color="auto"/>
        <w:right w:val="none" w:sz="0" w:space="0" w:color="auto"/>
      </w:divBdr>
      <w:divsChild>
        <w:div w:id="984505370">
          <w:marLeft w:val="0"/>
          <w:marRight w:val="0"/>
          <w:marTop w:val="0"/>
          <w:marBottom w:val="0"/>
          <w:divBdr>
            <w:top w:val="none" w:sz="0" w:space="0" w:color="auto"/>
            <w:left w:val="none" w:sz="0" w:space="0" w:color="auto"/>
            <w:bottom w:val="none" w:sz="0" w:space="0" w:color="auto"/>
            <w:right w:val="none" w:sz="0" w:space="0" w:color="auto"/>
          </w:divBdr>
          <w:divsChild>
            <w:div w:id="1826817483">
              <w:marLeft w:val="0"/>
              <w:marRight w:val="0"/>
              <w:marTop w:val="0"/>
              <w:marBottom w:val="0"/>
              <w:divBdr>
                <w:top w:val="none" w:sz="0" w:space="0" w:color="auto"/>
                <w:left w:val="none" w:sz="0" w:space="0" w:color="auto"/>
                <w:bottom w:val="none" w:sz="0" w:space="0" w:color="auto"/>
                <w:right w:val="none" w:sz="0" w:space="0" w:color="auto"/>
              </w:divBdr>
              <w:divsChild>
                <w:div w:id="106136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26729">
      <w:bodyDiv w:val="1"/>
      <w:marLeft w:val="0"/>
      <w:marRight w:val="0"/>
      <w:marTop w:val="0"/>
      <w:marBottom w:val="0"/>
      <w:divBdr>
        <w:top w:val="none" w:sz="0" w:space="0" w:color="auto"/>
        <w:left w:val="none" w:sz="0" w:space="0" w:color="auto"/>
        <w:bottom w:val="none" w:sz="0" w:space="0" w:color="auto"/>
        <w:right w:val="none" w:sz="0" w:space="0" w:color="auto"/>
      </w:divBdr>
    </w:div>
    <w:div w:id="244002279">
      <w:bodyDiv w:val="1"/>
      <w:marLeft w:val="0"/>
      <w:marRight w:val="0"/>
      <w:marTop w:val="0"/>
      <w:marBottom w:val="0"/>
      <w:divBdr>
        <w:top w:val="none" w:sz="0" w:space="0" w:color="auto"/>
        <w:left w:val="none" w:sz="0" w:space="0" w:color="auto"/>
        <w:bottom w:val="none" w:sz="0" w:space="0" w:color="auto"/>
        <w:right w:val="none" w:sz="0" w:space="0" w:color="auto"/>
      </w:divBdr>
    </w:div>
    <w:div w:id="403574494">
      <w:bodyDiv w:val="1"/>
      <w:marLeft w:val="0"/>
      <w:marRight w:val="0"/>
      <w:marTop w:val="0"/>
      <w:marBottom w:val="0"/>
      <w:divBdr>
        <w:top w:val="none" w:sz="0" w:space="0" w:color="auto"/>
        <w:left w:val="none" w:sz="0" w:space="0" w:color="auto"/>
        <w:bottom w:val="none" w:sz="0" w:space="0" w:color="auto"/>
        <w:right w:val="none" w:sz="0" w:space="0" w:color="auto"/>
      </w:divBdr>
    </w:div>
    <w:div w:id="406728358">
      <w:bodyDiv w:val="1"/>
      <w:marLeft w:val="0"/>
      <w:marRight w:val="0"/>
      <w:marTop w:val="0"/>
      <w:marBottom w:val="0"/>
      <w:divBdr>
        <w:top w:val="none" w:sz="0" w:space="0" w:color="auto"/>
        <w:left w:val="none" w:sz="0" w:space="0" w:color="auto"/>
        <w:bottom w:val="none" w:sz="0" w:space="0" w:color="auto"/>
        <w:right w:val="none" w:sz="0" w:space="0" w:color="auto"/>
      </w:divBdr>
    </w:div>
    <w:div w:id="416905754">
      <w:bodyDiv w:val="1"/>
      <w:marLeft w:val="0"/>
      <w:marRight w:val="0"/>
      <w:marTop w:val="0"/>
      <w:marBottom w:val="0"/>
      <w:divBdr>
        <w:top w:val="none" w:sz="0" w:space="0" w:color="auto"/>
        <w:left w:val="none" w:sz="0" w:space="0" w:color="auto"/>
        <w:bottom w:val="none" w:sz="0" w:space="0" w:color="auto"/>
        <w:right w:val="none" w:sz="0" w:space="0" w:color="auto"/>
      </w:divBdr>
      <w:divsChild>
        <w:div w:id="792213879">
          <w:marLeft w:val="0"/>
          <w:marRight w:val="0"/>
          <w:marTop w:val="0"/>
          <w:marBottom w:val="0"/>
          <w:divBdr>
            <w:top w:val="none" w:sz="0" w:space="0" w:color="auto"/>
            <w:left w:val="none" w:sz="0" w:space="0" w:color="auto"/>
            <w:bottom w:val="none" w:sz="0" w:space="0" w:color="auto"/>
            <w:right w:val="none" w:sz="0" w:space="0" w:color="auto"/>
          </w:divBdr>
          <w:divsChild>
            <w:div w:id="322856708">
              <w:marLeft w:val="0"/>
              <w:marRight w:val="0"/>
              <w:marTop w:val="0"/>
              <w:marBottom w:val="0"/>
              <w:divBdr>
                <w:top w:val="none" w:sz="0" w:space="0" w:color="auto"/>
                <w:left w:val="none" w:sz="0" w:space="0" w:color="auto"/>
                <w:bottom w:val="none" w:sz="0" w:space="0" w:color="auto"/>
                <w:right w:val="none" w:sz="0" w:space="0" w:color="auto"/>
              </w:divBdr>
              <w:divsChild>
                <w:div w:id="1097677315">
                  <w:marLeft w:val="0"/>
                  <w:marRight w:val="0"/>
                  <w:marTop w:val="0"/>
                  <w:marBottom w:val="0"/>
                  <w:divBdr>
                    <w:top w:val="none" w:sz="0" w:space="0" w:color="auto"/>
                    <w:left w:val="none" w:sz="0" w:space="0" w:color="auto"/>
                    <w:bottom w:val="none" w:sz="0" w:space="0" w:color="auto"/>
                    <w:right w:val="none" w:sz="0" w:space="0" w:color="auto"/>
                  </w:divBdr>
                  <w:divsChild>
                    <w:div w:id="18502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839223">
      <w:bodyDiv w:val="1"/>
      <w:marLeft w:val="0"/>
      <w:marRight w:val="0"/>
      <w:marTop w:val="0"/>
      <w:marBottom w:val="0"/>
      <w:divBdr>
        <w:top w:val="none" w:sz="0" w:space="0" w:color="auto"/>
        <w:left w:val="none" w:sz="0" w:space="0" w:color="auto"/>
        <w:bottom w:val="none" w:sz="0" w:space="0" w:color="auto"/>
        <w:right w:val="none" w:sz="0" w:space="0" w:color="auto"/>
      </w:divBdr>
    </w:div>
    <w:div w:id="694580335">
      <w:bodyDiv w:val="1"/>
      <w:marLeft w:val="0"/>
      <w:marRight w:val="0"/>
      <w:marTop w:val="0"/>
      <w:marBottom w:val="0"/>
      <w:divBdr>
        <w:top w:val="none" w:sz="0" w:space="0" w:color="auto"/>
        <w:left w:val="none" w:sz="0" w:space="0" w:color="auto"/>
        <w:bottom w:val="none" w:sz="0" w:space="0" w:color="auto"/>
        <w:right w:val="none" w:sz="0" w:space="0" w:color="auto"/>
      </w:divBdr>
    </w:div>
    <w:div w:id="841505137">
      <w:bodyDiv w:val="1"/>
      <w:marLeft w:val="0"/>
      <w:marRight w:val="0"/>
      <w:marTop w:val="0"/>
      <w:marBottom w:val="0"/>
      <w:divBdr>
        <w:top w:val="none" w:sz="0" w:space="0" w:color="auto"/>
        <w:left w:val="none" w:sz="0" w:space="0" w:color="auto"/>
        <w:bottom w:val="none" w:sz="0" w:space="0" w:color="auto"/>
        <w:right w:val="none" w:sz="0" w:space="0" w:color="auto"/>
      </w:divBdr>
    </w:div>
    <w:div w:id="857499491">
      <w:bodyDiv w:val="1"/>
      <w:marLeft w:val="0"/>
      <w:marRight w:val="0"/>
      <w:marTop w:val="0"/>
      <w:marBottom w:val="0"/>
      <w:divBdr>
        <w:top w:val="none" w:sz="0" w:space="0" w:color="auto"/>
        <w:left w:val="none" w:sz="0" w:space="0" w:color="auto"/>
        <w:bottom w:val="none" w:sz="0" w:space="0" w:color="auto"/>
        <w:right w:val="none" w:sz="0" w:space="0" w:color="auto"/>
      </w:divBdr>
    </w:div>
    <w:div w:id="916667308">
      <w:bodyDiv w:val="1"/>
      <w:marLeft w:val="0"/>
      <w:marRight w:val="0"/>
      <w:marTop w:val="0"/>
      <w:marBottom w:val="0"/>
      <w:divBdr>
        <w:top w:val="none" w:sz="0" w:space="0" w:color="auto"/>
        <w:left w:val="none" w:sz="0" w:space="0" w:color="auto"/>
        <w:bottom w:val="none" w:sz="0" w:space="0" w:color="auto"/>
        <w:right w:val="none" w:sz="0" w:space="0" w:color="auto"/>
      </w:divBdr>
      <w:divsChild>
        <w:div w:id="360857569">
          <w:marLeft w:val="0"/>
          <w:marRight w:val="0"/>
          <w:marTop w:val="0"/>
          <w:marBottom w:val="0"/>
          <w:divBdr>
            <w:top w:val="none" w:sz="0" w:space="0" w:color="auto"/>
            <w:left w:val="none" w:sz="0" w:space="0" w:color="auto"/>
            <w:bottom w:val="none" w:sz="0" w:space="0" w:color="auto"/>
            <w:right w:val="none" w:sz="0" w:space="0" w:color="auto"/>
          </w:divBdr>
          <w:divsChild>
            <w:div w:id="1570653559">
              <w:marLeft w:val="0"/>
              <w:marRight w:val="0"/>
              <w:marTop w:val="0"/>
              <w:marBottom w:val="0"/>
              <w:divBdr>
                <w:top w:val="none" w:sz="0" w:space="0" w:color="auto"/>
                <w:left w:val="none" w:sz="0" w:space="0" w:color="auto"/>
                <w:bottom w:val="none" w:sz="0" w:space="0" w:color="auto"/>
                <w:right w:val="none" w:sz="0" w:space="0" w:color="auto"/>
              </w:divBdr>
              <w:divsChild>
                <w:div w:id="120324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912063">
      <w:bodyDiv w:val="1"/>
      <w:marLeft w:val="0"/>
      <w:marRight w:val="0"/>
      <w:marTop w:val="0"/>
      <w:marBottom w:val="0"/>
      <w:divBdr>
        <w:top w:val="none" w:sz="0" w:space="0" w:color="auto"/>
        <w:left w:val="none" w:sz="0" w:space="0" w:color="auto"/>
        <w:bottom w:val="none" w:sz="0" w:space="0" w:color="auto"/>
        <w:right w:val="none" w:sz="0" w:space="0" w:color="auto"/>
      </w:divBdr>
    </w:div>
    <w:div w:id="1313831808">
      <w:bodyDiv w:val="1"/>
      <w:marLeft w:val="0"/>
      <w:marRight w:val="0"/>
      <w:marTop w:val="0"/>
      <w:marBottom w:val="0"/>
      <w:divBdr>
        <w:top w:val="none" w:sz="0" w:space="0" w:color="auto"/>
        <w:left w:val="none" w:sz="0" w:space="0" w:color="auto"/>
        <w:bottom w:val="none" w:sz="0" w:space="0" w:color="auto"/>
        <w:right w:val="none" w:sz="0" w:space="0" w:color="auto"/>
      </w:divBdr>
      <w:divsChild>
        <w:div w:id="1821775192">
          <w:marLeft w:val="0"/>
          <w:marRight w:val="0"/>
          <w:marTop w:val="0"/>
          <w:marBottom w:val="0"/>
          <w:divBdr>
            <w:top w:val="none" w:sz="0" w:space="0" w:color="auto"/>
            <w:left w:val="none" w:sz="0" w:space="0" w:color="auto"/>
            <w:bottom w:val="none" w:sz="0" w:space="0" w:color="auto"/>
            <w:right w:val="none" w:sz="0" w:space="0" w:color="auto"/>
          </w:divBdr>
          <w:divsChild>
            <w:div w:id="1155293200">
              <w:marLeft w:val="0"/>
              <w:marRight w:val="0"/>
              <w:marTop w:val="0"/>
              <w:marBottom w:val="0"/>
              <w:divBdr>
                <w:top w:val="none" w:sz="0" w:space="0" w:color="auto"/>
                <w:left w:val="none" w:sz="0" w:space="0" w:color="auto"/>
                <w:bottom w:val="none" w:sz="0" w:space="0" w:color="auto"/>
                <w:right w:val="none" w:sz="0" w:space="0" w:color="auto"/>
              </w:divBdr>
              <w:divsChild>
                <w:div w:id="901213227">
                  <w:marLeft w:val="0"/>
                  <w:marRight w:val="0"/>
                  <w:marTop w:val="0"/>
                  <w:marBottom w:val="0"/>
                  <w:divBdr>
                    <w:top w:val="none" w:sz="0" w:space="0" w:color="auto"/>
                    <w:left w:val="none" w:sz="0" w:space="0" w:color="auto"/>
                    <w:bottom w:val="none" w:sz="0" w:space="0" w:color="auto"/>
                    <w:right w:val="none" w:sz="0" w:space="0" w:color="auto"/>
                  </w:divBdr>
                  <w:divsChild>
                    <w:div w:id="214087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390115">
      <w:bodyDiv w:val="1"/>
      <w:marLeft w:val="0"/>
      <w:marRight w:val="0"/>
      <w:marTop w:val="0"/>
      <w:marBottom w:val="0"/>
      <w:divBdr>
        <w:top w:val="none" w:sz="0" w:space="0" w:color="auto"/>
        <w:left w:val="none" w:sz="0" w:space="0" w:color="auto"/>
        <w:bottom w:val="none" w:sz="0" w:space="0" w:color="auto"/>
        <w:right w:val="none" w:sz="0" w:space="0" w:color="auto"/>
      </w:divBdr>
    </w:div>
    <w:div w:id="1717043934">
      <w:bodyDiv w:val="1"/>
      <w:marLeft w:val="0"/>
      <w:marRight w:val="0"/>
      <w:marTop w:val="0"/>
      <w:marBottom w:val="0"/>
      <w:divBdr>
        <w:top w:val="none" w:sz="0" w:space="0" w:color="auto"/>
        <w:left w:val="none" w:sz="0" w:space="0" w:color="auto"/>
        <w:bottom w:val="none" w:sz="0" w:space="0" w:color="auto"/>
        <w:right w:val="none" w:sz="0" w:space="0" w:color="auto"/>
      </w:divBdr>
    </w:div>
    <w:div w:id="1747335868">
      <w:bodyDiv w:val="1"/>
      <w:marLeft w:val="0"/>
      <w:marRight w:val="0"/>
      <w:marTop w:val="0"/>
      <w:marBottom w:val="0"/>
      <w:divBdr>
        <w:top w:val="none" w:sz="0" w:space="0" w:color="auto"/>
        <w:left w:val="none" w:sz="0" w:space="0" w:color="auto"/>
        <w:bottom w:val="none" w:sz="0" w:space="0" w:color="auto"/>
        <w:right w:val="none" w:sz="0" w:space="0" w:color="auto"/>
      </w:divBdr>
    </w:div>
    <w:div w:id="1986813790">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svg"/><Relationship Id="rId18" Type="http://schemas.openxmlformats.org/officeDocument/2006/relationships/image" Target="media/image7.emf"/><Relationship Id="rId26" Type="http://schemas.openxmlformats.org/officeDocument/2006/relationships/image" Target="media/image15.emf"/><Relationship Id="rId39" Type="http://schemas.openxmlformats.org/officeDocument/2006/relationships/header" Target="header1.xml"/><Relationship Id="rId21" Type="http://schemas.openxmlformats.org/officeDocument/2006/relationships/image" Target="media/image10.emf"/><Relationship Id="rId34" Type="http://schemas.openxmlformats.org/officeDocument/2006/relationships/image" Target="media/image23.emf"/><Relationship Id="rId42"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image" Target="media/image18.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emf"/><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image" Target="media/image17.emf"/><Relationship Id="rId36" Type="http://schemas.openxmlformats.org/officeDocument/2006/relationships/image" Target="media/image25.jpeg"/><Relationship Id="rId10" Type="http://schemas.openxmlformats.org/officeDocument/2006/relationships/footnotes" Target="footnotes.xml"/><Relationship Id="rId19" Type="http://schemas.openxmlformats.org/officeDocument/2006/relationships/image" Target="media/image8.emf"/><Relationship Id="rId31" Type="http://schemas.openxmlformats.org/officeDocument/2006/relationships/image" Target="media/image20.e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image" Target="media/image24.emf"/><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image" Target="media/image22.emf"/><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GostName.XSL" StyleName="GOST - Orden de nombre" Version="2003"/>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70446C3525B3CB46BD92ABA5C2617223" ma:contentTypeVersion="12" ma:contentTypeDescription="Create a new document." ma:contentTypeScope="" ma:versionID="0d9e554da4927b860e5f07724327eaf6">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a7e62f4257e4f0ea935a53209ab68767"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9C185E-7667-4877-9886-566EC0F448F8}">
  <ds:schemaRefs>
    <ds:schemaRef ds:uri="http://schemas.openxmlformats.org/officeDocument/2006/bibliography"/>
  </ds:schemaRefs>
</ds:datastoreItem>
</file>

<file path=customXml/itemProps2.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10FA278-80C1-4919-97CF-D698852451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16219</Words>
  <Characters>89205</Characters>
  <Application>Microsoft Office Word</Application>
  <DocSecurity>0</DocSecurity>
  <Lines>743</Lines>
  <Paragraphs>210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2022-05-30T09:59:00Z</dcterms:created>
  <dcterms:modified xsi:type="dcterms:W3CDTF">2022-06-16T09:12:00Z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Mendeley Document_1">
    <vt:lpwstr>True</vt:lpwstr>
  </property>
  <property fmtid="{D5CDD505-2E9C-101B-9397-08002B2CF9AE}" pid="4" name="Mendeley Unique User Id_1">
    <vt:lpwstr>1f5d696a-b22e-384d-995e-87d8415a8081</vt:lpwstr>
  </property>
  <property fmtid="{D5CDD505-2E9C-101B-9397-08002B2CF9AE}" pid="5" name="Mendeley Citation Style_1">
    <vt:lpwstr>http://www.zotero.org/styles/nature</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8th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