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96C" w:rsidRDefault="0040096C" w:rsidP="0040096C">
      <w:pPr>
        <w:pStyle w:val="Caption"/>
        <w:spacing w:after="480"/>
        <w:rPr>
          <w:b w:val="0"/>
          <w:color w:val="auto"/>
          <w:sz w:val="24"/>
          <w:szCs w:val="24"/>
        </w:rPr>
      </w:pPr>
      <w:r w:rsidRPr="00422AA3">
        <w:rPr>
          <w:color w:val="auto"/>
          <w:sz w:val="24"/>
          <w:szCs w:val="24"/>
        </w:rPr>
        <w:t>S1</w:t>
      </w:r>
      <w:r w:rsidRPr="00FD7A2B">
        <w:rPr>
          <w:b w:val="0"/>
          <w:color w:val="auto"/>
          <w:sz w:val="24"/>
          <w:szCs w:val="24"/>
        </w:rPr>
        <w:t xml:space="preserve"> PCR primers used to amplify 16S rRNA and </w:t>
      </w:r>
      <w:r w:rsidRPr="00FD7A2B">
        <w:rPr>
          <w:b w:val="0"/>
          <w:i/>
          <w:color w:val="auto"/>
          <w:sz w:val="24"/>
          <w:szCs w:val="24"/>
        </w:rPr>
        <w:t>amo</w:t>
      </w:r>
      <w:r w:rsidRPr="00FD7A2B">
        <w:rPr>
          <w:b w:val="0"/>
          <w:color w:val="auto"/>
          <w:sz w:val="24"/>
          <w:szCs w:val="24"/>
        </w:rPr>
        <w:t>A genes of bacteria and archaea</w:t>
      </w:r>
      <w:r>
        <w:rPr>
          <w:b w:val="0"/>
          <w:color w:val="auto"/>
          <w:sz w:val="24"/>
          <w:szCs w:val="24"/>
        </w:rPr>
        <w:t>.</w:t>
      </w:r>
    </w:p>
    <w:tbl>
      <w:tblPr>
        <w:tblW w:w="0" w:type="auto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000" w:firstRow="0" w:lastRow="0" w:firstColumn="0" w:lastColumn="0" w:noHBand="0" w:noVBand="0"/>
      </w:tblPr>
      <w:tblGrid>
        <w:gridCol w:w="1830"/>
        <w:gridCol w:w="3249"/>
        <w:gridCol w:w="1347"/>
        <w:gridCol w:w="2906"/>
        <w:gridCol w:w="3628"/>
      </w:tblGrid>
      <w:tr w:rsidR="0040096C" w:rsidRPr="000D1E16" w:rsidTr="007E2DAF">
        <w:trPr>
          <w:trHeight w:val="494"/>
          <w:tblHeader/>
          <w:tblCellSpacing w:w="0" w:type="dxa"/>
        </w:trPr>
        <w:tc>
          <w:tcPr>
            <w:tcW w:w="0" w:type="auto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b/>
                <w:bCs/>
                <w:sz w:val="22"/>
                <w:szCs w:val="22"/>
              </w:rPr>
            </w:pPr>
            <w:r w:rsidRPr="000D1E16">
              <w:rPr>
                <w:b/>
                <w:bCs/>
                <w:sz w:val="22"/>
                <w:szCs w:val="22"/>
              </w:rPr>
              <w:t>Primer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b/>
                <w:bCs/>
                <w:sz w:val="22"/>
                <w:szCs w:val="22"/>
              </w:rPr>
            </w:pPr>
            <w:r w:rsidRPr="000D1E16">
              <w:rPr>
                <w:b/>
                <w:bCs/>
                <w:sz w:val="22"/>
                <w:szCs w:val="22"/>
              </w:rPr>
              <w:t>Sequence (5′–3′)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b/>
                <w:bCs/>
                <w:sz w:val="22"/>
                <w:szCs w:val="22"/>
              </w:rPr>
            </w:pPr>
            <w:r w:rsidRPr="000D1E16">
              <w:rPr>
                <w:b/>
                <w:bCs/>
                <w:sz w:val="22"/>
                <w:szCs w:val="22"/>
              </w:rPr>
              <w:t>Specificity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b/>
                <w:bCs/>
                <w:sz w:val="22"/>
                <w:szCs w:val="22"/>
              </w:rPr>
            </w:pPr>
            <w:r w:rsidRPr="000D1E16">
              <w:rPr>
                <w:b/>
                <w:bCs/>
                <w:sz w:val="22"/>
                <w:szCs w:val="22"/>
              </w:rPr>
              <w:t>Reaction condition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b/>
                <w:bCs/>
                <w:sz w:val="22"/>
                <w:szCs w:val="22"/>
              </w:rPr>
            </w:pPr>
            <w:r w:rsidRPr="000D1E16">
              <w:rPr>
                <w:b/>
                <w:bCs/>
                <w:sz w:val="22"/>
                <w:szCs w:val="22"/>
              </w:rPr>
              <w:t>Thermal profile for PCR</w:t>
            </w:r>
          </w:p>
        </w:tc>
      </w:tr>
      <w:tr w:rsidR="0040096C" w:rsidRPr="000D1E16" w:rsidTr="007E2DAF">
        <w:trPr>
          <w:trHeight w:val="305"/>
          <w:tblCellSpacing w:w="0" w:type="dxa"/>
        </w:trPr>
        <w:tc>
          <w:tcPr>
            <w:tcW w:w="0" w:type="auto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27f*</w:t>
            </w:r>
          </w:p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fldChar w:fldCharType="begin"/>
            </w:r>
            <w:r w:rsidRPr="000D1E16">
              <w:rPr>
                <w:sz w:val="22"/>
                <w:szCs w:val="22"/>
              </w:rPr>
              <w:instrText>ADDIN RW.CITE{{256 Culman, S.W. 2008}}</w:instrText>
            </w:r>
            <w:r w:rsidRPr="000D1E16">
              <w:rPr>
                <w:sz w:val="22"/>
                <w:szCs w:val="22"/>
              </w:rPr>
              <w:fldChar w:fldCharType="separate"/>
            </w:r>
            <w:r w:rsidRPr="000D1E16">
              <w:rPr>
                <w:sz w:val="22"/>
                <w:szCs w:val="22"/>
              </w:rPr>
              <w:t>(Culman et al. 2008)</w:t>
            </w:r>
            <w:r w:rsidRPr="000D1E16">
              <w:rPr>
                <w:sz w:val="22"/>
                <w:szCs w:val="22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AGAGTTTGATCCTGGTTC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Bacteria 16S rRNA gene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Reaction mixture: 10 mM PCR buffer, 2 mM MgCl2, 200 μM dNTPs, 0.1 μM Primer, 1 mg ml</w:t>
            </w:r>
            <w:r w:rsidRPr="000D1E16">
              <w:rPr>
                <w:sz w:val="22"/>
                <w:szCs w:val="22"/>
                <w:vertAlign w:val="superscript"/>
              </w:rPr>
              <w:t>-1</w:t>
            </w:r>
            <w:r w:rsidRPr="000D1E16">
              <w:rPr>
                <w:sz w:val="22"/>
                <w:szCs w:val="22"/>
              </w:rPr>
              <w:t xml:space="preserve"> BSA, 0.05 U μl</w:t>
            </w:r>
            <w:r w:rsidRPr="000D1E16">
              <w:rPr>
                <w:sz w:val="22"/>
                <w:szCs w:val="22"/>
                <w:vertAlign w:val="superscript"/>
              </w:rPr>
              <w:t>-1</w:t>
            </w:r>
            <w:r w:rsidRPr="000D1E16">
              <w:rPr>
                <w:sz w:val="22"/>
                <w:szCs w:val="22"/>
              </w:rPr>
              <w:t xml:space="preserve"> Taq polymerase.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bookmarkStart w:id="0" w:name="bbib33"/>
            <w:bookmarkEnd w:id="0"/>
            <w:r w:rsidRPr="000D1E16">
              <w:rPr>
                <w:sz w:val="22"/>
                <w:szCs w:val="22"/>
              </w:rPr>
              <w:t xml:space="preserve">An initial denaturation for 5 min at 94˚C; then 27 cycles of 45 sec denaturation at 94˚C, 45 sec annealing at 56˚C, 1 min extension at 72˚C; finished by a 10 min final extension at 72˚C. </w:t>
            </w:r>
          </w:p>
        </w:tc>
      </w:tr>
      <w:tr w:rsidR="0040096C" w:rsidRPr="000D1E16" w:rsidTr="007E2DAF">
        <w:trPr>
          <w:trHeight w:val="287"/>
          <w:tblCellSpacing w:w="0" w:type="dxa"/>
        </w:trPr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1492r</w:t>
            </w:r>
          </w:p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fldChar w:fldCharType="begin"/>
            </w:r>
            <w:r w:rsidRPr="000D1E16">
              <w:rPr>
                <w:sz w:val="22"/>
                <w:szCs w:val="22"/>
              </w:rPr>
              <w:instrText>ADDIN RW.CITE{{256 Culman, S.W. 2008}}</w:instrText>
            </w:r>
            <w:r w:rsidRPr="000D1E16">
              <w:rPr>
                <w:sz w:val="22"/>
                <w:szCs w:val="22"/>
              </w:rPr>
              <w:fldChar w:fldCharType="separate"/>
            </w:r>
            <w:r w:rsidRPr="000D1E16">
              <w:rPr>
                <w:sz w:val="22"/>
                <w:szCs w:val="22"/>
              </w:rPr>
              <w:t>(Culman et al. 2008)</w:t>
            </w:r>
            <w:r w:rsidRPr="000D1E16">
              <w:rPr>
                <w:sz w:val="22"/>
                <w:szCs w:val="22"/>
              </w:rPr>
              <w:fldChar w:fldCharType="end"/>
            </w:r>
          </w:p>
        </w:tc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GGTTACCTTGTTACGACTT</w:t>
            </w:r>
          </w:p>
        </w:tc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Bacteria 16S rRNA gene</w:t>
            </w:r>
          </w:p>
        </w:tc>
        <w:tc>
          <w:tcPr>
            <w:tcW w:w="0" w:type="auto"/>
            <w:vMerge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bookmarkStart w:id="1" w:name="bbib34"/>
            <w:bookmarkEnd w:id="1"/>
          </w:p>
        </w:tc>
      </w:tr>
      <w:tr w:rsidR="0040096C" w:rsidRPr="000D1E16" w:rsidTr="007E2DAF">
        <w:trPr>
          <w:trHeight w:val="426"/>
          <w:tblCellSpacing w:w="0" w:type="dxa"/>
        </w:trPr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bookmarkStart w:id="2" w:name="btblfn1a" w:colFirst="0" w:colLast="0"/>
            <w:r w:rsidRPr="000D1E16">
              <w:rPr>
                <w:sz w:val="22"/>
                <w:szCs w:val="22"/>
              </w:rPr>
              <w:t>AR109F*</w:t>
            </w:r>
          </w:p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fldChar w:fldCharType="begin"/>
            </w:r>
            <w:r w:rsidRPr="000D1E16">
              <w:rPr>
                <w:sz w:val="22"/>
                <w:szCs w:val="22"/>
              </w:rPr>
              <w:instrText>ADDIN RW.CITE{{254 Ramakrishnan, B. 2000}}</w:instrText>
            </w:r>
            <w:r w:rsidRPr="000D1E16">
              <w:rPr>
                <w:sz w:val="22"/>
                <w:szCs w:val="22"/>
              </w:rPr>
              <w:fldChar w:fldCharType="separate"/>
            </w:r>
            <w:r w:rsidRPr="000D1E16">
              <w:rPr>
                <w:sz w:val="22"/>
                <w:szCs w:val="22"/>
              </w:rPr>
              <w:t>(Ramakrishnan et al. 2000)</w:t>
            </w:r>
            <w:r w:rsidRPr="000D1E16">
              <w:rPr>
                <w:sz w:val="22"/>
                <w:szCs w:val="22"/>
              </w:rPr>
              <w:fldChar w:fldCharType="end"/>
            </w:r>
          </w:p>
        </w:tc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ACKGCTCAGTAACACGT</w:t>
            </w:r>
          </w:p>
        </w:tc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iCs/>
                <w:sz w:val="22"/>
                <w:szCs w:val="22"/>
              </w:rPr>
              <w:t>Archaea 16S rRNA gene</w:t>
            </w:r>
          </w:p>
        </w:tc>
        <w:tc>
          <w:tcPr>
            <w:tcW w:w="0" w:type="auto"/>
            <w:vMerge w:val="restart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Reaction mixture: 10 mM PCR buffer, 1.5 mM MgCl2, 50 μM dNTPs, 0.3 μM Primer, 1 mg ml</w:t>
            </w:r>
            <w:r w:rsidRPr="000D1E16">
              <w:rPr>
                <w:sz w:val="22"/>
                <w:szCs w:val="22"/>
                <w:vertAlign w:val="superscript"/>
              </w:rPr>
              <w:t>-1</w:t>
            </w:r>
            <w:r w:rsidRPr="000D1E16">
              <w:rPr>
                <w:sz w:val="22"/>
                <w:szCs w:val="22"/>
              </w:rPr>
              <w:t xml:space="preserve"> BSA, 0.025 U μl</w:t>
            </w:r>
            <w:r w:rsidRPr="000D1E16">
              <w:rPr>
                <w:sz w:val="22"/>
                <w:szCs w:val="22"/>
                <w:vertAlign w:val="superscript"/>
              </w:rPr>
              <w:t>-1</w:t>
            </w:r>
            <w:r w:rsidRPr="000D1E16">
              <w:rPr>
                <w:sz w:val="22"/>
                <w:szCs w:val="22"/>
              </w:rPr>
              <w:t xml:space="preserve"> Taq polymerase.</w:t>
            </w:r>
          </w:p>
        </w:tc>
        <w:tc>
          <w:tcPr>
            <w:tcW w:w="0" w:type="auto"/>
            <w:vMerge w:val="restart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bookmarkStart w:id="3" w:name="bbib32"/>
            <w:bookmarkEnd w:id="3"/>
            <w:r w:rsidRPr="000D1E16">
              <w:rPr>
                <w:sz w:val="22"/>
                <w:szCs w:val="22"/>
              </w:rPr>
              <w:t xml:space="preserve">An initial denaturation for 5 min at 94˚C; then 27 cycles of 1 min denaturation at 94˚C, 1 min annealing at 52˚C, 1 min extension at 72˚C; finished by a 3 min final extension at 72˚C. </w:t>
            </w:r>
          </w:p>
        </w:tc>
      </w:tr>
      <w:tr w:rsidR="0040096C" w:rsidRPr="000D1E16" w:rsidTr="007E2DAF">
        <w:trPr>
          <w:trHeight w:val="776"/>
          <w:tblCellSpacing w:w="0" w:type="dxa"/>
        </w:trPr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AR912R</w:t>
            </w:r>
          </w:p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fldChar w:fldCharType="begin"/>
            </w:r>
            <w:r w:rsidRPr="000D1E16">
              <w:rPr>
                <w:sz w:val="22"/>
                <w:szCs w:val="22"/>
              </w:rPr>
              <w:instrText>ADDIN RW.CITE{{254 Ramakrishnan, B. 2000}}</w:instrText>
            </w:r>
            <w:r w:rsidRPr="000D1E16">
              <w:rPr>
                <w:sz w:val="22"/>
                <w:szCs w:val="22"/>
              </w:rPr>
              <w:fldChar w:fldCharType="separate"/>
            </w:r>
            <w:r w:rsidRPr="000D1E16">
              <w:rPr>
                <w:sz w:val="22"/>
                <w:szCs w:val="22"/>
              </w:rPr>
              <w:t>(Ramakrishnan et al. 2000)</w:t>
            </w:r>
            <w:r w:rsidRPr="000D1E16">
              <w:rPr>
                <w:sz w:val="22"/>
                <w:szCs w:val="22"/>
              </w:rPr>
              <w:fldChar w:fldCharType="end"/>
            </w:r>
          </w:p>
        </w:tc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CTCCCCCGCCAATTCCTTTA</w:t>
            </w:r>
          </w:p>
        </w:tc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iCs/>
                <w:sz w:val="22"/>
                <w:szCs w:val="22"/>
              </w:rPr>
              <w:t>Archaea 16S rRNA gene</w:t>
            </w:r>
          </w:p>
        </w:tc>
        <w:tc>
          <w:tcPr>
            <w:tcW w:w="0" w:type="auto"/>
            <w:vMerge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bookmarkStart w:id="4" w:name="bbib35"/>
            <w:bookmarkEnd w:id="4"/>
          </w:p>
        </w:tc>
      </w:tr>
      <w:tr w:rsidR="0040096C" w:rsidRPr="000D1E16" w:rsidTr="007E2DAF">
        <w:trPr>
          <w:trHeight w:val="458"/>
          <w:tblCellSpacing w:w="0" w:type="dxa"/>
        </w:trPr>
        <w:tc>
          <w:tcPr>
            <w:tcW w:w="0" w:type="auto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i/>
                <w:sz w:val="22"/>
                <w:szCs w:val="22"/>
              </w:rPr>
              <w:t>amo</w:t>
            </w:r>
            <w:r w:rsidRPr="000D1E16">
              <w:rPr>
                <w:sz w:val="22"/>
                <w:szCs w:val="22"/>
              </w:rPr>
              <w:t>A-1F       (Rotthauwe et al. 1997)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GGGGTTTCTACTGGTGGT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 xml:space="preserve">AOB </w:t>
            </w:r>
            <w:r w:rsidRPr="000D1E16">
              <w:rPr>
                <w:i/>
                <w:sz w:val="22"/>
                <w:szCs w:val="22"/>
              </w:rPr>
              <w:t>amo</w:t>
            </w:r>
            <w:r w:rsidRPr="000D1E16">
              <w:rPr>
                <w:sz w:val="22"/>
                <w:szCs w:val="22"/>
              </w:rPr>
              <w:t xml:space="preserve">A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Reaction mixture: 10 mM PCR buffer, 4 mM MgCl2, 200 μM dNTPs, 0.1 μM Primer, 1 mg ml</w:t>
            </w:r>
            <w:r w:rsidRPr="000D1E16">
              <w:rPr>
                <w:sz w:val="22"/>
                <w:szCs w:val="22"/>
                <w:vertAlign w:val="superscript"/>
              </w:rPr>
              <w:t>-1</w:t>
            </w:r>
            <w:r w:rsidRPr="000D1E16">
              <w:rPr>
                <w:sz w:val="22"/>
                <w:szCs w:val="22"/>
              </w:rPr>
              <w:t xml:space="preserve"> BSA, 0.025 U μl</w:t>
            </w:r>
            <w:r w:rsidRPr="000D1E16">
              <w:rPr>
                <w:sz w:val="22"/>
                <w:szCs w:val="22"/>
                <w:vertAlign w:val="superscript"/>
              </w:rPr>
              <w:t>-1</w:t>
            </w:r>
            <w:r w:rsidRPr="000D1E16">
              <w:rPr>
                <w:sz w:val="22"/>
                <w:szCs w:val="22"/>
              </w:rPr>
              <w:t xml:space="preserve"> Taq polymerase.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 xml:space="preserve">An initial denaturation for 5 min at 94C; then 35 cycles of 1 min denaturation at 94˚C, 1 min annealing at 57˚C, 90 sec extension at 72˚C; finished by a 10 min final extension at 72˚C. </w:t>
            </w:r>
          </w:p>
        </w:tc>
      </w:tr>
      <w:tr w:rsidR="0040096C" w:rsidRPr="000D1E16" w:rsidTr="007E2DAF">
        <w:trPr>
          <w:trHeight w:val="720"/>
          <w:tblCellSpacing w:w="0" w:type="dxa"/>
        </w:trPr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i/>
                <w:sz w:val="22"/>
                <w:szCs w:val="22"/>
              </w:rPr>
              <w:t>amo</w:t>
            </w:r>
            <w:r w:rsidRPr="000D1E16">
              <w:rPr>
                <w:sz w:val="22"/>
                <w:szCs w:val="22"/>
              </w:rPr>
              <w:t xml:space="preserve">A-2R*    </w:t>
            </w:r>
            <w:r w:rsidRPr="000D1E16">
              <w:rPr>
                <w:sz w:val="22"/>
                <w:szCs w:val="22"/>
              </w:rPr>
              <w:fldChar w:fldCharType="begin"/>
            </w:r>
            <w:r w:rsidRPr="000D1E16">
              <w:rPr>
                <w:sz w:val="22"/>
                <w:szCs w:val="22"/>
              </w:rPr>
              <w:instrText>ADDIN RW.CITE{{249 Horz, H.P. 2000; 255 Rotthauwe, J.H. 1997; 249 Horz, H.P. 2000}}</w:instrText>
            </w:r>
            <w:r w:rsidRPr="000D1E16">
              <w:rPr>
                <w:sz w:val="22"/>
                <w:szCs w:val="22"/>
              </w:rPr>
              <w:fldChar w:fldCharType="separate"/>
            </w:r>
            <w:r w:rsidRPr="000D1E16">
              <w:rPr>
                <w:sz w:val="22"/>
                <w:szCs w:val="22"/>
              </w:rPr>
              <w:t>(Rotthauwe et al. 1997)</w:t>
            </w:r>
            <w:r w:rsidRPr="000D1E16">
              <w:rPr>
                <w:sz w:val="22"/>
                <w:szCs w:val="22"/>
              </w:rPr>
              <w:fldChar w:fldCharType="end"/>
            </w:r>
          </w:p>
        </w:tc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CCCCTCKGSAAAGCCTTCTTC</w:t>
            </w:r>
          </w:p>
        </w:tc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 xml:space="preserve">AOB </w:t>
            </w:r>
            <w:r w:rsidRPr="000D1E16">
              <w:rPr>
                <w:i/>
                <w:sz w:val="22"/>
                <w:szCs w:val="22"/>
              </w:rPr>
              <w:t>amo</w:t>
            </w:r>
            <w:r w:rsidRPr="000D1E16">
              <w:rPr>
                <w:sz w:val="22"/>
                <w:szCs w:val="22"/>
              </w:rPr>
              <w:t>A</w:t>
            </w:r>
          </w:p>
          <w:p w:rsidR="0040096C" w:rsidRPr="000D1E16" w:rsidRDefault="0040096C" w:rsidP="007E2DAF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</w:p>
        </w:tc>
      </w:tr>
      <w:tr w:rsidR="0040096C" w:rsidRPr="000D1E16" w:rsidTr="007E2DAF">
        <w:trPr>
          <w:trHeight w:val="1020"/>
          <w:tblCellSpacing w:w="0" w:type="dxa"/>
        </w:trPr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iCs/>
                <w:sz w:val="22"/>
                <w:szCs w:val="22"/>
              </w:rPr>
              <w:t>Arch</w:t>
            </w:r>
            <w:r w:rsidRPr="000D1E16">
              <w:rPr>
                <w:i/>
                <w:iCs/>
                <w:sz w:val="22"/>
                <w:szCs w:val="22"/>
              </w:rPr>
              <w:t>amo</w:t>
            </w:r>
            <w:r w:rsidRPr="000D1E16">
              <w:rPr>
                <w:iCs/>
                <w:sz w:val="22"/>
                <w:szCs w:val="22"/>
              </w:rPr>
              <w:t xml:space="preserve">AF* </w:t>
            </w:r>
            <w:r w:rsidRPr="000D1E16">
              <w:rPr>
                <w:sz w:val="22"/>
                <w:szCs w:val="22"/>
              </w:rPr>
              <w:fldChar w:fldCharType="begin"/>
            </w:r>
            <w:r w:rsidRPr="000D1E16">
              <w:rPr>
                <w:sz w:val="22"/>
                <w:szCs w:val="22"/>
              </w:rPr>
              <w:instrText>ADDIN RW.CITE{{99 Chen, X.P. 2008}}</w:instrText>
            </w:r>
            <w:r w:rsidRPr="000D1E16">
              <w:rPr>
                <w:sz w:val="22"/>
                <w:szCs w:val="22"/>
              </w:rPr>
              <w:fldChar w:fldCharType="separate"/>
            </w:r>
            <w:r w:rsidRPr="000D1E16">
              <w:rPr>
                <w:sz w:val="22"/>
                <w:szCs w:val="22"/>
              </w:rPr>
              <w:t>(Chen et al. 2008)</w:t>
            </w:r>
            <w:r w:rsidRPr="000D1E16">
              <w:rPr>
                <w:sz w:val="22"/>
                <w:szCs w:val="22"/>
              </w:rPr>
              <w:fldChar w:fldCharType="end"/>
            </w:r>
          </w:p>
        </w:tc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STAATGGTCTGGCTTAGACG</w:t>
            </w:r>
          </w:p>
        </w:tc>
        <w:tc>
          <w:tcPr>
            <w:tcW w:w="0" w:type="auto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 xml:space="preserve">AOA </w:t>
            </w:r>
            <w:r w:rsidRPr="000D1E16">
              <w:rPr>
                <w:i/>
                <w:iCs/>
                <w:sz w:val="22"/>
                <w:szCs w:val="22"/>
              </w:rPr>
              <w:t>amo</w:t>
            </w:r>
            <w:r w:rsidRPr="000D1E16">
              <w:rPr>
                <w:iCs/>
                <w:sz w:val="22"/>
                <w:szCs w:val="22"/>
              </w:rPr>
              <w:t xml:space="preserve">A </w:t>
            </w:r>
          </w:p>
        </w:tc>
        <w:tc>
          <w:tcPr>
            <w:tcW w:w="0" w:type="auto"/>
            <w:vMerge w:val="restart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Reaction mixture: 10 mM PCR buffer, 1.5 mM MgCl2, 50 μM dNTPs, 0.3 μM Primer, 1 mg ml</w:t>
            </w:r>
            <w:r w:rsidRPr="000D1E16">
              <w:rPr>
                <w:sz w:val="22"/>
                <w:szCs w:val="22"/>
                <w:vertAlign w:val="superscript"/>
              </w:rPr>
              <w:t>-1</w:t>
            </w:r>
            <w:r w:rsidRPr="000D1E16">
              <w:rPr>
                <w:sz w:val="22"/>
                <w:szCs w:val="22"/>
              </w:rPr>
              <w:t xml:space="preserve"> BSA, 0.025 U μl</w:t>
            </w:r>
            <w:r w:rsidRPr="000D1E16">
              <w:rPr>
                <w:sz w:val="22"/>
                <w:szCs w:val="22"/>
                <w:vertAlign w:val="superscript"/>
              </w:rPr>
              <w:t>-1</w:t>
            </w:r>
            <w:r w:rsidRPr="000D1E16">
              <w:rPr>
                <w:sz w:val="22"/>
                <w:szCs w:val="22"/>
              </w:rPr>
              <w:t xml:space="preserve"> Taq polymerase.</w:t>
            </w:r>
          </w:p>
        </w:tc>
        <w:tc>
          <w:tcPr>
            <w:tcW w:w="0" w:type="auto"/>
            <w:vMerge w:val="restart"/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 xml:space="preserve">An initial denaturation for 3 min at 94˚C; then 30 cycles of 30 sec denaturation at 94˚C, 1 min annealing at 53˚C, 1 min extension at 72˚C; finished by a 15 min final extension at 72˚C. </w:t>
            </w:r>
          </w:p>
        </w:tc>
      </w:tr>
      <w:tr w:rsidR="0040096C" w:rsidRPr="000D1E16" w:rsidTr="007E2DAF">
        <w:trPr>
          <w:trHeight w:val="539"/>
          <w:tblCellSpacing w:w="0" w:type="dxa"/>
        </w:trPr>
        <w:tc>
          <w:tcPr>
            <w:tcW w:w="0" w:type="auto"/>
            <w:tcBorders>
              <w:bottom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Arch</w:t>
            </w:r>
            <w:r w:rsidRPr="000D1E16">
              <w:rPr>
                <w:i/>
                <w:sz w:val="22"/>
                <w:szCs w:val="22"/>
              </w:rPr>
              <w:t>amo</w:t>
            </w:r>
            <w:r w:rsidRPr="000D1E16">
              <w:rPr>
                <w:sz w:val="22"/>
                <w:szCs w:val="22"/>
              </w:rPr>
              <w:t xml:space="preserve">AR </w:t>
            </w:r>
            <w:r w:rsidRPr="000D1E16">
              <w:rPr>
                <w:sz w:val="22"/>
                <w:szCs w:val="22"/>
              </w:rPr>
              <w:fldChar w:fldCharType="begin"/>
            </w:r>
            <w:r w:rsidRPr="000D1E16">
              <w:rPr>
                <w:sz w:val="22"/>
                <w:szCs w:val="22"/>
              </w:rPr>
              <w:instrText>ADDIN RW.CITE{{99 Chen, X.P. 2008}}</w:instrText>
            </w:r>
            <w:r w:rsidRPr="000D1E16">
              <w:rPr>
                <w:sz w:val="22"/>
                <w:szCs w:val="22"/>
              </w:rPr>
              <w:fldChar w:fldCharType="separate"/>
            </w:r>
            <w:r w:rsidRPr="000D1E16">
              <w:rPr>
                <w:sz w:val="22"/>
                <w:szCs w:val="22"/>
              </w:rPr>
              <w:t>(Chen et al. 2008)</w:t>
            </w:r>
            <w:r w:rsidRPr="000D1E16">
              <w:rPr>
                <w:sz w:val="22"/>
                <w:szCs w:val="22"/>
              </w:rPr>
              <w:fldChar w:fldCharType="end"/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>GCGGCCATCCATCTGTATGT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  <w:r w:rsidRPr="000D1E16">
              <w:rPr>
                <w:sz w:val="22"/>
                <w:szCs w:val="22"/>
              </w:rPr>
              <w:t xml:space="preserve">AOA </w:t>
            </w:r>
            <w:r w:rsidRPr="000D1E16">
              <w:rPr>
                <w:i/>
                <w:iCs/>
                <w:sz w:val="22"/>
                <w:szCs w:val="22"/>
              </w:rPr>
              <w:t>amo</w:t>
            </w:r>
            <w:r w:rsidRPr="000D1E16">
              <w:rPr>
                <w:iCs/>
                <w:sz w:val="22"/>
                <w:szCs w:val="22"/>
              </w:rPr>
              <w:t xml:space="preserve">A 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40096C" w:rsidRPr="000D1E16" w:rsidRDefault="0040096C" w:rsidP="007E2DAF">
            <w:pPr>
              <w:rPr>
                <w:sz w:val="22"/>
                <w:szCs w:val="22"/>
              </w:rPr>
            </w:pPr>
          </w:p>
        </w:tc>
      </w:tr>
    </w:tbl>
    <w:bookmarkEnd w:id="2"/>
    <w:p w:rsidR="0040096C" w:rsidRPr="00FD7A2B" w:rsidRDefault="0040096C" w:rsidP="0040096C">
      <w:pPr>
        <w:shd w:val="clear" w:color="auto" w:fill="FFFFFF"/>
        <w:rPr>
          <w:vanish/>
        </w:rPr>
      </w:pPr>
      <w:r w:rsidRPr="00FD7A2B">
        <w:rPr>
          <w:vanish/>
        </w:rPr>
        <w:fldChar w:fldCharType="begin"/>
      </w:r>
      <w:r w:rsidRPr="00FD7A2B">
        <w:rPr>
          <w:vanish/>
        </w:rPr>
        <w:instrText xml:space="preserve"> HYPERLINK "http://www.sciencedirect.com/science?_ob=MiamiCaptionURL&amp;_method=retrieve&amp;_udi=B6V73-4MWPV1V-1&amp;_image=tbl1&amp;_ba=&amp;_user=492137&amp;_rdoc=1&amp;_fmt=full&amp;_orig=search&amp;_cdi=5831&amp;view=c&amp;_isTablePopup=Y&amp;_acct=C000022719&amp;_version=1&amp;_urlVersion=0&amp;_userid=492137&amp;md5=9db94b213a2e03b82e9dd0d43dfb9051" \o "Full-size table - Opens new window" </w:instrText>
      </w:r>
      <w:r w:rsidRPr="00FD7A2B">
        <w:rPr>
          <w:vanish/>
        </w:rPr>
        <w:fldChar w:fldCharType="separate"/>
      </w:r>
      <w:r w:rsidRPr="00FD7A2B">
        <w:rPr>
          <w:vanish/>
          <w:u w:val="single"/>
        </w:rPr>
        <w:t>Full-size table</w:t>
      </w:r>
      <w:r w:rsidRPr="00FD7A2B">
        <w:rPr>
          <w:vanish/>
        </w:rPr>
        <w:fldChar w:fldCharType="end"/>
      </w:r>
    </w:p>
    <w:p w:rsidR="002F0F5E" w:rsidRDefault="0040096C" w:rsidP="0040096C">
      <w:pPr>
        <w:shd w:val="clear" w:color="auto" w:fill="FFFFFF"/>
      </w:pPr>
      <w:r w:rsidRPr="00FD7A2B">
        <w:t>Note that K indicates G or T, and S indicates C or G.  *primers were labeled with FAM at 5’ end</w:t>
      </w:r>
      <w:r>
        <w:t>.</w:t>
      </w:r>
      <w:r w:rsidRPr="00FD7A2B">
        <w:t xml:space="preserve"> </w:t>
      </w:r>
      <w:bookmarkStart w:id="5" w:name="_GoBack"/>
      <w:bookmarkEnd w:id="5"/>
    </w:p>
    <w:sectPr w:rsidR="002F0F5E" w:rsidSect="000D1E16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96C"/>
    <w:rsid w:val="0021090F"/>
    <w:rsid w:val="0040096C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C8990"/>
  <w15:chartTrackingRefBased/>
  <w15:docId w15:val="{98C2BB5A-3871-4E99-843C-96F01C708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96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40096C"/>
  </w:style>
  <w:style w:type="paragraph" w:styleId="Caption">
    <w:name w:val="caption"/>
    <w:basedOn w:val="Normal"/>
    <w:next w:val="Normal"/>
    <w:uiPriority w:val="35"/>
    <w:unhideWhenUsed/>
    <w:qFormat/>
    <w:rsid w:val="0040096C"/>
    <w:pPr>
      <w:spacing w:after="200"/>
    </w:pPr>
    <w:rPr>
      <w:rFonts w:eastAsia="Times New Roman"/>
      <w:b/>
      <w:bCs/>
      <w:color w:val="5B9BD5" w:themeColor="accent1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400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2022-06-24T14:04:00Z</dcterms:created>
  <dcterms:modified xsi:type="dcterms:W3CDTF">2022-06-24T14:05:00Z</dcterms:modified>
</cp:coreProperties>
</file>