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DEA" w:rsidRPr="0071458C" w:rsidRDefault="00B25DEA" w:rsidP="005C13ED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Clinical and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G</w:t>
      </w:r>
      <w:r w:rsidRPr="0071458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enetic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C</w:t>
      </w:r>
      <w:r w:rsidRPr="0071458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haracteristics of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A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utosomal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R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ecessive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P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olycystic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K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idney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D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isease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in Oman</w:t>
      </w:r>
    </w:p>
    <w:p w:rsidR="00B25DEA" w:rsidRPr="00B25DEA" w:rsidRDefault="00B25DEA" w:rsidP="005C13ED">
      <w:pPr>
        <w:spacing w:line="480" w:lineRule="auto"/>
        <w:rPr>
          <w:rFonts w:asciiTheme="majorBidi" w:hAnsiTheme="majorBidi" w:cstheme="majorBidi"/>
          <w:bCs/>
          <w:sz w:val="24"/>
          <w:szCs w:val="24"/>
        </w:rPr>
      </w:pPr>
      <w:r w:rsidRPr="00B25DEA">
        <w:rPr>
          <w:rFonts w:asciiTheme="majorBidi" w:hAnsiTheme="majorBidi" w:cstheme="majorBidi"/>
          <w:bCs/>
          <w:sz w:val="24"/>
          <w:szCs w:val="24"/>
        </w:rPr>
        <w:t>Intisar Al Alawi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proofErr w:type="gramStart"/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,2</w:t>
      </w:r>
      <w:proofErr w:type="gramEnd"/>
      <w:r w:rsidRPr="00B25DEA">
        <w:rPr>
          <w:rFonts w:asciiTheme="majorBidi" w:hAnsiTheme="majorBidi" w:cstheme="majorBidi"/>
          <w:bCs/>
          <w:sz w:val="24"/>
          <w:szCs w:val="24"/>
        </w:rPr>
        <w:t>, Elisa Molinari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B25DEA">
        <w:rPr>
          <w:rFonts w:asciiTheme="majorBidi" w:hAnsiTheme="majorBidi" w:cstheme="majorBidi"/>
          <w:bCs/>
          <w:sz w:val="24"/>
          <w:szCs w:val="24"/>
        </w:rPr>
        <w:t>Issa</w:t>
      </w:r>
      <w:proofErr w:type="spellEnd"/>
      <w:r w:rsidRPr="00B25DEA">
        <w:rPr>
          <w:rFonts w:asciiTheme="majorBidi" w:hAnsiTheme="majorBidi" w:cstheme="majorBidi"/>
          <w:bCs/>
          <w:sz w:val="24"/>
          <w:szCs w:val="24"/>
        </w:rPr>
        <w:t xml:space="preserve"> Al Salmi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3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B25DEA">
        <w:rPr>
          <w:rFonts w:asciiTheme="majorBidi" w:hAnsiTheme="majorBidi" w:cstheme="majorBidi"/>
          <w:bCs/>
          <w:sz w:val="24"/>
          <w:szCs w:val="24"/>
        </w:rPr>
        <w:t>Fatma</w:t>
      </w:r>
      <w:proofErr w:type="spellEnd"/>
      <w:r w:rsidRPr="00B25DEA">
        <w:rPr>
          <w:rFonts w:asciiTheme="majorBidi" w:hAnsiTheme="majorBidi" w:cstheme="majorBidi"/>
          <w:bCs/>
          <w:sz w:val="24"/>
          <w:szCs w:val="24"/>
        </w:rPr>
        <w:t xml:space="preserve"> Al Rahbi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3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B25DEA">
        <w:rPr>
          <w:rFonts w:asciiTheme="majorBidi" w:hAnsiTheme="majorBidi" w:cstheme="majorBidi"/>
          <w:bCs/>
          <w:sz w:val="24"/>
          <w:szCs w:val="24"/>
        </w:rPr>
        <w:t>Adhra</w:t>
      </w:r>
      <w:proofErr w:type="spellEnd"/>
      <w:r w:rsidRPr="00B25DEA">
        <w:rPr>
          <w:rFonts w:asciiTheme="majorBidi" w:hAnsiTheme="majorBidi" w:cstheme="majorBidi"/>
          <w:bCs/>
          <w:sz w:val="24"/>
          <w:szCs w:val="24"/>
        </w:rPr>
        <w:t xml:space="preserve"> Al Mawali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4</w:t>
      </w:r>
      <w:r w:rsidRPr="00B25DEA">
        <w:rPr>
          <w:rFonts w:asciiTheme="majorBidi" w:hAnsiTheme="majorBidi" w:cstheme="majorBidi"/>
          <w:bCs/>
          <w:sz w:val="24"/>
          <w:szCs w:val="24"/>
        </w:rPr>
        <w:t>, and John A. Sayer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1,5,6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 </w:t>
      </w:r>
    </w:p>
    <w:p w:rsidR="001C4E93" w:rsidRDefault="001C4E93" w:rsidP="005C13ED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D66AC0">
        <w:rPr>
          <w:rFonts w:asciiTheme="majorBidi" w:hAnsiTheme="majorBidi" w:cstheme="majorBidi"/>
          <w:b/>
          <w:bCs/>
          <w:sz w:val="24"/>
          <w:szCs w:val="24"/>
          <w:lang w:val="en-GB"/>
        </w:rPr>
        <w:t>Supplementary Figures</w:t>
      </w:r>
    </w:p>
    <w:p w:rsidR="001C4E93" w:rsidRDefault="001C4E93" w:rsidP="005C13ED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1C4E93" w:rsidRDefault="00893A41" w:rsidP="00893A41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893A41">
        <w:rPr>
          <w:rFonts w:asciiTheme="majorBidi" w:hAnsiTheme="majorBidi" w:cstheme="majorBidi"/>
          <w:b/>
          <w:bCs/>
          <w:sz w:val="24"/>
          <w:szCs w:val="24"/>
          <w:lang w:val="en-GB"/>
        </w:rPr>
        <w:drawing>
          <wp:inline distT="0" distB="0" distL="0" distR="0" wp14:anchorId="62571192" wp14:editId="414A0912">
            <wp:extent cx="5943600" cy="3343275"/>
            <wp:effectExtent l="19050" t="19050" r="19050" b="2857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C4E93" w:rsidRDefault="0089108F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Figure S1: Pedigrees of the 32</w:t>
      </w:r>
      <w:r w:rsidR="001C4E93" w:rsidRPr="0071458C">
        <w:rPr>
          <w:rFonts w:asciiTheme="majorBidi" w:hAnsiTheme="majorBidi" w:cstheme="majorBidi"/>
          <w:sz w:val="24"/>
          <w:szCs w:val="24"/>
          <w:lang w:val="en-GB"/>
        </w:rPr>
        <w:t xml:space="preserve"> analysed families.  </w:t>
      </w:r>
    </w:p>
    <w:p w:rsidR="00893A41" w:rsidRPr="00F4593E" w:rsidRDefault="001C4E93" w:rsidP="00893A41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F4593E">
        <w:rPr>
          <w:rFonts w:asciiTheme="majorBidi" w:hAnsiTheme="majorBidi" w:cstheme="majorBidi"/>
          <w:sz w:val="24"/>
          <w:szCs w:val="24"/>
        </w:rPr>
        <w:t>Squares represent males, circles represent females. Filled symbols indicate the affected status. Double-horizontal bars illustrate parental consanguinity. F: Family. Genetically solved families are F1-F30. Unsolved families are</w:t>
      </w:r>
      <w:r w:rsidR="001E2BAC">
        <w:rPr>
          <w:rFonts w:asciiTheme="majorBidi" w:hAnsiTheme="majorBidi" w:cstheme="majorBidi"/>
          <w:sz w:val="24"/>
          <w:szCs w:val="24"/>
        </w:rPr>
        <w:t xml:space="preserve"> </w:t>
      </w:r>
      <w:r w:rsidR="001E2BAC" w:rsidRPr="001E2BAC">
        <w:rPr>
          <w:rFonts w:asciiTheme="majorBidi" w:hAnsiTheme="majorBidi" w:cstheme="majorBidi"/>
          <w:sz w:val="24"/>
          <w:szCs w:val="24"/>
          <w:highlight w:val="yellow"/>
        </w:rPr>
        <w:t>F31-F32</w:t>
      </w:r>
      <w:r w:rsidRPr="001E2BAC">
        <w:rPr>
          <w:rFonts w:asciiTheme="majorBidi" w:hAnsiTheme="majorBidi" w:cstheme="majorBidi"/>
          <w:sz w:val="24"/>
          <w:szCs w:val="24"/>
          <w:highlight w:val="yellow"/>
        </w:rPr>
        <w:t>.</w:t>
      </w:r>
      <w:r w:rsidRPr="00F4593E">
        <w:rPr>
          <w:rFonts w:asciiTheme="majorBidi" w:hAnsiTheme="majorBidi" w:cstheme="majorBidi"/>
          <w:sz w:val="24"/>
          <w:szCs w:val="24"/>
        </w:rPr>
        <w:t xml:space="preserve"> </w:t>
      </w:r>
      <w:r w:rsidR="00893A41" w:rsidRPr="00F4593E">
        <w:rPr>
          <w:rFonts w:asciiTheme="majorBidi" w:hAnsiTheme="majorBidi" w:cstheme="majorBidi"/>
          <w:sz w:val="24"/>
          <w:szCs w:val="24"/>
          <w:highlight w:val="yellow"/>
          <w:lang w:val="en-GB"/>
        </w:rPr>
        <w:t>*Patients had been previously described in [12], where 17 is P25, 18 is P27, 19 is P44, 22 is P53 an</w:t>
      </w:r>
      <w:bookmarkStart w:id="0" w:name="_GoBack"/>
      <w:bookmarkEnd w:id="0"/>
      <w:r w:rsidR="00893A41" w:rsidRPr="00F4593E">
        <w:rPr>
          <w:rFonts w:asciiTheme="majorBidi" w:hAnsiTheme="majorBidi" w:cstheme="majorBidi"/>
          <w:sz w:val="24"/>
          <w:szCs w:val="24"/>
          <w:highlight w:val="yellow"/>
          <w:lang w:val="en-GB"/>
        </w:rPr>
        <w:t>d 25 is P22.</w:t>
      </w:r>
      <w:r w:rsidR="00893A41" w:rsidRPr="00F4593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1C4E93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3E722227" wp14:editId="3B94FFB8">
            <wp:extent cx="5943600" cy="3343275"/>
            <wp:effectExtent l="12700" t="12700" r="12700" b="9525"/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RPKD_Suppl_Figure2_JAS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C4E93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:rsidR="001C4E93" w:rsidRPr="0071458C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sz w:val="24"/>
          <w:szCs w:val="24"/>
          <w:lang w:val="en-GB"/>
        </w:rPr>
        <w:t>Figure S2. Represe</w:t>
      </w:r>
      <w:r>
        <w:rPr>
          <w:rFonts w:asciiTheme="majorBidi" w:hAnsiTheme="majorBidi" w:cstheme="majorBidi"/>
          <w:sz w:val="24"/>
          <w:szCs w:val="24"/>
          <w:lang w:val="en-GB"/>
        </w:rPr>
        <w:t>n</w:t>
      </w: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tation of the missense variants of the </w:t>
      </w:r>
      <w:r w:rsidRPr="0071458C">
        <w:rPr>
          <w:rFonts w:asciiTheme="majorBidi" w:hAnsiTheme="majorBidi" w:cstheme="majorBidi"/>
          <w:i/>
          <w:iCs/>
          <w:sz w:val="24"/>
          <w:szCs w:val="24"/>
          <w:lang w:val="en-GB"/>
        </w:rPr>
        <w:t>PKHD1</w:t>
      </w: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 gene detected in ARPKD patients in relation to the gene exon structure and protein domains.</w:t>
      </w:r>
    </w:p>
    <w:p w:rsidR="001C4E93" w:rsidRPr="0071458C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A. Chromatograms of the identified mutations in the </w:t>
      </w:r>
      <w:r w:rsidRPr="0071458C">
        <w:rPr>
          <w:rFonts w:asciiTheme="majorBidi" w:hAnsiTheme="majorBidi" w:cstheme="majorBidi"/>
          <w:i/>
          <w:iCs/>
          <w:sz w:val="24"/>
          <w:szCs w:val="24"/>
          <w:lang w:val="en-GB"/>
        </w:rPr>
        <w:t>PKHD1</w:t>
      </w: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 gene.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Heterozygous sequence variants are arrowed with the nucleotide changes indicated (reference sequence </w:t>
      </w:r>
      <w:r w:rsidRPr="0071458C">
        <w:rPr>
          <w:rFonts w:asciiTheme="majorBidi" w:hAnsiTheme="majorBidi" w:cstheme="majorBidi"/>
          <w:sz w:val="24"/>
          <w:szCs w:val="24"/>
          <w:shd w:val="clear" w:color="auto" w:fill="FFFFFF"/>
        </w:rPr>
        <w:t>NM_138694.4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)</w:t>
      </w:r>
    </w:p>
    <w:p w:rsidR="001C4E93" w:rsidRPr="0071458C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71458C">
        <w:rPr>
          <w:rFonts w:asciiTheme="majorBidi" w:hAnsiTheme="majorBidi" w:cstheme="majorBidi"/>
          <w:sz w:val="24"/>
          <w:szCs w:val="24"/>
          <w:lang w:val="en-GB"/>
        </w:rPr>
        <w:t>B.</w:t>
      </w:r>
      <w:r w:rsidRPr="0071458C">
        <w:rPr>
          <w:rFonts w:asciiTheme="majorBidi" w:hAnsiTheme="majorBidi" w:cstheme="majorBidi"/>
          <w:sz w:val="24"/>
          <w:szCs w:val="24"/>
        </w:rPr>
        <w:t xml:space="preserve"> Predicted </w:t>
      </w:r>
      <w:r>
        <w:rPr>
          <w:rFonts w:asciiTheme="majorBidi" w:hAnsiTheme="majorBidi" w:cstheme="majorBidi"/>
          <w:sz w:val="24"/>
          <w:szCs w:val="24"/>
        </w:rPr>
        <w:t xml:space="preserve">protein domains of </w:t>
      </w:r>
      <w:proofErr w:type="spellStart"/>
      <w:r w:rsidRPr="0071458C">
        <w:rPr>
          <w:rFonts w:asciiTheme="majorBidi" w:hAnsiTheme="majorBidi" w:cstheme="majorBidi"/>
          <w:sz w:val="24"/>
          <w:szCs w:val="24"/>
        </w:rPr>
        <w:t>fibrocystin</w:t>
      </w:r>
      <w:proofErr w:type="spellEnd"/>
      <w:r w:rsidRPr="0071458C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 xml:space="preserve">with its </w:t>
      </w:r>
      <w:r w:rsidRPr="0071458C">
        <w:rPr>
          <w:rFonts w:asciiTheme="majorBidi" w:hAnsiTheme="majorBidi" w:cstheme="majorBidi"/>
          <w:sz w:val="24"/>
          <w:szCs w:val="24"/>
        </w:rPr>
        <w:t xml:space="preserve">large extracellular domain, single transmembrane domain, and short </w:t>
      </w:r>
      <w:proofErr w:type="spellStart"/>
      <w:r w:rsidRPr="0071458C">
        <w:rPr>
          <w:rFonts w:asciiTheme="majorBidi" w:hAnsiTheme="majorBidi" w:cstheme="majorBidi"/>
          <w:sz w:val="24"/>
          <w:szCs w:val="24"/>
        </w:rPr>
        <w:t>cystoplasmic</w:t>
      </w:r>
      <w:proofErr w:type="spellEnd"/>
      <w:r w:rsidRPr="0071458C">
        <w:rPr>
          <w:rFonts w:asciiTheme="majorBidi" w:hAnsiTheme="majorBidi" w:cstheme="majorBidi"/>
          <w:sz w:val="24"/>
          <w:szCs w:val="24"/>
        </w:rPr>
        <w:t xml:space="preserve"> tail.</w:t>
      </w:r>
    </w:p>
    <w:p w:rsidR="001C4E93" w:rsidRPr="0071458C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71458C">
        <w:rPr>
          <w:rFonts w:asciiTheme="majorBidi" w:hAnsiTheme="majorBidi" w:cstheme="majorBidi"/>
          <w:sz w:val="24"/>
          <w:szCs w:val="24"/>
        </w:rPr>
        <w:t xml:space="preserve">C. Simplified structure of the </w:t>
      </w:r>
      <w:r w:rsidRPr="0071458C">
        <w:rPr>
          <w:rFonts w:asciiTheme="majorBidi" w:hAnsiTheme="majorBidi" w:cstheme="majorBidi"/>
          <w:i/>
          <w:iCs/>
          <w:sz w:val="24"/>
          <w:szCs w:val="24"/>
        </w:rPr>
        <w:t>PKHD1</w:t>
      </w:r>
      <w:r w:rsidRPr="0071458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transcript (</w:t>
      </w:r>
      <w:r w:rsidRPr="0071458C">
        <w:rPr>
          <w:rFonts w:asciiTheme="majorBidi" w:hAnsiTheme="majorBidi" w:cstheme="majorBidi"/>
          <w:sz w:val="24"/>
          <w:szCs w:val="24"/>
        </w:rPr>
        <w:t>longest open reading frame</w:t>
      </w:r>
      <w:r>
        <w:rPr>
          <w:rFonts w:asciiTheme="majorBidi" w:hAnsiTheme="majorBidi" w:cstheme="majorBidi"/>
          <w:sz w:val="24"/>
          <w:szCs w:val="24"/>
        </w:rPr>
        <w:t xml:space="preserve">) </w:t>
      </w:r>
      <w:r w:rsidRPr="0071458C">
        <w:rPr>
          <w:rFonts w:asciiTheme="majorBidi" w:hAnsiTheme="majorBidi" w:cstheme="majorBidi"/>
          <w:sz w:val="24"/>
          <w:szCs w:val="24"/>
        </w:rPr>
        <w:t>(</w:t>
      </w:r>
      <w:r w:rsidRPr="0071458C">
        <w:rPr>
          <w:rFonts w:asciiTheme="majorBidi" w:hAnsiTheme="majorBidi" w:cstheme="majorBidi"/>
          <w:sz w:val="24"/>
          <w:szCs w:val="24"/>
          <w:shd w:val="clear" w:color="auto" w:fill="FFFFFF"/>
        </w:rPr>
        <w:t>NM_138694.4</w:t>
      </w:r>
      <w:r w:rsidRPr="0071458C">
        <w:rPr>
          <w:rFonts w:asciiTheme="majorBidi" w:hAnsiTheme="majorBidi" w:cstheme="majorBidi"/>
          <w:sz w:val="24"/>
          <w:szCs w:val="24"/>
        </w:rPr>
        <w:t>) consisting of 67 exons that encode for a 4074 amino acid.</w:t>
      </w:r>
      <w:r>
        <w:rPr>
          <w:rFonts w:asciiTheme="majorBidi" w:hAnsiTheme="majorBidi" w:cstheme="majorBidi"/>
          <w:sz w:val="24"/>
          <w:szCs w:val="24"/>
        </w:rPr>
        <w:t xml:space="preserve"> Mutations are identified by red arrows.</w:t>
      </w:r>
    </w:p>
    <w:p w:rsidR="001C4E93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:rsidR="001C4E93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:rsidR="001C4E93" w:rsidRPr="005C13ED" w:rsidRDefault="001C4E93" w:rsidP="005C13ED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5C13ED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>Supplementary Tables</w:t>
      </w:r>
    </w:p>
    <w:p w:rsidR="00B43604" w:rsidRPr="00B43604" w:rsidRDefault="00B43604" w:rsidP="005C13ED">
      <w:pPr>
        <w:spacing w:after="200" w:line="480" w:lineRule="auto"/>
        <w:rPr>
          <w:rFonts w:asciiTheme="majorBidi" w:hAnsiTheme="majorBidi" w:cstheme="majorBidi"/>
          <w:sz w:val="24"/>
          <w:szCs w:val="24"/>
        </w:rPr>
      </w:pPr>
      <w:r w:rsidRPr="00B43604">
        <w:rPr>
          <w:rFonts w:asciiTheme="majorBidi" w:hAnsiTheme="majorBidi" w:cstheme="majorBidi"/>
          <w:sz w:val="24"/>
          <w:szCs w:val="24"/>
          <w:lang w:val="en-GB"/>
        </w:rPr>
        <w:t xml:space="preserve">Table S1. </w:t>
      </w:r>
      <w:r w:rsidRPr="00B43604">
        <w:rPr>
          <w:rFonts w:asciiTheme="majorBidi" w:hAnsiTheme="majorBidi" w:cstheme="majorBidi"/>
          <w:sz w:val="24"/>
          <w:szCs w:val="24"/>
        </w:rPr>
        <w:t>Disease categories and genes selected for targeted NGS panel for cystic kidney disease.</w:t>
      </w:r>
    </w:p>
    <w:tbl>
      <w:tblPr>
        <w:tblW w:w="7700" w:type="dxa"/>
        <w:tblInd w:w="108" w:type="dxa"/>
        <w:tblLook w:val="04A0" w:firstRow="1" w:lastRow="0" w:firstColumn="1" w:lastColumn="0" w:noHBand="0" w:noVBand="1"/>
      </w:tblPr>
      <w:tblGrid>
        <w:gridCol w:w="3760"/>
        <w:gridCol w:w="3940"/>
      </w:tblGrid>
      <w:tr w:rsidR="00B43604" w:rsidRPr="006E6296" w:rsidTr="001C4BC4">
        <w:trPr>
          <w:trHeight w:val="600"/>
        </w:trPr>
        <w:tc>
          <w:tcPr>
            <w:tcW w:w="3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Diseases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Gene 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Autosomal dominant polycystic kidney disease (ADPKD)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PKD1, PKD2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Autosomal recessive polycystic kidney disease (ARPKD)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PKHD1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Autosomal dominant </w:t>
            </w:r>
            <w:proofErr w:type="spellStart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tubulo</w:t>
            </w:r>
            <w:proofErr w:type="spellEnd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interstitial kidney disease (ADTKD)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HNF1B,  REN, UMOD </w:t>
            </w:r>
          </w:p>
        </w:tc>
      </w:tr>
      <w:tr w:rsidR="00B43604" w:rsidRPr="006E6296" w:rsidTr="001C4BC4">
        <w:trPr>
          <w:trHeight w:val="1688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Nephronophthisis</w:t>
            </w:r>
            <w:proofErr w:type="spellEnd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(NPHP)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NPHP1, INVS, NPHP3, NPHP4, GLIS2, NEK8, TMEM67, TTC21B, WDR19, ZNF423, CEP164, ANKS6, CEP83, DCDC2, SDCCAG8 &amp; CEP290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Medullary cystic kidney disease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UMOD, MUC1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Meckel</w:t>
            </w:r>
            <w:proofErr w:type="spellEnd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-Gruber syndrome (MKS)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MKS1, TMEM67, CEP260, NPHP3 &amp; RPGRIP1L</w:t>
            </w:r>
          </w:p>
        </w:tc>
      </w:tr>
      <w:tr w:rsidR="00B43604" w:rsidRPr="006E6296" w:rsidTr="001C4BC4">
        <w:trPr>
          <w:trHeight w:val="184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Bardet-Biedl</w:t>
            </w:r>
            <w:proofErr w:type="spellEnd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syndrome (BBS)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BBS1, BBS2, ARL6, BBS4, BBS5, MKKS, BBS7, TTC8, BBS9, BBS10, TRIM32, BBS12, MKS1, CEP290, WDPCP, SDCCAG8, LZTFL1, BBIP1, IFT27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Autosomal dominant Polycystic liver disease (ADPLD)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PRKCSH, SEC63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Joubert</w:t>
            </w:r>
            <w:proofErr w:type="spellEnd"/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syndrome (JBTS)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AHI1, NPHP1, CEP290, TMEM67, RPGRIP1L &amp; TTC21B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Renal cysts and diabetes syndrome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HNF1B</w:t>
            </w:r>
          </w:p>
        </w:tc>
      </w:tr>
      <w:tr w:rsidR="00B43604" w:rsidRPr="006E6296" w:rsidTr="001C4BC4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Renal dysplasia, cystic susceptibility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43604" w:rsidRPr="006E6296" w:rsidRDefault="00B43604" w:rsidP="005C13E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r w:rsidRPr="006E62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BICC1</w:t>
            </w:r>
          </w:p>
        </w:tc>
      </w:tr>
    </w:tbl>
    <w:p w:rsidR="00B43604" w:rsidRPr="00520FDE" w:rsidRDefault="00B43604" w:rsidP="005C13ED">
      <w:pPr>
        <w:spacing w:after="200"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B43604" w:rsidRDefault="00B43604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:rsidR="001C4E93" w:rsidRPr="0071458C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5C13ED">
        <w:rPr>
          <w:rFonts w:asciiTheme="majorBidi" w:hAnsiTheme="majorBidi" w:cstheme="majorBidi"/>
          <w:sz w:val="24"/>
          <w:szCs w:val="24"/>
          <w:lang w:val="en-GB"/>
        </w:rPr>
        <w:lastRenderedPageBreak/>
        <w:t>Table S</w:t>
      </w:r>
      <w:r w:rsidR="00B43604" w:rsidRPr="005C13ED">
        <w:rPr>
          <w:rFonts w:asciiTheme="majorBidi" w:hAnsiTheme="majorBidi" w:cstheme="majorBidi"/>
          <w:sz w:val="24"/>
          <w:szCs w:val="24"/>
          <w:lang w:val="en-GB"/>
        </w:rPr>
        <w:t>2</w:t>
      </w:r>
      <w:r w:rsidRPr="005C13ED">
        <w:rPr>
          <w:rFonts w:asciiTheme="majorBidi" w:hAnsiTheme="majorBidi" w:cstheme="majorBidi"/>
          <w:sz w:val="24"/>
          <w:szCs w:val="24"/>
          <w:lang w:val="en-GB"/>
        </w:rPr>
        <w:t xml:space="preserve">. Primers </w:t>
      </w: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used for PCR amplification and sequencing of </w:t>
      </w:r>
      <w:r w:rsidRPr="0071458C">
        <w:rPr>
          <w:rFonts w:asciiTheme="majorBidi" w:hAnsiTheme="majorBidi" w:cstheme="majorBidi"/>
          <w:i/>
          <w:iCs/>
          <w:sz w:val="24"/>
          <w:szCs w:val="24"/>
          <w:lang w:val="en-GB"/>
        </w:rPr>
        <w:t>PKHD1</w:t>
      </w: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 gene. </w:t>
      </w:r>
    </w:p>
    <w:tbl>
      <w:tblPr>
        <w:tblW w:w="9820" w:type="dxa"/>
        <w:tblLook w:val="04A0" w:firstRow="1" w:lastRow="0" w:firstColumn="1" w:lastColumn="0" w:noHBand="0" w:noVBand="1"/>
      </w:tblPr>
      <w:tblGrid>
        <w:gridCol w:w="2400"/>
        <w:gridCol w:w="2880"/>
        <w:gridCol w:w="4540"/>
      </w:tblGrid>
      <w:tr w:rsidR="001C4E93" w:rsidRPr="0071458C" w:rsidTr="00F459B5">
        <w:trPr>
          <w:trHeight w:val="495"/>
        </w:trPr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Primer Name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Gene - Exon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Sequence 5'--&gt; 3'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CTGAGGCAGGTTAAATATTGCTT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GTCTGTTCGTCTCCCTTCAGG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PKHD1_6F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6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GTGCCTCCTGTGTTTGTGAA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PKHD1_6R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6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TCCAGTCTCCAACATCAACTCA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PKHD1_32AF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AACACATGCCCTACCTTCCA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PKHD1_32AR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AACATCACAGTTCAGGTTCCC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PKHD1_32BF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 xml:space="preserve">PKHD1 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GAAGTAACCTCTCCAACTCAGTC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PKHD1_32BR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CCACAAATACCATCGGCTCAT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PKHD1_32CF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TCTCTGACCACTGTGCTGAT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PKHD1_32CR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TGAAACACTTGGGGCATAATGT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PKHD1_32DF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TGATTAGGGGTCAGAGGTTAGC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PKHD1_32DR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CCACTGCAAAGGTTAAGATGTCA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PKHD1_32EF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AGGTAGATGGACTTTGGTATCACA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TTTCCAGAAGTGAAAGGAGCTAC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PKHD1_58AF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TCAGCCTTTTGTGGGGAAGA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PKHD1_58AR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TGAAAGCCAAGAAGCCAGAG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PKHD1_58BF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GCCTTCATCTCTATAAGGAAAGTGG</w:t>
            </w:r>
          </w:p>
        </w:tc>
      </w:tr>
      <w:tr w:rsidR="001C4E93" w:rsidRPr="0071458C" w:rsidTr="00F459B5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PKHD1_58BR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TGCATGGATGTATGAAATGGCA</w:t>
            </w:r>
          </w:p>
        </w:tc>
      </w:tr>
    </w:tbl>
    <w:p w:rsidR="001C4E93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:rsidR="001C4E93" w:rsidRPr="0071458C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:rsidR="001C4E93" w:rsidRPr="0071458C" w:rsidRDefault="00B43604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5C13ED">
        <w:rPr>
          <w:rFonts w:asciiTheme="majorBidi" w:hAnsiTheme="majorBidi" w:cstheme="majorBidi"/>
          <w:sz w:val="24"/>
          <w:szCs w:val="24"/>
          <w:lang w:val="en-GB"/>
        </w:rPr>
        <w:t>Table S3</w:t>
      </w:r>
      <w:r w:rsidR="001C4E93" w:rsidRPr="005C13ED">
        <w:rPr>
          <w:rFonts w:asciiTheme="majorBidi" w:hAnsiTheme="majorBidi" w:cstheme="majorBidi"/>
          <w:sz w:val="24"/>
          <w:szCs w:val="24"/>
          <w:lang w:val="en-GB"/>
        </w:rPr>
        <w:t xml:space="preserve">. Different </w:t>
      </w:r>
      <w:r w:rsidR="001C4E93" w:rsidRPr="0071458C">
        <w:rPr>
          <w:rFonts w:asciiTheme="majorBidi" w:hAnsiTheme="majorBidi" w:cstheme="majorBidi"/>
          <w:i/>
          <w:iCs/>
          <w:sz w:val="24"/>
          <w:szCs w:val="24"/>
          <w:lang w:val="en-GB"/>
        </w:rPr>
        <w:t>PKHD1</w:t>
      </w:r>
      <w:r w:rsidR="001C4E93" w:rsidRPr="0071458C">
        <w:rPr>
          <w:rFonts w:asciiTheme="majorBidi" w:hAnsiTheme="majorBidi" w:cstheme="majorBidi"/>
          <w:sz w:val="24"/>
          <w:szCs w:val="24"/>
          <w:lang w:val="en-GB"/>
        </w:rPr>
        <w:t xml:space="preserve"> founder mutations associated with different ethnicities.  </w:t>
      </w:r>
    </w:p>
    <w:tbl>
      <w:tblPr>
        <w:tblW w:w="9576" w:type="dxa"/>
        <w:tblLook w:val="04A0" w:firstRow="1" w:lastRow="0" w:firstColumn="1" w:lastColumn="0" w:noHBand="0" w:noVBand="1"/>
      </w:tblPr>
      <w:tblGrid>
        <w:gridCol w:w="1299"/>
        <w:gridCol w:w="2361"/>
        <w:gridCol w:w="1644"/>
        <w:gridCol w:w="797"/>
        <w:gridCol w:w="1875"/>
        <w:gridCol w:w="1600"/>
      </w:tblGrid>
      <w:tr w:rsidR="001C4E93" w:rsidRPr="0071458C" w:rsidTr="00F459B5">
        <w:trPr>
          <w:trHeight w:val="46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Origin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Nucleotide change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aa change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Exon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Mutation Type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References</w:t>
            </w:r>
          </w:p>
        </w:tc>
      </w:tr>
      <w:tr w:rsidR="001C4E93" w:rsidRPr="0071458C" w:rsidTr="00F459B5">
        <w:trPr>
          <w:trHeight w:val="479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Finnish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c.1486C&gt;T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p.R496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Nonsense </w:t>
            </w:r>
          </w:p>
        </w:tc>
        <w:tc>
          <w:tcPr>
            <w:tcW w:w="170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Bergmann  et al., 2003</w:t>
            </w:r>
          </w:p>
        </w:tc>
      </w:tr>
      <w:tr w:rsidR="001C4E93" w:rsidRPr="0071458C" w:rsidTr="00F459B5">
        <w:trPr>
          <w:trHeight w:val="479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c.10412T&gt;G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p.V3471G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61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Missense</w:t>
            </w:r>
          </w:p>
        </w:tc>
        <w:tc>
          <w:tcPr>
            <w:tcW w:w="170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1C4E93" w:rsidRPr="0071458C" w:rsidTr="00F459B5">
        <w:trPr>
          <w:trHeight w:val="479"/>
        </w:trPr>
        <w:tc>
          <w:tcPr>
            <w:tcW w:w="1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French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c.7350+653A&gt;G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p.G2451fs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*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IVS46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Intronic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/Pseudo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exon activation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Michel-</w:t>
            </w: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Calemard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et al., 2009</w:t>
            </w:r>
          </w:p>
        </w:tc>
      </w:tr>
      <w:tr w:rsidR="001C4E93" w:rsidRPr="0071458C" w:rsidTr="00F459B5">
        <w:trPr>
          <w:trHeight w:val="491"/>
        </w:trPr>
        <w:tc>
          <w:tcPr>
            <w:tcW w:w="1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Ashkenazi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c.3761_3762delCCinsG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p.A1254Gfs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*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Frameshift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/</w:t>
            </w: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Indel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or Duplication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Quint et al., 2016</w:t>
            </w:r>
          </w:p>
        </w:tc>
      </w:tr>
      <w:tr w:rsidR="001C4E93" w:rsidRPr="0071458C" w:rsidTr="00F459B5">
        <w:trPr>
          <w:trHeight w:val="473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Afrikaner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c.1880 T&gt;A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p.M627K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Missense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1C4E93" w:rsidRPr="0071458C" w:rsidRDefault="001C4E93" w:rsidP="005C13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Lambie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et al., 2015</w:t>
            </w:r>
          </w:p>
        </w:tc>
      </w:tr>
    </w:tbl>
    <w:p w:rsidR="001C4E93" w:rsidRPr="0071458C" w:rsidRDefault="001C4E93" w:rsidP="005C13ED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sectPr w:rsidR="001C4E93" w:rsidRPr="0071458C" w:rsidSect="00176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93"/>
    <w:rsid w:val="001C4E93"/>
    <w:rsid w:val="001D7B30"/>
    <w:rsid w:val="001E2BAC"/>
    <w:rsid w:val="002A2E45"/>
    <w:rsid w:val="004C5D5C"/>
    <w:rsid w:val="005C13ED"/>
    <w:rsid w:val="00693475"/>
    <w:rsid w:val="007E50FA"/>
    <w:rsid w:val="0088760D"/>
    <w:rsid w:val="0089108F"/>
    <w:rsid w:val="00893A41"/>
    <w:rsid w:val="00921EB5"/>
    <w:rsid w:val="00A57D93"/>
    <w:rsid w:val="00B25DEA"/>
    <w:rsid w:val="00B43604"/>
    <w:rsid w:val="00D65D53"/>
    <w:rsid w:val="00F4593E"/>
    <w:rsid w:val="00F8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E93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1C4E9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C4E93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30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semiHidden/>
    <w:unhideWhenUsed/>
    <w:rsid w:val="00893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E93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1C4E9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C4E93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30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semiHidden/>
    <w:unhideWhenUsed/>
    <w:rsid w:val="00893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3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4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Sayer</dc:creator>
  <cp:lastModifiedBy>USER</cp:lastModifiedBy>
  <cp:revision>3</cp:revision>
  <dcterms:created xsi:type="dcterms:W3CDTF">2020-07-20T05:14:00Z</dcterms:created>
  <dcterms:modified xsi:type="dcterms:W3CDTF">2020-07-20T13:42:00Z</dcterms:modified>
</cp:coreProperties>
</file>