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166" w:rsidRDefault="00A26166" w:rsidP="00A26166">
      <w:pPr>
        <w:tabs>
          <w:tab w:val="left" w:pos="-567"/>
        </w:tabs>
        <w:spacing w:line="480" w:lineRule="auto"/>
        <w:ind w:left="300" w:hanging="300"/>
        <w:rPr>
          <w:rFonts w:cs="Times New Roman"/>
          <w:b/>
        </w:rPr>
      </w:pPr>
      <w:r>
        <w:rPr>
          <w:rFonts w:cs="Times New Roman"/>
          <w:b/>
        </w:rPr>
        <w:t>Supplementary Information</w:t>
      </w:r>
    </w:p>
    <w:p w:rsidR="00A26166" w:rsidRDefault="00A26166" w:rsidP="00A26166">
      <w:pPr>
        <w:kinsoku w:val="0"/>
        <w:wordWrap/>
        <w:overflowPunct w:val="0"/>
        <w:snapToGrid w:val="0"/>
        <w:spacing w:line="480" w:lineRule="auto"/>
        <w:ind w:left="301" w:hanging="301"/>
        <w:rPr>
          <w:b/>
          <w:bCs/>
        </w:rPr>
      </w:pPr>
      <w:r>
        <w:rPr>
          <w:b/>
          <w:noProof/>
          <w:lang w:eastAsia="en-US"/>
        </w:rPr>
        <w:drawing>
          <wp:inline distT="0" distB="0" distL="0" distR="0">
            <wp:extent cx="3289300" cy="4222750"/>
            <wp:effectExtent l="0" t="0" r="635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166" w:rsidRDefault="00A26166" w:rsidP="00A26166">
      <w:pPr>
        <w:kinsoku w:val="0"/>
        <w:wordWrap/>
        <w:overflowPunct w:val="0"/>
        <w:snapToGrid w:val="0"/>
        <w:spacing w:line="480" w:lineRule="auto"/>
        <w:ind w:left="301" w:hanging="301"/>
        <w:rPr>
          <w:bCs/>
        </w:rPr>
      </w:pPr>
      <w:r>
        <w:rPr>
          <w:b/>
          <w:bCs/>
        </w:rPr>
        <w:t>Fig. S1</w:t>
      </w:r>
      <w:r>
        <w:rPr>
          <w:bCs/>
        </w:rPr>
        <w:t xml:space="preserve"> (</w:t>
      </w:r>
      <w:r>
        <w:rPr>
          <w:b/>
          <w:bCs/>
        </w:rPr>
        <w:t>a</w:t>
      </w:r>
      <w:r>
        <w:rPr>
          <w:bCs/>
        </w:rPr>
        <w:t>) Diagram showing the two major nutrient sources: freshwater and deep cold water (DCW). (</w:t>
      </w:r>
      <w:r>
        <w:rPr>
          <w:b/>
          <w:bCs/>
        </w:rPr>
        <w:t>b</w:t>
      </w:r>
      <w:r>
        <w:rPr>
          <w:bCs/>
        </w:rPr>
        <w:t>) The position of the thermocline and DCW. Arrows indicate the direction in which the DCW moves. (</w:t>
      </w:r>
      <w:r>
        <w:rPr>
          <w:b/>
          <w:bCs/>
        </w:rPr>
        <w:t>c</w:t>
      </w:r>
      <w:r>
        <w:rPr>
          <w:bCs/>
        </w:rPr>
        <w:t xml:space="preserve">) Calculated vertical migration depth of the four red-tide species for 10-hour travel (up-down arrows; </w:t>
      </w:r>
      <w:proofErr w:type="spellStart"/>
      <w:r>
        <w:rPr>
          <w:bCs/>
        </w:rPr>
        <w:t>Jeong</w:t>
      </w:r>
      <w:proofErr w:type="spellEnd"/>
      <w:r>
        <w:rPr>
          <w:bCs/>
        </w:rPr>
        <w:t xml:space="preserve"> et al. 2015) when the DCW intrudes or retreats. Under the intermediate condition, only </w:t>
      </w:r>
      <w:proofErr w:type="spellStart"/>
      <w:r>
        <w:rPr>
          <w:bCs/>
          <w:i/>
        </w:rPr>
        <w:t>Alexandrium</w:t>
      </w:r>
      <w:proofErr w:type="spellEnd"/>
      <w:r>
        <w:rPr>
          <w:bCs/>
          <w:i/>
        </w:rPr>
        <w:t xml:space="preserve"> </w:t>
      </w:r>
      <w:proofErr w:type="spellStart"/>
      <w:r>
        <w:rPr>
          <w:bCs/>
          <w:i/>
        </w:rPr>
        <w:t>fraterculus</w:t>
      </w:r>
      <w:proofErr w:type="spellEnd"/>
      <w:r>
        <w:rPr>
          <w:bCs/>
        </w:rPr>
        <w:t xml:space="preserve"> (</w:t>
      </w:r>
      <w:proofErr w:type="spellStart"/>
      <w:r>
        <w:rPr>
          <w:bCs/>
        </w:rPr>
        <w:t>Af</w:t>
      </w:r>
      <w:proofErr w:type="spellEnd"/>
      <w:r>
        <w:rPr>
          <w:bCs/>
        </w:rPr>
        <w:t xml:space="preserve">) and </w:t>
      </w:r>
      <w:proofErr w:type="spellStart"/>
      <w:r>
        <w:rPr>
          <w:bCs/>
          <w:i/>
        </w:rPr>
        <w:t>Margalefidinium</w:t>
      </w:r>
      <w:proofErr w:type="spellEnd"/>
      <w:r>
        <w:rPr>
          <w:bCs/>
          <w:i/>
        </w:rPr>
        <w:t xml:space="preserve"> </w:t>
      </w:r>
      <w:proofErr w:type="spellStart"/>
      <w:r>
        <w:rPr>
          <w:bCs/>
          <w:i/>
        </w:rPr>
        <w:t>polykrikoides</w:t>
      </w:r>
      <w:proofErr w:type="spellEnd"/>
      <w:r>
        <w:rPr>
          <w:bCs/>
        </w:rPr>
        <w:t xml:space="preserve"> (</w:t>
      </w:r>
      <w:proofErr w:type="spellStart"/>
      <w:r>
        <w:rPr>
          <w:bCs/>
        </w:rPr>
        <w:t>Mp</w:t>
      </w:r>
      <w:proofErr w:type="spellEnd"/>
      <w:r>
        <w:rPr>
          <w:bCs/>
        </w:rPr>
        <w:t xml:space="preserve">) can reach the DCW passing through the thermocline. Under the DCW intrusion condition, </w:t>
      </w:r>
      <w:proofErr w:type="spellStart"/>
      <w:r>
        <w:rPr>
          <w:bCs/>
          <w:i/>
        </w:rPr>
        <w:t>Prorocentrum</w:t>
      </w:r>
      <w:proofErr w:type="spellEnd"/>
      <w:r>
        <w:rPr>
          <w:bCs/>
          <w:i/>
        </w:rPr>
        <w:t xml:space="preserve"> </w:t>
      </w:r>
      <w:proofErr w:type="spellStart"/>
      <w:r>
        <w:rPr>
          <w:bCs/>
          <w:i/>
        </w:rPr>
        <w:t>donghaiense</w:t>
      </w:r>
      <w:proofErr w:type="spellEnd"/>
      <w:r>
        <w:rPr>
          <w:bCs/>
        </w:rPr>
        <w:t xml:space="preserve"> (</w:t>
      </w:r>
      <w:proofErr w:type="spellStart"/>
      <w:r>
        <w:rPr>
          <w:bCs/>
        </w:rPr>
        <w:t>Pd</w:t>
      </w:r>
      <w:proofErr w:type="spellEnd"/>
      <w:r>
        <w:rPr>
          <w:bCs/>
        </w:rPr>
        <w:t xml:space="preserve">), </w:t>
      </w:r>
      <w:proofErr w:type="spellStart"/>
      <w:r>
        <w:rPr>
          <w:bCs/>
          <w:i/>
        </w:rPr>
        <w:t>Tripos</w:t>
      </w:r>
      <w:proofErr w:type="spellEnd"/>
      <w:r>
        <w:rPr>
          <w:bCs/>
          <w:i/>
        </w:rPr>
        <w:t xml:space="preserve"> </w:t>
      </w:r>
      <w:proofErr w:type="spellStart"/>
      <w:r>
        <w:rPr>
          <w:bCs/>
          <w:i/>
        </w:rPr>
        <w:t>furca</w:t>
      </w:r>
      <w:proofErr w:type="spellEnd"/>
      <w:r>
        <w:rPr>
          <w:bCs/>
        </w:rPr>
        <w:t xml:space="preserve"> (</w:t>
      </w:r>
      <w:proofErr w:type="spellStart"/>
      <w:r>
        <w:rPr>
          <w:bCs/>
        </w:rPr>
        <w:t>Tf</w:t>
      </w:r>
      <w:proofErr w:type="spellEnd"/>
      <w:r>
        <w:rPr>
          <w:bCs/>
        </w:rPr>
        <w:t xml:space="preserve">), </w:t>
      </w:r>
      <w:proofErr w:type="spellStart"/>
      <w:r>
        <w:rPr>
          <w:bCs/>
        </w:rPr>
        <w:t>Af</w:t>
      </w:r>
      <w:proofErr w:type="spellEnd"/>
      <w:r>
        <w:rPr>
          <w:bCs/>
        </w:rPr>
        <w:t xml:space="preserve">, and </w:t>
      </w:r>
      <w:proofErr w:type="spellStart"/>
      <w:r>
        <w:rPr>
          <w:bCs/>
        </w:rPr>
        <w:t>Mp</w:t>
      </w:r>
      <w:proofErr w:type="spellEnd"/>
      <w:r>
        <w:rPr>
          <w:bCs/>
        </w:rPr>
        <w:t xml:space="preserve"> can reach the DCW. Under the DCW retreat condition, only </w:t>
      </w:r>
      <w:proofErr w:type="spellStart"/>
      <w:r>
        <w:rPr>
          <w:bCs/>
        </w:rPr>
        <w:t>Mp</w:t>
      </w:r>
      <w:proofErr w:type="spellEnd"/>
      <w:r>
        <w:rPr>
          <w:bCs/>
        </w:rPr>
        <w:t xml:space="preserve"> can reach the DCW</w:t>
      </w:r>
      <w:r>
        <w:rPr>
          <w:b/>
          <w:bCs/>
        </w:rPr>
        <w:t xml:space="preserve"> </w:t>
      </w:r>
    </w:p>
    <w:p w:rsidR="00A26166" w:rsidRDefault="00A26166" w:rsidP="00A26166">
      <w:pPr>
        <w:widowControl/>
        <w:wordWrap/>
        <w:autoSpaceDE/>
        <w:autoSpaceDN/>
        <w:spacing w:after="0" w:line="480" w:lineRule="auto"/>
        <w:jc w:val="left"/>
        <w:rPr>
          <w:rFonts w:cs="Times New Roman"/>
          <w:b/>
          <w:kern w:val="0"/>
          <w:szCs w:val="24"/>
        </w:rPr>
        <w:sectPr w:rsidR="00A26166">
          <w:pgSz w:w="11906" w:h="16838"/>
          <w:pgMar w:top="1894" w:right="1644" w:bottom="2166" w:left="1440" w:header="720" w:footer="720" w:gutter="0"/>
          <w:lnNumType w:countBy="1" w:restart="continuous"/>
          <w:cols w:space="720"/>
        </w:sectPr>
      </w:pPr>
    </w:p>
    <w:p w:rsidR="00A26166" w:rsidRDefault="00A26166" w:rsidP="00A26166">
      <w:pPr>
        <w:tabs>
          <w:tab w:val="left" w:pos="-567"/>
        </w:tabs>
        <w:spacing w:line="480" w:lineRule="auto"/>
        <w:ind w:left="300" w:hanging="300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  <w:lang w:eastAsia="en-US"/>
        </w:rPr>
        <w:lastRenderedPageBreak/>
        <w:drawing>
          <wp:inline distT="0" distB="0" distL="0" distR="0">
            <wp:extent cx="5556250" cy="501015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166" w:rsidRDefault="00A26166" w:rsidP="00A26166">
      <w:pPr>
        <w:tabs>
          <w:tab w:val="left" w:pos="-567"/>
        </w:tabs>
        <w:spacing w:line="480" w:lineRule="auto"/>
        <w:ind w:left="300" w:hanging="300"/>
        <w:rPr>
          <w:rFonts w:cs="Times New Roman"/>
          <w:szCs w:val="24"/>
        </w:rPr>
      </w:pPr>
      <w:r>
        <w:rPr>
          <w:rFonts w:cs="Times New Roman"/>
          <w:b/>
          <w:szCs w:val="24"/>
        </w:rPr>
        <w:t>Fig. S2</w:t>
      </w:r>
      <w:r>
        <w:rPr>
          <w:rFonts w:cs="Times New Roman"/>
          <w:szCs w:val="24"/>
        </w:rPr>
        <w:t xml:space="preserve"> Scenarios based on dissolved inorganic nitrogen (DIN; </w:t>
      </w:r>
      <w:r>
        <w:rPr>
          <w:rFonts w:cs="Times New Roman"/>
          <w:b/>
          <w:szCs w:val="24"/>
        </w:rPr>
        <w:t>a–e</w:t>
      </w:r>
      <w:r>
        <w:rPr>
          <w:rFonts w:cs="Times New Roman"/>
          <w:szCs w:val="24"/>
        </w:rPr>
        <w:t>) or PO</w:t>
      </w:r>
      <w:r>
        <w:rPr>
          <w:rFonts w:cs="Times New Roman"/>
          <w:szCs w:val="24"/>
          <w:vertAlign w:val="subscript"/>
        </w:rPr>
        <w:t>4</w:t>
      </w:r>
      <w:r>
        <w:rPr>
          <w:rFonts w:cs="Times New Roman"/>
          <w:szCs w:val="24"/>
        </w:rPr>
        <w:t xml:space="preserve"> concentration (</w:t>
      </w:r>
      <w:r>
        <w:rPr>
          <w:rFonts w:cs="Times New Roman"/>
          <w:b/>
          <w:szCs w:val="24"/>
        </w:rPr>
        <w:t>f–j</w:t>
      </w:r>
      <w:r>
        <w:rPr>
          <w:rFonts w:cs="Times New Roman"/>
          <w:szCs w:val="24"/>
        </w:rPr>
        <w:t>) at each depth for red-tide formation of each dinoflagellate species during intrusion or retreat of deep cold waters. Measured or calculated growth rate (GR; d</w:t>
      </w:r>
      <w:r>
        <w:rPr>
          <w:rFonts w:cs="Times New Roman"/>
          <w:szCs w:val="24"/>
          <w:vertAlign w:val="superscript"/>
        </w:rPr>
        <w:t>-1</w:t>
      </w:r>
      <w:r>
        <w:rPr>
          <w:rFonts w:cs="Times New Roman"/>
          <w:szCs w:val="24"/>
        </w:rPr>
        <w:t xml:space="preserve">) of each red-tide species for </w:t>
      </w:r>
      <w:proofErr w:type="spellStart"/>
      <w:r>
        <w:rPr>
          <w:rFonts w:cs="Times New Roman"/>
          <w:szCs w:val="24"/>
        </w:rPr>
        <w:t>nitracline</w:t>
      </w:r>
      <w:proofErr w:type="spellEnd"/>
      <w:r>
        <w:rPr>
          <w:rFonts w:cs="Times New Roman"/>
          <w:szCs w:val="24"/>
        </w:rPr>
        <w:t xml:space="preserve"> or </w:t>
      </w:r>
      <w:proofErr w:type="spellStart"/>
      <w:r>
        <w:rPr>
          <w:rFonts w:cs="Times New Roman"/>
          <w:szCs w:val="24"/>
        </w:rPr>
        <w:t>phosphocline</w:t>
      </w:r>
      <w:proofErr w:type="spellEnd"/>
      <w:r>
        <w:rPr>
          <w:rFonts w:cs="Times New Roman"/>
          <w:szCs w:val="24"/>
        </w:rPr>
        <w:t xml:space="preserve"> positions on July 31, 2020, at Station 111 (</w:t>
      </w:r>
      <w:r>
        <w:rPr>
          <w:rFonts w:cs="Times New Roman"/>
          <w:b/>
          <w:szCs w:val="24"/>
        </w:rPr>
        <w:t>c, h</w:t>
      </w:r>
      <w:r>
        <w:rPr>
          <w:rFonts w:cs="Times New Roman"/>
          <w:szCs w:val="24"/>
        </w:rPr>
        <w:t>); ascended by 10 m (</w:t>
      </w:r>
      <w:r>
        <w:rPr>
          <w:rFonts w:cs="Times New Roman"/>
          <w:b/>
          <w:szCs w:val="24"/>
        </w:rPr>
        <w:t>b, g</w:t>
      </w:r>
      <w:r>
        <w:rPr>
          <w:rFonts w:cs="Times New Roman"/>
          <w:szCs w:val="24"/>
        </w:rPr>
        <w:t>) and 30 m (</w:t>
      </w:r>
      <w:r>
        <w:rPr>
          <w:rFonts w:cs="Times New Roman"/>
          <w:b/>
          <w:szCs w:val="24"/>
        </w:rPr>
        <w:t>a, f</w:t>
      </w:r>
      <w:r>
        <w:rPr>
          <w:rFonts w:cs="Times New Roman"/>
          <w:szCs w:val="24"/>
        </w:rPr>
        <w:t>) by the deep cold water intrusion; and descended by 10 m (</w:t>
      </w:r>
      <w:r>
        <w:rPr>
          <w:rFonts w:cs="Times New Roman"/>
          <w:b/>
          <w:szCs w:val="24"/>
        </w:rPr>
        <w:t xml:space="preserve">d, </w:t>
      </w:r>
      <w:proofErr w:type="spellStart"/>
      <w:r>
        <w:rPr>
          <w:rFonts w:cs="Times New Roman"/>
          <w:b/>
          <w:szCs w:val="24"/>
        </w:rPr>
        <w:t>i</w:t>
      </w:r>
      <w:proofErr w:type="spellEnd"/>
      <w:r>
        <w:rPr>
          <w:rFonts w:cs="Times New Roman"/>
          <w:szCs w:val="24"/>
        </w:rPr>
        <w:t>) and 30 m (</w:t>
      </w:r>
      <w:r>
        <w:rPr>
          <w:rFonts w:cs="Times New Roman"/>
          <w:b/>
          <w:szCs w:val="24"/>
        </w:rPr>
        <w:t>e, j</w:t>
      </w:r>
      <w:r>
        <w:rPr>
          <w:rFonts w:cs="Times New Roman"/>
          <w:szCs w:val="24"/>
        </w:rPr>
        <w:t>) by the deep cold water retreat. Closed circles indicate the DIN or PO</w:t>
      </w:r>
      <w:r>
        <w:rPr>
          <w:rFonts w:cs="Times New Roman"/>
          <w:szCs w:val="24"/>
          <w:vertAlign w:val="subscript"/>
        </w:rPr>
        <w:t>4</w:t>
      </w:r>
      <w:r>
        <w:rPr>
          <w:rFonts w:cs="Times New Roman"/>
          <w:szCs w:val="24"/>
        </w:rPr>
        <w:t xml:space="preserve"> concentration (µM) at each given depth. Upward and downward arrows in each box indicate range of vertical migration depth of each species for 10 h (</w:t>
      </w:r>
      <w:proofErr w:type="spellStart"/>
      <w:r>
        <w:rPr>
          <w:rFonts w:cs="Times New Roman"/>
          <w:szCs w:val="24"/>
        </w:rPr>
        <w:t>Jeong</w:t>
      </w:r>
      <w:proofErr w:type="spellEnd"/>
      <w:r>
        <w:rPr>
          <w:rFonts w:cs="Times New Roman"/>
          <w:szCs w:val="24"/>
        </w:rPr>
        <w:t xml:space="preserve"> et al. </w:t>
      </w:r>
      <w:r>
        <w:rPr>
          <w:rFonts w:cs="Times New Roman"/>
          <w:szCs w:val="24"/>
        </w:rPr>
        <w:lastRenderedPageBreak/>
        <w:t>2015). The species name in red indicates the dominant species under each given condition, which was determined by combining the relative growth rates of the four species at a given depth (</w:t>
      </w:r>
      <w:proofErr w:type="spellStart"/>
      <w:r>
        <w:rPr>
          <w:rFonts w:cs="Times New Roman"/>
          <w:szCs w:val="24"/>
        </w:rPr>
        <w:t>GR@Depth</w:t>
      </w:r>
      <w:proofErr w:type="spellEnd"/>
      <w:r>
        <w:rPr>
          <w:rFonts w:cs="Times New Roman"/>
          <w:szCs w:val="24"/>
        </w:rPr>
        <w:t xml:space="preserve">), vertical migration depths (m), and position of deep cold waters (or </w:t>
      </w:r>
      <w:proofErr w:type="spellStart"/>
      <w:r>
        <w:rPr>
          <w:rFonts w:cs="Times New Roman"/>
          <w:szCs w:val="24"/>
        </w:rPr>
        <w:t>nitracline</w:t>
      </w:r>
      <w:proofErr w:type="spellEnd"/>
      <w:r>
        <w:rPr>
          <w:rFonts w:cs="Times New Roman"/>
          <w:szCs w:val="24"/>
        </w:rPr>
        <w:t xml:space="preserve"> or </w:t>
      </w:r>
      <w:proofErr w:type="spellStart"/>
      <w:r>
        <w:rPr>
          <w:rFonts w:cs="Times New Roman"/>
          <w:szCs w:val="24"/>
        </w:rPr>
        <w:t>phosphocline</w:t>
      </w:r>
      <w:proofErr w:type="spellEnd"/>
      <w:r>
        <w:rPr>
          <w:rFonts w:cs="Times New Roman"/>
          <w:szCs w:val="24"/>
        </w:rPr>
        <w:t xml:space="preserve">). The species with the highest growth rate was selected as the dominant species as well as 1–2 additional species if their growth rates were &gt;2/3 of the growth rate of the species with the highest growth rate at a given depth. </w:t>
      </w:r>
      <w:proofErr w:type="spellStart"/>
      <w:r>
        <w:rPr>
          <w:rFonts w:cs="Times New Roman"/>
          <w:szCs w:val="24"/>
        </w:rPr>
        <w:t>Pd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Prorocentrum</w:t>
      </w:r>
      <w:proofErr w:type="spellEnd"/>
      <w:r>
        <w:rPr>
          <w:rFonts w:cs="Times New Roman"/>
          <w:i/>
          <w:szCs w:val="24"/>
        </w:rPr>
        <w:t xml:space="preserve"> </w:t>
      </w:r>
      <w:proofErr w:type="spellStart"/>
      <w:r>
        <w:rPr>
          <w:rFonts w:cs="Times New Roman"/>
          <w:i/>
          <w:szCs w:val="24"/>
        </w:rPr>
        <w:t>donghaiense</w:t>
      </w:r>
      <w:proofErr w:type="spellEnd"/>
      <w:r>
        <w:rPr>
          <w:rFonts w:cs="Times New Roman"/>
          <w:szCs w:val="24"/>
        </w:rPr>
        <w:t xml:space="preserve">; </w:t>
      </w:r>
      <w:proofErr w:type="spellStart"/>
      <w:r>
        <w:rPr>
          <w:rFonts w:cs="Times New Roman"/>
          <w:szCs w:val="24"/>
        </w:rPr>
        <w:t>Tf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Tripos</w:t>
      </w:r>
      <w:proofErr w:type="spellEnd"/>
      <w:r>
        <w:rPr>
          <w:rFonts w:cs="Times New Roman"/>
          <w:i/>
          <w:szCs w:val="24"/>
        </w:rPr>
        <w:t xml:space="preserve"> </w:t>
      </w:r>
      <w:proofErr w:type="spellStart"/>
      <w:r>
        <w:rPr>
          <w:rFonts w:cs="Times New Roman"/>
          <w:i/>
          <w:szCs w:val="24"/>
        </w:rPr>
        <w:t>furca</w:t>
      </w:r>
      <w:proofErr w:type="spellEnd"/>
      <w:r>
        <w:rPr>
          <w:rFonts w:cs="Times New Roman"/>
          <w:szCs w:val="24"/>
        </w:rPr>
        <w:t xml:space="preserve">; </w:t>
      </w:r>
      <w:proofErr w:type="spellStart"/>
      <w:r>
        <w:rPr>
          <w:rFonts w:cs="Times New Roman"/>
          <w:szCs w:val="24"/>
        </w:rPr>
        <w:t>Af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Alexandrium</w:t>
      </w:r>
      <w:proofErr w:type="spellEnd"/>
      <w:r>
        <w:rPr>
          <w:rFonts w:cs="Times New Roman"/>
          <w:i/>
          <w:szCs w:val="24"/>
        </w:rPr>
        <w:t xml:space="preserve"> </w:t>
      </w:r>
      <w:proofErr w:type="spellStart"/>
      <w:r>
        <w:rPr>
          <w:rFonts w:cs="Times New Roman"/>
          <w:i/>
          <w:szCs w:val="24"/>
        </w:rPr>
        <w:t>fraterculus</w:t>
      </w:r>
      <w:proofErr w:type="spellEnd"/>
      <w:r>
        <w:rPr>
          <w:rFonts w:cs="Times New Roman"/>
          <w:szCs w:val="24"/>
        </w:rPr>
        <w:t xml:space="preserve">; </w:t>
      </w:r>
      <w:proofErr w:type="spellStart"/>
      <w:r>
        <w:rPr>
          <w:rFonts w:cs="Times New Roman"/>
          <w:szCs w:val="24"/>
        </w:rPr>
        <w:t>Mp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Margalefidinium</w:t>
      </w:r>
      <w:proofErr w:type="spellEnd"/>
      <w:r>
        <w:rPr>
          <w:rFonts w:cs="Times New Roman"/>
          <w:i/>
          <w:szCs w:val="24"/>
        </w:rPr>
        <w:t xml:space="preserve"> </w:t>
      </w:r>
      <w:proofErr w:type="spellStart"/>
      <w:r>
        <w:rPr>
          <w:rFonts w:cs="Times New Roman"/>
          <w:i/>
          <w:szCs w:val="24"/>
        </w:rPr>
        <w:t>polykrikoides</w:t>
      </w:r>
      <w:proofErr w:type="spellEnd"/>
    </w:p>
    <w:p w:rsidR="00A26166" w:rsidRDefault="00A26166" w:rsidP="00A26166">
      <w:pPr>
        <w:widowControl/>
        <w:wordWrap/>
        <w:autoSpaceDE/>
        <w:autoSpaceDN/>
        <w:spacing w:after="0" w:line="480" w:lineRule="auto"/>
        <w:jc w:val="left"/>
        <w:rPr>
          <w:rFonts w:cs="Times New Roman"/>
          <w:b/>
          <w:kern w:val="0"/>
          <w:szCs w:val="24"/>
        </w:rPr>
        <w:sectPr w:rsidR="00A26166">
          <w:pgSz w:w="11906" w:h="16838"/>
          <w:pgMar w:top="1894" w:right="1644" w:bottom="2166" w:left="1440" w:header="720" w:footer="720" w:gutter="0"/>
          <w:lnNumType w:countBy="1" w:restart="continuous"/>
          <w:cols w:space="720"/>
        </w:sectPr>
      </w:pPr>
    </w:p>
    <w:p w:rsidR="00A26166" w:rsidRDefault="00A26166" w:rsidP="00A26166">
      <w:pPr>
        <w:tabs>
          <w:tab w:val="left" w:pos="-567"/>
        </w:tabs>
        <w:spacing w:line="480" w:lineRule="auto"/>
        <w:ind w:left="300" w:hanging="300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  <w:lang w:eastAsia="en-US"/>
        </w:rPr>
        <w:lastRenderedPageBreak/>
        <w:drawing>
          <wp:inline distT="0" distB="0" distL="0" distR="0">
            <wp:extent cx="2990850" cy="5772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166" w:rsidRDefault="00A26166" w:rsidP="00A26166">
      <w:pPr>
        <w:tabs>
          <w:tab w:val="left" w:pos="-567"/>
        </w:tabs>
        <w:spacing w:line="480" w:lineRule="auto"/>
        <w:ind w:left="300" w:hanging="300"/>
        <w:rPr>
          <w:rFonts w:cs="Times New Roman"/>
          <w:szCs w:val="24"/>
        </w:rPr>
      </w:pPr>
      <w:r>
        <w:rPr>
          <w:rFonts w:cs="Times New Roman"/>
          <w:b/>
          <w:szCs w:val="24"/>
        </w:rPr>
        <w:t>Fig. S3</w:t>
      </w:r>
      <w:r>
        <w:rPr>
          <w:rFonts w:cs="Times New Roman"/>
          <w:szCs w:val="24"/>
        </w:rPr>
        <w:t xml:space="preserve"> Integrative scenarios based on combination of dissolved inorganic nitrogen (DIN) and PO</w:t>
      </w:r>
      <w:r>
        <w:rPr>
          <w:rFonts w:cs="Times New Roman"/>
          <w:szCs w:val="24"/>
          <w:vertAlign w:val="subscript"/>
        </w:rPr>
        <w:t>4</w:t>
      </w:r>
      <w:r>
        <w:rPr>
          <w:rFonts w:cs="Times New Roman"/>
          <w:szCs w:val="24"/>
        </w:rPr>
        <w:t xml:space="preserve"> concentration at each depth from </w:t>
      </w:r>
      <w:r>
        <w:rPr>
          <w:rFonts w:cs="Times New Roman"/>
          <w:b/>
          <w:szCs w:val="24"/>
        </w:rPr>
        <w:t xml:space="preserve">Fig. S2 </w:t>
      </w:r>
      <w:r>
        <w:rPr>
          <w:rFonts w:cs="Times New Roman"/>
          <w:szCs w:val="24"/>
        </w:rPr>
        <w:t>for red-tide formation of each dinoflagellate species during intrusion or retreat of deep cold waters. Measured or calculated growth rate (GR; d</w:t>
      </w:r>
      <w:r>
        <w:rPr>
          <w:rFonts w:cs="Times New Roman"/>
          <w:szCs w:val="24"/>
          <w:vertAlign w:val="superscript"/>
        </w:rPr>
        <w:t>-1</w:t>
      </w:r>
      <w:r>
        <w:rPr>
          <w:rFonts w:cs="Times New Roman"/>
          <w:szCs w:val="24"/>
        </w:rPr>
        <w:t xml:space="preserve">) of each red-tide species for </w:t>
      </w:r>
      <w:proofErr w:type="spellStart"/>
      <w:r>
        <w:rPr>
          <w:rFonts w:cs="Times New Roman"/>
          <w:szCs w:val="24"/>
        </w:rPr>
        <w:t>nitracline</w:t>
      </w:r>
      <w:proofErr w:type="spellEnd"/>
      <w:r>
        <w:rPr>
          <w:rFonts w:cs="Times New Roman"/>
          <w:szCs w:val="24"/>
        </w:rPr>
        <w:t xml:space="preserve"> or </w:t>
      </w:r>
      <w:proofErr w:type="spellStart"/>
      <w:r>
        <w:rPr>
          <w:rFonts w:cs="Times New Roman"/>
          <w:szCs w:val="24"/>
        </w:rPr>
        <w:t>phosphocline</w:t>
      </w:r>
      <w:proofErr w:type="spellEnd"/>
      <w:r>
        <w:rPr>
          <w:rFonts w:cs="Times New Roman"/>
          <w:szCs w:val="24"/>
        </w:rPr>
        <w:t xml:space="preserve"> positions on July 31, 2020, at Station 111 (</w:t>
      </w:r>
      <w:r>
        <w:rPr>
          <w:rFonts w:cs="Times New Roman"/>
          <w:b/>
          <w:szCs w:val="24"/>
        </w:rPr>
        <w:t>c</w:t>
      </w:r>
      <w:r>
        <w:rPr>
          <w:rFonts w:cs="Times New Roman"/>
          <w:szCs w:val="24"/>
        </w:rPr>
        <w:t>); ascended by 10 m (</w:t>
      </w:r>
      <w:r>
        <w:rPr>
          <w:rFonts w:cs="Times New Roman"/>
          <w:b/>
          <w:szCs w:val="24"/>
        </w:rPr>
        <w:t>b</w:t>
      </w:r>
      <w:r>
        <w:rPr>
          <w:rFonts w:cs="Times New Roman"/>
          <w:szCs w:val="24"/>
        </w:rPr>
        <w:t>) and 30 m (</w:t>
      </w:r>
      <w:r>
        <w:rPr>
          <w:rFonts w:cs="Times New Roman"/>
          <w:b/>
          <w:szCs w:val="24"/>
        </w:rPr>
        <w:t>a</w:t>
      </w:r>
      <w:r>
        <w:rPr>
          <w:rFonts w:cs="Times New Roman"/>
          <w:szCs w:val="24"/>
        </w:rPr>
        <w:t>) by the deep cold water intrusion; and descended by 10 m (</w:t>
      </w:r>
      <w:r>
        <w:rPr>
          <w:rFonts w:cs="Times New Roman"/>
          <w:b/>
          <w:szCs w:val="24"/>
        </w:rPr>
        <w:t>d</w:t>
      </w:r>
      <w:r>
        <w:rPr>
          <w:rFonts w:cs="Times New Roman"/>
          <w:szCs w:val="24"/>
        </w:rPr>
        <w:t>) and 30 m (</w:t>
      </w:r>
      <w:r>
        <w:rPr>
          <w:rFonts w:cs="Times New Roman"/>
          <w:b/>
          <w:szCs w:val="24"/>
        </w:rPr>
        <w:t>e</w:t>
      </w:r>
      <w:r>
        <w:rPr>
          <w:rFonts w:cs="Times New Roman"/>
          <w:szCs w:val="24"/>
        </w:rPr>
        <w:t xml:space="preserve">) by deep cold water retreat. The lower of two GRs of each species at each </w:t>
      </w:r>
      <w:r>
        <w:rPr>
          <w:rFonts w:cs="Times New Roman"/>
          <w:szCs w:val="24"/>
        </w:rPr>
        <w:lastRenderedPageBreak/>
        <w:t>depth was selected in the scenarios based on DIN and PO</w:t>
      </w:r>
      <w:r>
        <w:rPr>
          <w:rFonts w:cs="Times New Roman"/>
          <w:szCs w:val="24"/>
          <w:vertAlign w:val="subscript"/>
        </w:rPr>
        <w:t>4</w:t>
      </w:r>
      <w:r>
        <w:rPr>
          <w:rFonts w:cs="Times New Roman"/>
          <w:szCs w:val="24"/>
        </w:rPr>
        <w:t xml:space="preserve"> concentrations at each depth (</w:t>
      </w:r>
      <w:r>
        <w:rPr>
          <w:rFonts w:cs="Times New Roman"/>
          <w:b/>
          <w:szCs w:val="24"/>
        </w:rPr>
        <w:t xml:space="preserve">Fig. S2a–e </w:t>
      </w:r>
      <w:r>
        <w:rPr>
          <w:rFonts w:cs="Times New Roman"/>
          <w:szCs w:val="24"/>
        </w:rPr>
        <w:t xml:space="preserve">and </w:t>
      </w:r>
      <w:r>
        <w:rPr>
          <w:rFonts w:cs="Times New Roman"/>
          <w:b/>
          <w:szCs w:val="24"/>
        </w:rPr>
        <w:t>Fig. S2f–j</w:t>
      </w:r>
      <w:r>
        <w:rPr>
          <w:rFonts w:cs="Times New Roman"/>
          <w:szCs w:val="24"/>
        </w:rPr>
        <w:t>, respectively). Upward and downward arrows in each box indicate range of vertical migration depth of each species for 10 h (</w:t>
      </w:r>
      <w:proofErr w:type="spellStart"/>
      <w:r>
        <w:rPr>
          <w:rFonts w:cs="Times New Roman"/>
          <w:szCs w:val="24"/>
        </w:rPr>
        <w:t>Jeong</w:t>
      </w:r>
      <w:proofErr w:type="spellEnd"/>
      <w:r>
        <w:rPr>
          <w:rFonts w:cs="Times New Roman"/>
          <w:szCs w:val="24"/>
        </w:rPr>
        <w:t xml:space="preserve"> et al. 2015). The species name in red indicates the dominant species under each given condition, which was determined by combining the relative growth rates of the four species at a given depth (</w:t>
      </w:r>
      <w:proofErr w:type="spellStart"/>
      <w:r>
        <w:rPr>
          <w:rFonts w:cs="Times New Roman"/>
          <w:szCs w:val="24"/>
        </w:rPr>
        <w:t>GR@Depth</w:t>
      </w:r>
      <w:proofErr w:type="spellEnd"/>
      <w:r>
        <w:rPr>
          <w:rFonts w:cs="Times New Roman"/>
          <w:szCs w:val="24"/>
        </w:rPr>
        <w:t xml:space="preserve">), vertical migration depths (m), and position of deep cold waters (or </w:t>
      </w:r>
      <w:proofErr w:type="spellStart"/>
      <w:r>
        <w:rPr>
          <w:rFonts w:cs="Times New Roman"/>
          <w:szCs w:val="24"/>
        </w:rPr>
        <w:t>nitracline</w:t>
      </w:r>
      <w:proofErr w:type="spellEnd"/>
      <w:r>
        <w:rPr>
          <w:rFonts w:cs="Times New Roman"/>
          <w:szCs w:val="24"/>
        </w:rPr>
        <w:t xml:space="preserve"> or </w:t>
      </w:r>
      <w:proofErr w:type="spellStart"/>
      <w:r>
        <w:rPr>
          <w:rFonts w:cs="Times New Roman"/>
          <w:szCs w:val="24"/>
        </w:rPr>
        <w:t>phosphocline</w:t>
      </w:r>
      <w:proofErr w:type="spellEnd"/>
      <w:r>
        <w:rPr>
          <w:rFonts w:cs="Times New Roman"/>
          <w:szCs w:val="24"/>
        </w:rPr>
        <w:t xml:space="preserve">). The species with the highest growth rate was selected as the dominant species as well as 1–2 additional species if their growth rates were &gt; 2/3 of the growth rate of the species with the highest growth rate at a given depth. </w:t>
      </w:r>
      <w:proofErr w:type="spellStart"/>
      <w:r>
        <w:rPr>
          <w:rFonts w:cs="Times New Roman"/>
          <w:szCs w:val="24"/>
        </w:rPr>
        <w:t>Pd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Prorocentrum</w:t>
      </w:r>
      <w:proofErr w:type="spellEnd"/>
      <w:r>
        <w:rPr>
          <w:rFonts w:cs="Times New Roman"/>
          <w:i/>
          <w:szCs w:val="24"/>
        </w:rPr>
        <w:t xml:space="preserve"> </w:t>
      </w:r>
      <w:proofErr w:type="spellStart"/>
      <w:r>
        <w:rPr>
          <w:rFonts w:cs="Times New Roman"/>
          <w:i/>
          <w:szCs w:val="24"/>
        </w:rPr>
        <w:t>donghaiense</w:t>
      </w:r>
      <w:proofErr w:type="spellEnd"/>
      <w:r>
        <w:rPr>
          <w:rFonts w:cs="Times New Roman"/>
          <w:szCs w:val="24"/>
        </w:rPr>
        <w:t xml:space="preserve">; </w:t>
      </w:r>
      <w:proofErr w:type="spellStart"/>
      <w:r>
        <w:rPr>
          <w:rFonts w:cs="Times New Roman"/>
          <w:szCs w:val="24"/>
        </w:rPr>
        <w:t>Tf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Tripos</w:t>
      </w:r>
      <w:proofErr w:type="spellEnd"/>
      <w:r>
        <w:rPr>
          <w:rFonts w:cs="Times New Roman"/>
          <w:i/>
          <w:szCs w:val="24"/>
        </w:rPr>
        <w:t xml:space="preserve"> </w:t>
      </w:r>
      <w:proofErr w:type="spellStart"/>
      <w:r>
        <w:rPr>
          <w:rFonts w:cs="Times New Roman"/>
          <w:i/>
          <w:szCs w:val="24"/>
        </w:rPr>
        <w:t>furca</w:t>
      </w:r>
      <w:proofErr w:type="spellEnd"/>
      <w:r>
        <w:rPr>
          <w:rFonts w:cs="Times New Roman"/>
          <w:szCs w:val="24"/>
        </w:rPr>
        <w:t xml:space="preserve">; </w:t>
      </w:r>
      <w:proofErr w:type="spellStart"/>
      <w:r>
        <w:rPr>
          <w:rFonts w:cs="Times New Roman"/>
          <w:szCs w:val="24"/>
        </w:rPr>
        <w:t>Af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Alexandrium</w:t>
      </w:r>
      <w:proofErr w:type="spellEnd"/>
      <w:r>
        <w:rPr>
          <w:rFonts w:cs="Times New Roman"/>
          <w:i/>
          <w:szCs w:val="24"/>
        </w:rPr>
        <w:t xml:space="preserve"> </w:t>
      </w:r>
      <w:proofErr w:type="spellStart"/>
      <w:r>
        <w:rPr>
          <w:rFonts w:cs="Times New Roman"/>
          <w:i/>
          <w:szCs w:val="24"/>
        </w:rPr>
        <w:t>fraterculus</w:t>
      </w:r>
      <w:proofErr w:type="spellEnd"/>
      <w:r>
        <w:rPr>
          <w:rFonts w:cs="Times New Roman"/>
          <w:szCs w:val="24"/>
        </w:rPr>
        <w:t xml:space="preserve">; </w:t>
      </w:r>
      <w:proofErr w:type="spellStart"/>
      <w:r>
        <w:rPr>
          <w:rFonts w:cs="Times New Roman"/>
          <w:szCs w:val="24"/>
        </w:rPr>
        <w:t>Mp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Margalefidinium</w:t>
      </w:r>
      <w:proofErr w:type="spellEnd"/>
      <w:r>
        <w:rPr>
          <w:rFonts w:cs="Times New Roman"/>
          <w:i/>
          <w:szCs w:val="24"/>
        </w:rPr>
        <w:t xml:space="preserve"> </w:t>
      </w:r>
      <w:proofErr w:type="spellStart"/>
      <w:r>
        <w:rPr>
          <w:rFonts w:cs="Times New Roman"/>
          <w:i/>
          <w:szCs w:val="24"/>
        </w:rPr>
        <w:t>polykrikoides</w:t>
      </w:r>
      <w:proofErr w:type="spellEnd"/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166"/>
    <w:rsid w:val="00A2616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818280-222E-49E5-87DB-0A1CC656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166"/>
    <w:pPr>
      <w:widowControl w:val="0"/>
      <w:wordWrap w:val="0"/>
      <w:autoSpaceDE w:val="0"/>
      <w:autoSpaceDN w:val="0"/>
      <w:spacing w:line="256" w:lineRule="auto"/>
      <w:jc w:val="both"/>
    </w:pPr>
    <w:rPr>
      <w:rFonts w:ascii="Times New Roman" w:eastAsiaTheme="minorEastAsia" w:hAnsi="Times New Roman"/>
      <w:kern w:val="2"/>
      <w:sz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26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66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2022-07-13T09:55:00Z</dcterms:created>
  <dcterms:modified xsi:type="dcterms:W3CDTF">2022-07-13T09:55:00Z</dcterms:modified>
</cp:coreProperties>
</file>