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A496D5" w14:textId="5B956B2C" w:rsidR="009C3FB5" w:rsidRPr="009C3FB5" w:rsidRDefault="009C3FB5" w:rsidP="009C3FB5">
      <w:pPr>
        <w:rPr>
          <w:rFonts w:ascii="Times New Roman" w:eastAsia="等线" w:hAnsi="Times New Roman" w:cs="Times New Roman"/>
          <w:sz w:val="22"/>
        </w:rPr>
      </w:pPr>
      <w:bookmarkStart w:id="0" w:name="_Hlk25249341"/>
      <w:bookmarkStart w:id="1" w:name="_GoBack"/>
      <w:r w:rsidRPr="009C3FB5">
        <w:rPr>
          <w:rFonts w:ascii="Times New Roman" w:eastAsia="等线" w:hAnsi="Times New Roman" w:cs="Times New Roman"/>
          <w:sz w:val="22"/>
        </w:rPr>
        <w:t xml:space="preserve">Supplement </w:t>
      </w:r>
      <w:r w:rsidRPr="009C3FB5">
        <w:rPr>
          <w:rFonts w:ascii="Times New Roman" w:eastAsia="等线" w:hAnsi="Times New Roman" w:cs="Times New Roman" w:hint="eastAsia"/>
          <w:sz w:val="22"/>
        </w:rPr>
        <w:t>T</w:t>
      </w:r>
      <w:r w:rsidRPr="009C3FB5">
        <w:rPr>
          <w:rFonts w:ascii="Times New Roman" w:eastAsia="等线" w:hAnsi="Times New Roman" w:cs="Times New Roman"/>
          <w:sz w:val="22"/>
        </w:rPr>
        <w:t xml:space="preserve">able </w:t>
      </w:r>
      <w:r>
        <w:rPr>
          <w:rFonts w:ascii="Times New Roman" w:eastAsia="等线" w:hAnsi="Times New Roman" w:cs="Times New Roman"/>
          <w:sz w:val="22"/>
        </w:rPr>
        <w:t>1</w:t>
      </w:r>
      <w:r w:rsidRPr="009C3FB5">
        <w:rPr>
          <w:rFonts w:ascii="Times New Roman" w:eastAsia="等线" w:hAnsi="Times New Roman" w:cs="Times New Roman" w:hint="eastAsia"/>
          <w:sz w:val="22"/>
        </w:rPr>
        <w:t>:</w:t>
      </w:r>
      <w:r w:rsidRPr="009C3FB5">
        <w:rPr>
          <w:rFonts w:ascii="Times New Roman" w:eastAsia="等线" w:hAnsi="Times New Roman" w:cs="Times New Roman"/>
          <w:sz w:val="22"/>
        </w:rPr>
        <w:t xml:space="preserve"> The detailed Mate analysis results of various common adverse events.</w:t>
      </w:r>
    </w:p>
    <w:tbl>
      <w:tblPr>
        <w:tblStyle w:val="1"/>
        <w:tblpPr w:leftFromText="180" w:rightFromText="180" w:vertAnchor="page" w:horzAnchor="margin" w:tblpXSpec="center" w:tblpY="1891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992"/>
        <w:gridCol w:w="1271"/>
        <w:gridCol w:w="1843"/>
        <w:gridCol w:w="2835"/>
      </w:tblGrid>
      <w:tr w:rsidR="009C3FB5" w:rsidRPr="009C3FB5" w14:paraId="23C7C3E0" w14:textId="77777777" w:rsidTr="005B4E45">
        <w:trPr>
          <w:trHeight w:val="397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3B4CCF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Adverse event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FE7C76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Studies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99DDA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Participants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965A6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OR (</w:t>
            </w: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O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dds Ratio)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D66A5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9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5%CI (confidence interval)</w:t>
            </w:r>
          </w:p>
        </w:tc>
      </w:tr>
      <w:tr w:rsidR="009C3FB5" w:rsidRPr="009C3FB5" w14:paraId="0BA3AAA2" w14:textId="77777777" w:rsidTr="005B4E45">
        <w:trPr>
          <w:trHeight w:val="397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41B22CA3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Blood uric acid increased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B672EE5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707F048B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82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3DE445A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6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.01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10F11447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1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.11-32.56</w:t>
            </w:r>
          </w:p>
        </w:tc>
      </w:tr>
      <w:tr w:rsidR="009C3FB5" w:rsidRPr="009C3FB5" w14:paraId="736C21A5" w14:textId="77777777" w:rsidTr="005B4E45">
        <w:trPr>
          <w:trHeight w:val="397"/>
        </w:trPr>
        <w:tc>
          <w:tcPr>
            <w:tcW w:w="2552" w:type="dxa"/>
            <w:vAlign w:val="center"/>
          </w:tcPr>
          <w:p w14:paraId="20D5BD3B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Pollakiuria</w:t>
            </w:r>
          </w:p>
        </w:tc>
        <w:tc>
          <w:tcPr>
            <w:tcW w:w="992" w:type="dxa"/>
            <w:vAlign w:val="center"/>
          </w:tcPr>
          <w:p w14:paraId="42C932A3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4</w:t>
            </w:r>
          </w:p>
        </w:tc>
        <w:tc>
          <w:tcPr>
            <w:tcW w:w="1271" w:type="dxa"/>
            <w:vAlign w:val="center"/>
          </w:tcPr>
          <w:p w14:paraId="3BA86584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5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00</w:t>
            </w:r>
          </w:p>
        </w:tc>
        <w:tc>
          <w:tcPr>
            <w:tcW w:w="1843" w:type="dxa"/>
            <w:vAlign w:val="center"/>
          </w:tcPr>
          <w:p w14:paraId="464B4BAD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.68</w:t>
            </w:r>
          </w:p>
        </w:tc>
        <w:tc>
          <w:tcPr>
            <w:tcW w:w="2835" w:type="dxa"/>
            <w:vAlign w:val="center"/>
          </w:tcPr>
          <w:p w14:paraId="51A2F3B4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.32-22.26</w:t>
            </w:r>
          </w:p>
        </w:tc>
      </w:tr>
      <w:tr w:rsidR="009C3FB5" w:rsidRPr="009C3FB5" w14:paraId="0AFFAEAC" w14:textId="77777777" w:rsidTr="005B4E45">
        <w:trPr>
          <w:trHeight w:val="397"/>
        </w:trPr>
        <w:tc>
          <w:tcPr>
            <w:tcW w:w="2552" w:type="dxa"/>
            <w:vAlign w:val="center"/>
          </w:tcPr>
          <w:p w14:paraId="1653AE4E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Thirst</w:t>
            </w:r>
          </w:p>
        </w:tc>
        <w:tc>
          <w:tcPr>
            <w:tcW w:w="992" w:type="dxa"/>
            <w:vAlign w:val="center"/>
          </w:tcPr>
          <w:p w14:paraId="2352A773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4</w:t>
            </w:r>
          </w:p>
        </w:tc>
        <w:tc>
          <w:tcPr>
            <w:tcW w:w="1271" w:type="dxa"/>
            <w:vAlign w:val="center"/>
          </w:tcPr>
          <w:p w14:paraId="34EEBAB3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5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00</w:t>
            </w:r>
          </w:p>
        </w:tc>
        <w:tc>
          <w:tcPr>
            <w:tcW w:w="1843" w:type="dxa"/>
            <w:vAlign w:val="center"/>
          </w:tcPr>
          <w:p w14:paraId="457D2949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.67</w:t>
            </w:r>
          </w:p>
        </w:tc>
        <w:tc>
          <w:tcPr>
            <w:tcW w:w="2835" w:type="dxa"/>
            <w:vAlign w:val="center"/>
          </w:tcPr>
          <w:p w14:paraId="6DA5C190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.36-19.80</w:t>
            </w:r>
          </w:p>
        </w:tc>
      </w:tr>
      <w:tr w:rsidR="009C3FB5" w:rsidRPr="009C3FB5" w14:paraId="6BEC5B2C" w14:textId="77777777" w:rsidTr="005B4E45">
        <w:trPr>
          <w:trHeight w:val="397"/>
        </w:trPr>
        <w:tc>
          <w:tcPr>
            <w:tcW w:w="2552" w:type="dxa"/>
            <w:vAlign w:val="center"/>
          </w:tcPr>
          <w:p w14:paraId="0DDCAB9E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Constipation</w:t>
            </w:r>
          </w:p>
        </w:tc>
        <w:tc>
          <w:tcPr>
            <w:tcW w:w="992" w:type="dxa"/>
            <w:vAlign w:val="center"/>
          </w:tcPr>
          <w:p w14:paraId="65B0898A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3</w:t>
            </w:r>
          </w:p>
        </w:tc>
        <w:tc>
          <w:tcPr>
            <w:tcW w:w="1271" w:type="dxa"/>
            <w:vAlign w:val="center"/>
          </w:tcPr>
          <w:p w14:paraId="4099555D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4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44</w:t>
            </w:r>
          </w:p>
        </w:tc>
        <w:tc>
          <w:tcPr>
            <w:tcW w:w="1843" w:type="dxa"/>
            <w:vAlign w:val="center"/>
          </w:tcPr>
          <w:p w14:paraId="556CAFA5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1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.29</w:t>
            </w:r>
          </w:p>
        </w:tc>
        <w:tc>
          <w:tcPr>
            <w:tcW w:w="2835" w:type="dxa"/>
            <w:vAlign w:val="center"/>
          </w:tcPr>
          <w:p w14:paraId="459B2522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.52-3.19</w:t>
            </w:r>
          </w:p>
        </w:tc>
      </w:tr>
      <w:tr w:rsidR="009C3FB5" w:rsidRPr="009C3FB5" w14:paraId="4C76E2A7" w14:textId="77777777" w:rsidTr="005B4E45">
        <w:trPr>
          <w:trHeight w:val="397"/>
        </w:trPr>
        <w:tc>
          <w:tcPr>
            <w:tcW w:w="2552" w:type="dxa"/>
            <w:vAlign w:val="center"/>
          </w:tcPr>
          <w:p w14:paraId="65728E4F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Hepatic encephalopathy</w:t>
            </w:r>
          </w:p>
        </w:tc>
        <w:tc>
          <w:tcPr>
            <w:tcW w:w="992" w:type="dxa"/>
            <w:vAlign w:val="center"/>
          </w:tcPr>
          <w:p w14:paraId="76CA591E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5</w:t>
            </w:r>
          </w:p>
        </w:tc>
        <w:tc>
          <w:tcPr>
            <w:tcW w:w="1271" w:type="dxa"/>
            <w:vAlign w:val="center"/>
          </w:tcPr>
          <w:p w14:paraId="4BC9CDBB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6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20</w:t>
            </w:r>
          </w:p>
        </w:tc>
        <w:tc>
          <w:tcPr>
            <w:tcW w:w="1843" w:type="dxa"/>
            <w:vAlign w:val="center"/>
          </w:tcPr>
          <w:p w14:paraId="17E66643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1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.28</w:t>
            </w:r>
          </w:p>
        </w:tc>
        <w:tc>
          <w:tcPr>
            <w:tcW w:w="2835" w:type="dxa"/>
            <w:vAlign w:val="center"/>
          </w:tcPr>
          <w:p w14:paraId="7CEDDE52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.53-3.10</w:t>
            </w:r>
          </w:p>
        </w:tc>
      </w:tr>
      <w:tr w:rsidR="009C3FB5" w:rsidRPr="009C3FB5" w14:paraId="115D7F77" w14:textId="77777777" w:rsidTr="005B4E45">
        <w:trPr>
          <w:trHeight w:val="397"/>
        </w:trPr>
        <w:tc>
          <w:tcPr>
            <w:tcW w:w="2552" w:type="dxa"/>
            <w:vAlign w:val="center"/>
          </w:tcPr>
          <w:p w14:paraId="07E20C0B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Diarrhea</w:t>
            </w:r>
          </w:p>
        </w:tc>
        <w:tc>
          <w:tcPr>
            <w:tcW w:w="992" w:type="dxa"/>
            <w:vAlign w:val="center"/>
          </w:tcPr>
          <w:p w14:paraId="05F4C0A4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3</w:t>
            </w:r>
          </w:p>
        </w:tc>
        <w:tc>
          <w:tcPr>
            <w:tcW w:w="1271" w:type="dxa"/>
            <w:vAlign w:val="center"/>
          </w:tcPr>
          <w:p w14:paraId="198F015D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4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44</w:t>
            </w:r>
          </w:p>
        </w:tc>
        <w:tc>
          <w:tcPr>
            <w:tcW w:w="1843" w:type="dxa"/>
            <w:vAlign w:val="center"/>
          </w:tcPr>
          <w:p w14:paraId="1E33FF97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1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.08</w:t>
            </w:r>
          </w:p>
        </w:tc>
        <w:tc>
          <w:tcPr>
            <w:tcW w:w="2835" w:type="dxa"/>
            <w:vAlign w:val="center"/>
          </w:tcPr>
          <w:p w14:paraId="4BE0FD2D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.43-2.72</w:t>
            </w:r>
          </w:p>
        </w:tc>
      </w:tr>
      <w:tr w:rsidR="009C3FB5" w:rsidRPr="009C3FB5" w14:paraId="1444CC46" w14:textId="77777777" w:rsidTr="005B4E45">
        <w:trPr>
          <w:trHeight w:val="397"/>
        </w:trPr>
        <w:tc>
          <w:tcPr>
            <w:tcW w:w="2552" w:type="dxa"/>
            <w:vAlign w:val="center"/>
          </w:tcPr>
          <w:p w14:paraId="4AEFC315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Pyrexia</w:t>
            </w:r>
          </w:p>
        </w:tc>
        <w:tc>
          <w:tcPr>
            <w:tcW w:w="992" w:type="dxa"/>
            <w:vAlign w:val="center"/>
          </w:tcPr>
          <w:p w14:paraId="6B1BE813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2</w:t>
            </w:r>
          </w:p>
        </w:tc>
        <w:tc>
          <w:tcPr>
            <w:tcW w:w="1271" w:type="dxa"/>
            <w:vAlign w:val="center"/>
          </w:tcPr>
          <w:p w14:paraId="28A30CE0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63</w:t>
            </w:r>
          </w:p>
        </w:tc>
        <w:tc>
          <w:tcPr>
            <w:tcW w:w="1843" w:type="dxa"/>
            <w:vAlign w:val="center"/>
          </w:tcPr>
          <w:p w14:paraId="1231BD7A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1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.08</w:t>
            </w:r>
          </w:p>
        </w:tc>
        <w:tc>
          <w:tcPr>
            <w:tcW w:w="2835" w:type="dxa"/>
            <w:vAlign w:val="center"/>
          </w:tcPr>
          <w:p w14:paraId="193EAB78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.41-2.86</w:t>
            </w:r>
          </w:p>
        </w:tc>
      </w:tr>
      <w:tr w:rsidR="009C3FB5" w:rsidRPr="009C3FB5" w14:paraId="6B61C44B" w14:textId="77777777" w:rsidTr="005B4E45">
        <w:trPr>
          <w:trHeight w:val="397"/>
        </w:trPr>
        <w:tc>
          <w:tcPr>
            <w:tcW w:w="2552" w:type="dxa"/>
            <w:vAlign w:val="center"/>
          </w:tcPr>
          <w:p w14:paraId="2E5D5D51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Insomnia</w:t>
            </w:r>
          </w:p>
        </w:tc>
        <w:tc>
          <w:tcPr>
            <w:tcW w:w="992" w:type="dxa"/>
            <w:vAlign w:val="center"/>
          </w:tcPr>
          <w:p w14:paraId="4ED1B5A1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</w:p>
        </w:tc>
        <w:tc>
          <w:tcPr>
            <w:tcW w:w="1271" w:type="dxa"/>
            <w:vAlign w:val="center"/>
          </w:tcPr>
          <w:p w14:paraId="5E31CD15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63</w:t>
            </w:r>
          </w:p>
        </w:tc>
        <w:tc>
          <w:tcPr>
            <w:tcW w:w="1843" w:type="dxa"/>
            <w:vAlign w:val="center"/>
          </w:tcPr>
          <w:p w14:paraId="3795988A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.85</w:t>
            </w:r>
          </w:p>
        </w:tc>
        <w:tc>
          <w:tcPr>
            <w:tcW w:w="2835" w:type="dxa"/>
            <w:vAlign w:val="center"/>
          </w:tcPr>
          <w:p w14:paraId="0109ADEB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.02-39.95</w:t>
            </w:r>
          </w:p>
        </w:tc>
      </w:tr>
      <w:tr w:rsidR="009C3FB5" w:rsidRPr="009C3FB5" w14:paraId="227D6810" w14:textId="77777777" w:rsidTr="005B4E45">
        <w:trPr>
          <w:trHeight w:val="397"/>
        </w:trPr>
        <w:tc>
          <w:tcPr>
            <w:tcW w:w="2552" w:type="dxa"/>
            <w:vAlign w:val="center"/>
          </w:tcPr>
          <w:p w14:paraId="20B46CBB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Renal impairment</w:t>
            </w:r>
          </w:p>
        </w:tc>
        <w:tc>
          <w:tcPr>
            <w:tcW w:w="992" w:type="dxa"/>
            <w:vAlign w:val="center"/>
          </w:tcPr>
          <w:p w14:paraId="44BC0E23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3</w:t>
            </w:r>
          </w:p>
        </w:tc>
        <w:tc>
          <w:tcPr>
            <w:tcW w:w="1271" w:type="dxa"/>
            <w:vAlign w:val="center"/>
          </w:tcPr>
          <w:p w14:paraId="7D772423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3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19</w:t>
            </w:r>
          </w:p>
        </w:tc>
        <w:tc>
          <w:tcPr>
            <w:tcW w:w="1843" w:type="dxa"/>
            <w:vAlign w:val="center"/>
          </w:tcPr>
          <w:p w14:paraId="5EB2413C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.80</w:t>
            </w:r>
          </w:p>
        </w:tc>
        <w:tc>
          <w:tcPr>
            <w:tcW w:w="2835" w:type="dxa"/>
            <w:vAlign w:val="center"/>
          </w:tcPr>
          <w:p w14:paraId="777D71A3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.36-1.80</w:t>
            </w:r>
          </w:p>
        </w:tc>
      </w:tr>
      <w:tr w:rsidR="009C3FB5" w:rsidRPr="009C3FB5" w14:paraId="0F58F68F" w14:textId="77777777" w:rsidTr="005B4E45">
        <w:trPr>
          <w:trHeight w:val="397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400DEC61" w14:textId="77777777" w:rsidR="009C3FB5" w:rsidRPr="009C3FB5" w:rsidRDefault="009C3FB5" w:rsidP="009C3FB5">
            <w:pPr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/>
                <w:sz w:val="22"/>
              </w:rPr>
              <w:t>Hypopotassemia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1321269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28F949CC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2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37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E90D020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.75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48D6499" w14:textId="77777777" w:rsidR="009C3FB5" w:rsidRPr="009C3FB5" w:rsidRDefault="009C3FB5" w:rsidP="009C3FB5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9C3FB5">
              <w:rPr>
                <w:rFonts w:ascii="Times New Roman" w:eastAsia="等线" w:hAnsi="Times New Roman" w:cs="Times New Roman" w:hint="eastAsia"/>
                <w:sz w:val="22"/>
              </w:rPr>
              <w:t>0</w:t>
            </w:r>
            <w:r w:rsidRPr="009C3FB5">
              <w:rPr>
                <w:rFonts w:ascii="Times New Roman" w:eastAsia="等线" w:hAnsi="Times New Roman" w:cs="Times New Roman"/>
                <w:sz w:val="22"/>
              </w:rPr>
              <w:t>.25-2.28</w:t>
            </w:r>
          </w:p>
        </w:tc>
      </w:tr>
    </w:tbl>
    <w:p w14:paraId="1CF9DC0D" w14:textId="77777777" w:rsidR="009C3FB5" w:rsidRDefault="009C3FB5" w:rsidP="00184811">
      <w:pPr>
        <w:rPr>
          <w:rFonts w:ascii="Times New Roman" w:hAnsi="Times New Roman" w:cs="Times New Roman"/>
          <w:sz w:val="20"/>
          <w:szCs w:val="20"/>
        </w:rPr>
      </w:pPr>
    </w:p>
    <w:p w14:paraId="63051750" w14:textId="77777777" w:rsidR="009C3FB5" w:rsidRDefault="009C3FB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848FAA3" w14:textId="569043DC" w:rsidR="00184811" w:rsidRDefault="00184811" w:rsidP="00184811">
      <w:pPr>
        <w:rPr>
          <w:rFonts w:ascii="Times New Roman" w:eastAsia="等线" w:hAnsi="Times New Roman" w:cs="Times New Roman"/>
          <w:b/>
          <w:bCs/>
          <w:sz w:val="22"/>
        </w:rPr>
      </w:pPr>
      <w:bookmarkStart w:id="2" w:name="_Hlk26466793"/>
      <w:bookmarkStart w:id="3" w:name="OLE_LINK2"/>
      <w:r w:rsidRPr="009C3FB5">
        <w:rPr>
          <w:rFonts w:ascii="Times New Roman" w:eastAsia="等线" w:hAnsi="Times New Roman" w:cs="Times New Roman"/>
          <w:b/>
          <w:bCs/>
          <w:sz w:val="22"/>
        </w:rPr>
        <w:lastRenderedPageBreak/>
        <w:t>Supplement Fig 1</w:t>
      </w:r>
      <w:bookmarkEnd w:id="0"/>
      <w:r w:rsidRPr="009C3FB5">
        <w:rPr>
          <w:rFonts w:ascii="Times New Roman" w:eastAsia="等线" w:hAnsi="Times New Roman" w:cs="Times New Roman"/>
          <w:b/>
          <w:bCs/>
          <w:sz w:val="22"/>
        </w:rPr>
        <w:t>:</w:t>
      </w:r>
      <w:r w:rsidR="009C3FB5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9C3FB5" w:rsidRPr="009C3FB5">
        <w:rPr>
          <w:rFonts w:ascii="Times New Roman" w:eastAsia="等线" w:hAnsi="Times New Roman" w:cs="Times New Roman"/>
          <w:sz w:val="22"/>
        </w:rPr>
        <w:t>The risk of bias within studies.</w:t>
      </w:r>
    </w:p>
    <w:bookmarkEnd w:id="3"/>
    <w:p w14:paraId="7FEE287B" w14:textId="3EF18162" w:rsidR="009C3FB5" w:rsidRDefault="009C3FB5" w:rsidP="00184811">
      <w:pPr>
        <w:rPr>
          <w:rFonts w:ascii="Times New Roman" w:eastAsia="等线" w:hAnsi="Times New Roman" w:cs="Times New Roman"/>
          <w:b/>
          <w:bCs/>
          <w:sz w:val="22"/>
        </w:rPr>
      </w:pPr>
      <w:r>
        <w:rPr>
          <w:rFonts w:ascii="Times New Roman" w:eastAsia="等线" w:hAnsi="Times New Roman" w:cs="Times New Roman"/>
          <w:b/>
          <w:bCs/>
          <w:noProof/>
          <w:sz w:val="22"/>
        </w:rPr>
        <w:drawing>
          <wp:inline distT="0" distB="0" distL="0" distR="0" wp14:anchorId="51FD6C82" wp14:editId="591AEF48">
            <wp:extent cx="5311317" cy="292100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2 bias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5107" cy="292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7556A" w14:textId="5A349674" w:rsidR="009C3FB5" w:rsidRDefault="009C3FB5" w:rsidP="00184811">
      <w:pPr>
        <w:rPr>
          <w:rFonts w:ascii="Times New Roman" w:eastAsia="等线" w:hAnsi="Times New Roman" w:cs="Times New Roman"/>
          <w:b/>
          <w:bCs/>
          <w:sz w:val="22"/>
        </w:rPr>
      </w:pPr>
    </w:p>
    <w:p w14:paraId="2E7CBCE7" w14:textId="77777777" w:rsidR="009C3FB5" w:rsidRDefault="009C3FB5" w:rsidP="00184811">
      <w:pPr>
        <w:rPr>
          <w:rFonts w:ascii="Times New Roman" w:eastAsia="等线" w:hAnsi="Times New Roman" w:cs="Times New Roman" w:hint="eastAsia"/>
          <w:b/>
          <w:bCs/>
          <w:sz w:val="22"/>
        </w:rPr>
      </w:pPr>
    </w:p>
    <w:p w14:paraId="4E3A42BD" w14:textId="77777777" w:rsidR="009C3FB5" w:rsidRDefault="009C3FB5">
      <w:pPr>
        <w:widowControl/>
        <w:jc w:val="left"/>
        <w:rPr>
          <w:rFonts w:ascii="Times New Roman" w:eastAsia="等线" w:hAnsi="Times New Roman" w:cs="Times New Roman"/>
          <w:b/>
          <w:bCs/>
          <w:sz w:val="22"/>
        </w:rPr>
      </w:pPr>
      <w:r>
        <w:rPr>
          <w:rFonts w:ascii="Times New Roman" w:eastAsia="等线" w:hAnsi="Times New Roman" w:cs="Times New Roman"/>
          <w:b/>
          <w:bCs/>
          <w:sz w:val="22"/>
        </w:rPr>
        <w:br w:type="page"/>
      </w:r>
    </w:p>
    <w:p w14:paraId="65CD1D5F" w14:textId="28C2B3D2" w:rsidR="009C3FB5" w:rsidRPr="009C3FB5" w:rsidRDefault="009C3FB5" w:rsidP="00184811">
      <w:pPr>
        <w:rPr>
          <w:rFonts w:ascii="Times New Roman" w:eastAsia="等线" w:hAnsi="Times New Roman" w:cs="Times New Roman" w:hint="eastAsia"/>
          <w:b/>
          <w:bCs/>
          <w:sz w:val="22"/>
        </w:rPr>
      </w:pPr>
      <w:r w:rsidRPr="009C3FB5">
        <w:rPr>
          <w:rFonts w:ascii="Times New Roman" w:eastAsia="等线" w:hAnsi="Times New Roman" w:cs="Times New Roman"/>
          <w:b/>
          <w:bCs/>
          <w:sz w:val="22"/>
        </w:rPr>
        <w:lastRenderedPageBreak/>
        <w:t xml:space="preserve">Supplement Fig </w:t>
      </w:r>
      <w:r>
        <w:rPr>
          <w:rFonts w:ascii="Times New Roman" w:eastAsia="等线" w:hAnsi="Times New Roman" w:cs="Times New Roman"/>
          <w:b/>
          <w:bCs/>
          <w:sz w:val="22"/>
        </w:rPr>
        <w:t>2</w:t>
      </w:r>
      <w:r w:rsidRPr="009C3FB5">
        <w:rPr>
          <w:rFonts w:ascii="Times New Roman" w:eastAsia="等线" w:hAnsi="Times New Roman" w:cs="Times New Roman"/>
          <w:b/>
          <w:bCs/>
          <w:sz w:val="22"/>
        </w:rPr>
        <w:t>:</w:t>
      </w:r>
    </w:p>
    <w:bookmarkEnd w:id="2"/>
    <w:p w14:paraId="52C41F1F" w14:textId="77777777" w:rsidR="00184811" w:rsidRPr="009C3FB5" w:rsidRDefault="00184811" w:rsidP="00184811">
      <w:pPr>
        <w:rPr>
          <w:rFonts w:ascii="Times New Roman" w:eastAsia="等线" w:hAnsi="Times New Roman" w:cs="Times New Roman"/>
          <w:sz w:val="22"/>
        </w:rPr>
      </w:pPr>
      <w:r w:rsidRPr="009C3FB5">
        <w:rPr>
          <w:rFonts w:ascii="Times New Roman" w:eastAsia="等线" w:hAnsi="Times New Roman" w:cs="Times New Roman"/>
          <w:sz w:val="22"/>
        </w:rPr>
        <w:drawing>
          <wp:inline distT="0" distB="0" distL="0" distR="0" wp14:anchorId="74051002" wp14:editId="0144094D">
            <wp:extent cx="5264150" cy="2720275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l Fig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1856" cy="273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AD548" w14:textId="21E6C008" w:rsidR="00184811" w:rsidRPr="009C3FB5" w:rsidRDefault="00184811" w:rsidP="00184811">
      <w:pPr>
        <w:rPr>
          <w:rFonts w:ascii="Times New Roman" w:eastAsia="等线" w:hAnsi="Times New Roman" w:cs="Times New Roman"/>
          <w:sz w:val="22"/>
        </w:rPr>
      </w:pPr>
      <w:bookmarkStart w:id="4" w:name="OLE_LINK1"/>
      <w:r w:rsidRPr="009C3FB5">
        <w:rPr>
          <w:rFonts w:ascii="Times New Roman" w:eastAsia="等线" w:hAnsi="Times New Roman" w:cs="Times New Roman"/>
          <w:b/>
          <w:bCs/>
          <w:sz w:val="22"/>
        </w:rPr>
        <w:t xml:space="preserve">Supplement Fig </w:t>
      </w:r>
      <w:r w:rsidR="009C3FB5">
        <w:rPr>
          <w:rFonts w:ascii="Times New Roman" w:eastAsia="等线" w:hAnsi="Times New Roman" w:cs="Times New Roman"/>
          <w:b/>
          <w:bCs/>
          <w:sz w:val="22"/>
        </w:rPr>
        <w:t>2</w:t>
      </w:r>
      <w:r w:rsidRPr="009C3FB5">
        <w:rPr>
          <w:rFonts w:ascii="Times New Roman" w:eastAsia="等线" w:hAnsi="Times New Roman" w:cs="Times New Roman" w:hint="eastAsia"/>
          <w:b/>
          <w:bCs/>
          <w:sz w:val="22"/>
        </w:rPr>
        <w:t>:</w:t>
      </w:r>
      <w:r w:rsidRPr="009C3FB5">
        <w:rPr>
          <w:rFonts w:ascii="Times New Roman" w:eastAsia="等线" w:hAnsi="Times New Roman" w:cs="Times New Roman"/>
          <w:sz w:val="22"/>
        </w:rPr>
        <w:t xml:space="preserve"> A: The result of sensitivity analysis for the comparison between the combination diuretic treatment groups and the conventional diuretic treatment groups about the mean change of serum sodium concentration (mmol/L) after 7-days intervention. B: The result of sensitivity analysis for the comparison between the combination diuretic treatment groups and the conventional diuretic treatment groups about total adverse events.</w:t>
      </w:r>
    </w:p>
    <w:bookmarkEnd w:id="4"/>
    <w:bookmarkEnd w:id="1"/>
    <w:p w14:paraId="05A9144D" w14:textId="77777777" w:rsidR="005C28DB" w:rsidRPr="00184811" w:rsidRDefault="005C28DB"/>
    <w:sectPr w:rsidR="005C28DB" w:rsidRPr="001848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CA571" w14:textId="77777777" w:rsidR="0006119A" w:rsidRDefault="0006119A" w:rsidP="00962D0A">
      <w:r>
        <w:separator/>
      </w:r>
    </w:p>
  </w:endnote>
  <w:endnote w:type="continuationSeparator" w:id="0">
    <w:p w14:paraId="16F27D33" w14:textId="77777777" w:rsidR="0006119A" w:rsidRDefault="0006119A" w:rsidP="00962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37FEAA" w14:textId="77777777" w:rsidR="0006119A" w:rsidRDefault="0006119A" w:rsidP="00962D0A">
      <w:r>
        <w:separator/>
      </w:r>
    </w:p>
  </w:footnote>
  <w:footnote w:type="continuationSeparator" w:id="0">
    <w:p w14:paraId="67F7B0A2" w14:textId="77777777" w:rsidR="0006119A" w:rsidRDefault="0006119A" w:rsidP="00962D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811"/>
    <w:rsid w:val="0006119A"/>
    <w:rsid w:val="00184811"/>
    <w:rsid w:val="005C28DB"/>
    <w:rsid w:val="00962D0A"/>
    <w:rsid w:val="009C3FB5"/>
    <w:rsid w:val="00F0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0552F"/>
  <w15:chartTrackingRefBased/>
  <w15:docId w15:val="{C6A7EE7C-3093-4BB5-A4B0-5798B45AF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F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2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2D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2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2D0A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9C3F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9C3F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昕</dc:creator>
  <cp:keywords/>
  <dc:description/>
  <cp:lastModifiedBy>李 昕</cp:lastModifiedBy>
  <cp:revision>4</cp:revision>
  <dcterms:created xsi:type="dcterms:W3CDTF">2019-11-26T06:16:00Z</dcterms:created>
  <dcterms:modified xsi:type="dcterms:W3CDTF">2019-12-05T11:36:00Z</dcterms:modified>
</cp:coreProperties>
</file>