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E1BCF" w14:textId="77777777" w:rsidR="004B62AA" w:rsidRPr="00CA52C6" w:rsidRDefault="004B62AA" w:rsidP="004B62AA">
      <w:pPr>
        <w:pStyle w:val="Heading2"/>
        <w:spacing w:before="0" w:after="60"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r w:rsidRPr="00CA52C6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48B9EFF8" wp14:editId="2037DE0E">
            <wp:simplePos x="0" y="0"/>
            <wp:positionH relativeFrom="margin">
              <wp:align>right</wp:align>
            </wp:positionH>
            <wp:positionV relativeFrom="paragraph">
              <wp:posOffset>266190</wp:posOffset>
            </wp:positionV>
            <wp:extent cx="5349240" cy="2225040"/>
            <wp:effectExtent l="0" t="0" r="3810" b="3810"/>
            <wp:wrapSquare wrapText="bothSides"/>
            <wp:docPr id="6" name="Picture 6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24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52C6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Graphical abstract</w:t>
      </w:r>
    </w:p>
    <w:p w14:paraId="4E2DA904" w14:textId="77777777" w:rsidR="004B62AA" w:rsidRDefault="004B62AA" w:rsidP="004B62AA">
      <w:pPr>
        <w:tabs>
          <w:tab w:val="left" w:pos="-4962"/>
        </w:tabs>
        <w:spacing w:after="60" w:line="360" w:lineRule="auto"/>
        <w:rPr>
          <w:lang w:val="en-US"/>
        </w:rPr>
      </w:pPr>
      <w:r>
        <w:rPr>
          <w:lang w:val="en-US"/>
        </w:rPr>
        <w:t>The figure shows a g</w:t>
      </w:r>
      <w:r w:rsidRPr="008066C0">
        <w:rPr>
          <w:lang w:val="en-US"/>
        </w:rPr>
        <w:t xml:space="preserve">raphical summary of </w:t>
      </w:r>
      <w:r>
        <w:rPr>
          <w:lang w:val="en-US"/>
        </w:rPr>
        <w:t xml:space="preserve">the </w:t>
      </w:r>
      <w:r w:rsidRPr="008066C0">
        <w:rPr>
          <w:lang w:val="en-US"/>
        </w:rPr>
        <w:t xml:space="preserve">study </w:t>
      </w:r>
      <w:r>
        <w:rPr>
          <w:lang w:val="en-US"/>
        </w:rPr>
        <w:t xml:space="preserve">with </w:t>
      </w:r>
      <w:r w:rsidRPr="008066C0">
        <w:rPr>
          <w:lang w:val="en-US"/>
        </w:rPr>
        <w:t>the derivation, meaning and primary results of the novel measurements GLASED and GLASE. The left-hand panel shows the calculations for peak stress and strain with the middle-panel showing the calculations for active strain energy and strain energy density. The right-hand pane</w:t>
      </w:r>
      <w:r>
        <w:rPr>
          <w:lang w:val="en-US"/>
        </w:rPr>
        <w:t>l</w:t>
      </w:r>
      <w:r w:rsidRPr="008066C0">
        <w:rPr>
          <w:lang w:val="en-US"/>
        </w:rPr>
        <w:t xml:space="preserve"> shows the changes in global longitudinal active strain energy density (GLASED) and global longitudinal active strain energy (GLASE) of the left ventricle in the various cohorts.</w:t>
      </w:r>
    </w:p>
    <w:p w14:paraId="64F6E091" w14:textId="77777777" w:rsidR="00D14C93" w:rsidRDefault="00D14C93"/>
    <w:sectPr w:rsidR="00D14C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2AA"/>
    <w:rsid w:val="004B62AA"/>
    <w:rsid w:val="00D1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EA973"/>
  <w15:chartTrackingRefBased/>
  <w15:docId w15:val="{9D179512-500E-4C91-8931-DFB6788EE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2A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62A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62A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2022-06-15T15:58:00Z</dcterms:created>
  <dcterms:modified xsi:type="dcterms:W3CDTF">2022-06-15T15:59:00Z</dcterms:modified>
</cp:coreProperties>
</file>