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CB9C8E" w14:textId="77777777" w:rsidR="009E4E70" w:rsidRPr="00262317" w:rsidRDefault="009E4E70" w:rsidP="009E4E70">
      <w:pPr>
        <w:spacing w:afterLines="100" w:after="312" w:line="480" w:lineRule="auto"/>
        <w:rPr>
          <w:rFonts w:ascii="Arial" w:hAnsi="Arial" w:cs="Arial"/>
          <w:szCs w:val="21"/>
        </w:rPr>
      </w:pPr>
      <w:r w:rsidRPr="00262317">
        <w:rPr>
          <w:rFonts w:ascii="Arial" w:hAnsi="Arial" w:cs="Arial" w:hint="eastAsia"/>
          <w:b/>
          <w:sz w:val="24"/>
          <w:szCs w:val="21"/>
        </w:rPr>
        <w:t>E</w:t>
      </w:r>
      <w:r w:rsidRPr="00262317">
        <w:rPr>
          <w:rFonts w:ascii="Arial" w:hAnsi="Arial" w:cs="Arial"/>
          <w:b/>
          <w:sz w:val="24"/>
          <w:szCs w:val="21"/>
        </w:rPr>
        <w:t>xtended Data</w:t>
      </w:r>
    </w:p>
    <w:p w14:paraId="3C41D2E5" w14:textId="2DDE3D1C" w:rsidR="009E4E70" w:rsidRPr="00262317" w:rsidRDefault="009E4E70" w:rsidP="009E4E70">
      <w:pPr>
        <w:spacing w:afterLines="100" w:after="312" w:line="480" w:lineRule="auto"/>
        <w:rPr>
          <w:rFonts w:ascii="Arial" w:hAnsi="Arial" w:cs="Arial" w:hint="eastAsia"/>
          <w:b/>
          <w:bCs/>
          <w:szCs w:val="21"/>
        </w:rPr>
      </w:pPr>
      <w:r w:rsidRPr="00262317">
        <w:rPr>
          <w:rFonts w:ascii="Arial" w:hAnsi="Arial" w:cs="Arial" w:hint="eastAsia"/>
          <w:b/>
          <w:bCs/>
          <w:noProof/>
          <w:szCs w:val="21"/>
        </w:rPr>
        <w:drawing>
          <wp:inline distT="0" distB="0" distL="0" distR="0" wp14:anchorId="0C7BEF62" wp14:editId="207B1B97">
            <wp:extent cx="5273040" cy="5913120"/>
            <wp:effectExtent l="0" t="0" r="381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3040" cy="5913120"/>
                    </a:xfrm>
                    <a:prstGeom prst="rect">
                      <a:avLst/>
                    </a:prstGeom>
                    <a:noFill/>
                    <a:ln>
                      <a:noFill/>
                    </a:ln>
                  </pic:spPr>
                </pic:pic>
              </a:graphicData>
            </a:graphic>
          </wp:inline>
        </w:drawing>
      </w:r>
    </w:p>
    <w:p w14:paraId="444476D4" w14:textId="77777777" w:rsidR="009E4E70" w:rsidRPr="00262317" w:rsidRDefault="009E4E70" w:rsidP="009E4E70">
      <w:pPr>
        <w:spacing w:line="480" w:lineRule="auto"/>
        <w:rPr>
          <w:rFonts w:ascii="Arial" w:hAnsi="Arial" w:cs="Arial"/>
          <w:b/>
          <w:bCs/>
          <w:kern w:val="0"/>
          <w:sz w:val="20"/>
          <w:szCs w:val="20"/>
          <w:lang w:bidi="ar"/>
        </w:rPr>
      </w:pPr>
      <w:r w:rsidRPr="00262317">
        <w:rPr>
          <w:rFonts w:ascii="Arial" w:hAnsi="Arial" w:cs="Arial"/>
          <w:b/>
          <w:bCs/>
          <w:sz w:val="20"/>
          <w:szCs w:val="20"/>
        </w:rPr>
        <w:t>Extended Data Fig. 1</w:t>
      </w:r>
      <w:r w:rsidRPr="00262317">
        <w:rPr>
          <w:rFonts w:ascii="SimSun" w:hAnsi="SimSun" w:cs="Arial" w:hint="eastAsia"/>
          <w:b/>
          <w:bCs/>
          <w:sz w:val="20"/>
          <w:szCs w:val="20"/>
        </w:rPr>
        <w:t>|</w:t>
      </w:r>
      <w:r w:rsidRPr="00262317">
        <w:rPr>
          <w:rFonts w:ascii="Arial" w:hAnsi="Arial" w:cs="Arial"/>
          <w:b/>
          <w:bCs/>
          <w:kern w:val="0"/>
          <w:sz w:val="20"/>
          <w:szCs w:val="20"/>
          <w:lang w:bidi="ar"/>
        </w:rPr>
        <w:t>Solving nanopore clogging dramatically increases the output of multiway contact sequencing.</w:t>
      </w:r>
    </w:p>
    <w:p w14:paraId="118F827A" w14:textId="77777777" w:rsidR="009E4E70" w:rsidRPr="00262317" w:rsidRDefault="009E4E70" w:rsidP="009E4E70">
      <w:pPr>
        <w:spacing w:line="480" w:lineRule="auto"/>
        <w:rPr>
          <w:rFonts w:ascii="Arial" w:hAnsi="Arial" w:cs="Arial"/>
          <w:sz w:val="20"/>
          <w:szCs w:val="20"/>
        </w:rPr>
      </w:pPr>
      <w:proofErr w:type="gramStart"/>
      <w:r w:rsidRPr="00262317">
        <w:rPr>
          <w:rFonts w:ascii="Arial" w:hAnsi="Arial" w:cs="Arial"/>
          <w:b/>
          <w:sz w:val="20"/>
          <w:szCs w:val="20"/>
        </w:rPr>
        <w:t>a</w:t>
      </w:r>
      <w:r w:rsidRPr="00262317">
        <w:rPr>
          <w:rFonts w:ascii="Arial" w:hAnsi="Arial" w:cs="Arial"/>
          <w:sz w:val="20"/>
          <w:szCs w:val="20"/>
        </w:rPr>
        <w:t>,</w:t>
      </w:r>
      <w:proofErr w:type="gramEnd"/>
      <w:r w:rsidRPr="00262317">
        <w:rPr>
          <w:rFonts w:ascii="Arial" w:hAnsi="Arial" w:cs="Arial"/>
          <w:sz w:val="20"/>
          <w:szCs w:val="20"/>
        </w:rPr>
        <w:t xml:space="preserve"> Statistical report of the ONT nanopore channel states (active, inactive, recovering, and unclassified) during Pore-C (optimized) DNA library sequencing. The diagram on the right shows the multiway contact DNA with peptide-DNA adducts clogging the flow cell channels </w:t>
      </w:r>
      <w:r w:rsidRPr="00262317">
        <w:rPr>
          <w:rFonts w:ascii="Arial" w:hAnsi="Arial" w:cs="Arial"/>
          <w:sz w:val="20"/>
          <w:szCs w:val="20"/>
        </w:rPr>
        <w:lastRenderedPageBreak/>
        <w:t>during sequencing.</w:t>
      </w:r>
    </w:p>
    <w:p w14:paraId="498D4588"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b</w:t>
      </w:r>
      <w:r w:rsidRPr="00262317">
        <w:rPr>
          <w:rFonts w:ascii="Arial" w:hAnsi="Arial" w:cs="Arial"/>
          <w:sz w:val="20"/>
          <w:szCs w:val="20"/>
        </w:rPr>
        <w:t xml:space="preserve">, Evaluation of optimized Pore-C library sequencing on an ONT </w:t>
      </w:r>
      <w:proofErr w:type="spellStart"/>
      <w:r w:rsidRPr="00262317">
        <w:rPr>
          <w:rFonts w:ascii="Arial" w:hAnsi="Arial" w:cs="Arial"/>
          <w:sz w:val="20"/>
          <w:szCs w:val="20"/>
        </w:rPr>
        <w:t>MinION</w:t>
      </w:r>
      <w:proofErr w:type="spellEnd"/>
      <w:r w:rsidRPr="00262317">
        <w:rPr>
          <w:rFonts w:ascii="Arial" w:hAnsi="Arial" w:cs="Arial"/>
          <w:sz w:val="20"/>
          <w:szCs w:val="20"/>
        </w:rPr>
        <w:t xml:space="preserve"> flow cell. The percentage of active pores after 60 minus sequencing, number of generated reads, and total sequence yields were compared.</w:t>
      </w:r>
    </w:p>
    <w:p w14:paraId="4BB1499F" w14:textId="77777777" w:rsidR="009E4E70" w:rsidRPr="00262317" w:rsidRDefault="009E4E70" w:rsidP="009E4E70">
      <w:pPr>
        <w:spacing w:line="480" w:lineRule="auto"/>
        <w:rPr>
          <w:rFonts w:ascii="Arial" w:hAnsi="Arial" w:cs="Arial"/>
          <w:b/>
          <w:bCs/>
          <w:sz w:val="20"/>
          <w:szCs w:val="20"/>
        </w:rPr>
      </w:pPr>
      <w:r w:rsidRPr="00262317">
        <w:rPr>
          <w:rFonts w:ascii="Arial" w:hAnsi="Arial" w:cs="Arial"/>
          <w:b/>
          <w:sz w:val="20"/>
          <w:szCs w:val="20"/>
        </w:rPr>
        <w:t>c-f</w:t>
      </w:r>
      <w:r w:rsidRPr="00262317">
        <w:rPr>
          <w:rFonts w:ascii="Arial" w:hAnsi="Arial" w:cs="Arial"/>
          <w:sz w:val="20"/>
          <w:szCs w:val="20"/>
        </w:rPr>
        <w:t xml:space="preserve">, Comparison of the relative percentage of active pores per 10 minutes against sequencing run time, sequence yields, total reads per run, and virtual pairwise contact number for Pore-C (optimized, blue line),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v1 (orange line for 2 rounds and cyan line for 3 rounds of reverse crosslinking and proteinase K digestion) and </w:t>
      </w:r>
      <w:proofErr w:type="spellStart"/>
      <w:r w:rsidRPr="00262317">
        <w:rPr>
          <w:rFonts w:ascii="Arial" w:hAnsi="Arial" w:cs="Arial"/>
          <w:sz w:val="20"/>
          <w:szCs w:val="20"/>
        </w:rPr>
        <w:t>HiPore</w:t>
      </w:r>
      <w:proofErr w:type="spellEnd"/>
      <w:r w:rsidRPr="00262317">
        <w:rPr>
          <w:rFonts w:ascii="Arial" w:hAnsi="Arial" w:cs="Arial"/>
          <w:sz w:val="20"/>
          <w:szCs w:val="20"/>
        </w:rPr>
        <w:t>-C v2 (brown line).</w:t>
      </w:r>
    </w:p>
    <w:p w14:paraId="6B624315"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g</w:t>
      </w:r>
      <w:r w:rsidRPr="00262317">
        <w:rPr>
          <w:rFonts w:ascii="Arial" w:hAnsi="Arial" w:cs="Arial"/>
          <w:sz w:val="20"/>
          <w:szCs w:val="20"/>
        </w:rPr>
        <w:t xml:space="preserve">, Schematic workflow of </w:t>
      </w:r>
      <w:proofErr w:type="spellStart"/>
      <w:r w:rsidRPr="00262317">
        <w:rPr>
          <w:rFonts w:ascii="Arial" w:hAnsi="Arial" w:cs="Arial"/>
          <w:sz w:val="20"/>
          <w:szCs w:val="20"/>
        </w:rPr>
        <w:t>MapPoreC</w:t>
      </w:r>
      <w:proofErr w:type="spellEnd"/>
      <w:r w:rsidRPr="00262317">
        <w:rPr>
          <w:rFonts w:ascii="Arial" w:hAnsi="Arial" w:cs="Arial"/>
          <w:sz w:val="20"/>
          <w:szCs w:val="20"/>
        </w:rPr>
        <w:t>.</w:t>
      </w:r>
    </w:p>
    <w:p w14:paraId="33B4732B"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h</w:t>
      </w:r>
      <w:r w:rsidRPr="00262317">
        <w:rPr>
          <w:rFonts w:ascii="Arial" w:hAnsi="Arial" w:cs="Arial"/>
          <w:sz w:val="20"/>
          <w:szCs w:val="20"/>
        </w:rPr>
        <w:t>, Diagram showing the generation of virtual pairwise contacts from multiway contact reads.</w:t>
      </w:r>
    </w:p>
    <w:p w14:paraId="2CB2F9E3" w14:textId="77777777" w:rsidR="009E4E70" w:rsidRPr="00262317" w:rsidRDefault="009E4E70" w:rsidP="009E4E70">
      <w:pPr>
        <w:spacing w:line="480" w:lineRule="auto"/>
        <w:rPr>
          <w:rFonts w:ascii="Arial" w:hAnsi="Arial" w:cs="Arial"/>
          <w:sz w:val="20"/>
          <w:szCs w:val="20"/>
        </w:rPr>
      </w:pPr>
      <w:proofErr w:type="spellStart"/>
      <w:r w:rsidRPr="00262317">
        <w:rPr>
          <w:rFonts w:ascii="Arial" w:hAnsi="Arial" w:cs="Arial"/>
          <w:b/>
          <w:sz w:val="20"/>
          <w:szCs w:val="20"/>
        </w:rPr>
        <w:t>i</w:t>
      </w:r>
      <w:proofErr w:type="spellEnd"/>
      <w:r w:rsidRPr="00262317">
        <w:rPr>
          <w:rFonts w:ascii="Arial" w:hAnsi="Arial" w:cs="Arial"/>
          <w:sz w:val="20"/>
          <w:szCs w:val="20"/>
        </w:rPr>
        <w:t xml:space="preserve">, Stratum-adjusted correlation coefficient diagram between Hi-C datasets (4DN Data Portal, 4DNFIXVAKX9Q) and five replicates of </w:t>
      </w:r>
      <w:proofErr w:type="spellStart"/>
      <w:r w:rsidRPr="00262317">
        <w:rPr>
          <w:rFonts w:ascii="Arial" w:hAnsi="Arial" w:cs="Arial"/>
          <w:sz w:val="20"/>
          <w:szCs w:val="20"/>
        </w:rPr>
        <w:t>HiPore</w:t>
      </w:r>
      <w:proofErr w:type="spellEnd"/>
      <w:r w:rsidRPr="00262317">
        <w:rPr>
          <w:rFonts w:ascii="Arial" w:hAnsi="Arial" w:cs="Arial"/>
          <w:sz w:val="20"/>
          <w:szCs w:val="20"/>
        </w:rPr>
        <w:t>-C on GM12878 cells.</w:t>
      </w:r>
    </w:p>
    <w:p w14:paraId="692934F5"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j</w:t>
      </w:r>
      <w:r w:rsidRPr="00262317">
        <w:rPr>
          <w:rFonts w:ascii="Arial" w:hAnsi="Arial" w:cs="Arial"/>
          <w:sz w:val="20"/>
          <w:szCs w:val="20"/>
        </w:rPr>
        <w:t xml:space="preserve">, Stratum-adjusted correlation coefficient heatmap between Hi-C datasets (4DN Data Portal, 4DNFIYW415LY) and three replicates of </w:t>
      </w:r>
      <w:proofErr w:type="spellStart"/>
      <w:r w:rsidRPr="00262317">
        <w:rPr>
          <w:rFonts w:ascii="Arial" w:hAnsi="Arial" w:cs="Arial"/>
          <w:sz w:val="20"/>
          <w:szCs w:val="20"/>
        </w:rPr>
        <w:t>HiPore</w:t>
      </w:r>
      <w:proofErr w:type="spellEnd"/>
      <w:r w:rsidRPr="00262317">
        <w:rPr>
          <w:rFonts w:ascii="Arial" w:hAnsi="Arial" w:cs="Arial"/>
          <w:sz w:val="20"/>
          <w:szCs w:val="20"/>
        </w:rPr>
        <w:t>-C on K562 cells.</w:t>
      </w:r>
    </w:p>
    <w:p w14:paraId="6CE17D62"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k</w:t>
      </w:r>
      <w:r w:rsidRPr="00262317">
        <w:rPr>
          <w:rFonts w:ascii="Arial" w:hAnsi="Arial" w:cs="Arial"/>
          <w:sz w:val="20"/>
          <w:szCs w:val="20"/>
        </w:rPr>
        <w:t xml:space="preserve">, Occurrence probability of </w:t>
      </w:r>
      <w:proofErr w:type="spellStart"/>
      <w:r w:rsidRPr="00262317">
        <w:rPr>
          <w:rFonts w:ascii="Arial" w:hAnsi="Arial" w:cs="Arial"/>
          <w:sz w:val="20"/>
          <w:szCs w:val="20"/>
        </w:rPr>
        <w:t>interhomologous</w:t>
      </w:r>
      <w:proofErr w:type="spellEnd"/>
      <w:r w:rsidRPr="00262317">
        <w:rPr>
          <w:rFonts w:ascii="Arial" w:hAnsi="Arial" w:cs="Arial"/>
          <w:sz w:val="20"/>
          <w:szCs w:val="20"/>
        </w:rPr>
        <w:t xml:space="preserve"> chromosome reads. x-axis, input cell numbers in millions; y-axis, probability of at least 2 fragments in a read being from homologous chromosomes. Yellow, red, blue, and black lines correspond to the region sizes of 100 kb, 500 kb, 1 Mb, and 5 Mb, respectively, used for this analysis.</w:t>
      </w:r>
    </w:p>
    <w:p w14:paraId="21940566" w14:textId="77777777" w:rsidR="009E4E70" w:rsidRPr="00262317" w:rsidRDefault="009E4E70" w:rsidP="009E4E70">
      <w:pPr>
        <w:spacing w:afterLines="100" w:after="312" w:line="480" w:lineRule="auto"/>
        <w:rPr>
          <w:rFonts w:ascii="Arial" w:hAnsi="Arial" w:cs="Arial"/>
          <w:b/>
          <w:sz w:val="24"/>
          <w:szCs w:val="21"/>
        </w:rPr>
      </w:pPr>
    </w:p>
    <w:p w14:paraId="469FEA01" w14:textId="77777777" w:rsidR="009E4E70" w:rsidRPr="00262317" w:rsidRDefault="009E4E70" w:rsidP="009E4E70">
      <w:pPr>
        <w:spacing w:afterLines="100" w:after="312" w:line="480" w:lineRule="auto"/>
        <w:rPr>
          <w:rFonts w:ascii="Arial" w:hAnsi="Arial" w:cs="Arial"/>
          <w:szCs w:val="21"/>
        </w:rPr>
      </w:pPr>
    </w:p>
    <w:p w14:paraId="7FE0FAEE" w14:textId="48E48855" w:rsidR="009E4E70" w:rsidRPr="00262317" w:rsidRDefault="009E4E70" w:rsidP="009E4E70">
      <w:pPr>
        <w:spacing w:afterLines="100" w:after="312" w:line="480" w:lineRule="auto"/>
        <w:rPr>
          <w:rFonts w:ascii="Arial" w:hAnsi="Arial" w:cs="Arial" w:hint="eastAsia"/>
          <w:b/>
          <w:bCs/>
          <w:szCs w:val="21"/>
        </w:rPr>
      </w:pPr>
      <w:r w:rsidRPr="00262317">
        <w:rPr>
          <w:rFonts w:ascii="Arial" w:hAnsi="Arial" w:cs="Arial" w:hint="eastAsia"/>
          <w:b/>
          <w:bCs/>
          <w:noProof/>
          <w:szCs w:val="21"/>
        </w:rPr>
        <w:lastRenderedPageBreak/>
        <w:drawing>
          <wp:inline distT="0" distB="0" distL="0" distR="0" wp14:anchorId="099B3C13" wp14:editId="57288789">
            <wp:extent cx="5273040" cy="7642860"/>
            <wp:effectExtent l="0" t="0" r="381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3040" cy="7642860"/>
                    </a:xfrm>
                    <a:prstGeom prst="rect">
                      <a:avLst/>
                    </a:prstGeom>
                    <a:noFill/>
                    <a:ln>
                      <a:noFill/>
                    </a:ln>
                  </pic:spPr>
                </pic:pic>
              </a:graphicData>
            </a:graphic>
          </wp:inline>
        </w:drawing>
      </w:r>
    </w:p>
    <w:p w14:paraId="7507831B" w14:textId="77777777" w:rsidR="009E4E70" w:rsidRPr="00262317" w:rsidRDefault="009E4E70" w:rsidP="009E4E70">
      <w:pPr>
        <w:spacing w:line="480" w:lineRule="auto"/>
        <w:rPr>
          <w:rFonts w:ascii="Arial" w:hAnsi="Arial" w:cs="Arial"/>
          <w:b/>
          <w:sz w:val="20"/>
          <w:szCs w:val="20"/>
        </w:rPr>
      </w:pPr>
      <w:r w:rsidRPr="00262317">
        <w:rPr>
          <w:rFonts w:ascii="Arial" w:hAnsi="Arial" w:cs="Arial"/>
          <w:b/>
          <w:bCs/>
          <w:sz w:val="20"/>
          <w:szCs w:val="20"/>
        </w:rPr>
        <w:t>Extended Data Fig. 2</w:t>
      </w:r>
      <w:r w:rsidRPr="00262317">
        <w:rPr>
          <w:rFonts w:ascii="SimSun" w:hAnsi="SimSun" w:cs="Arial" w:hint="eastAsia"/>
          <w:b/>
          <w:bCs/>
          <w:sz w:val="20"/>
          <w:szCs w:val="20"/>
        </w:rPr>
        <w:t>|</w:t>
      </w:r>
      <w:r w:rsidRPr="00262317">
        <w:rPr>
          <w:rFonts w:ascii="Arial" w:hAnsi="Arial" w:cs="Arial"/>
          <w:b/>
          <w:sz w:val="20"/>
          <w:szCs w:val="20"/>
        </w:rPr>
        <w:t>HiPore-C faithfully reproduces canonical</w:t>
      </w:r>
      <w:r w:rsidRPr="00262317">
        <w:rPr>
          <w:rFonts w:ascii="Arial" w:hAnsi="Arial" w:cs="Arial" w:hint="eastAsia"/>
          <w:b/>
          <w:sz w:val="20"/>
          <w:szCs w:val="20"/>
        </w:rPr>
        <w:t xml:space="preserve"> 3D genome </w:t>
      </w:r>
      <w:r w:rsidRPr="00262317">
        <w:rPr>
          <w:rFonts w:ascii="Arial" w:hAnsi="Arial" w:cs="Arial"/>
          <w:b/>
          <w:sz w:val="20"/>
          <w:szCs w:val="20"/>
        </w:rPr>
        <w:t>structures.</w:t>
      </w:r>
    </w:p>
    <w:p w14:paraId="3C3D8C62" w14:textId="77777777" w:rsidR="009E4E70" w:rsidRPr="00262317" w:rsidRDefault="009E4E70" w:rsidP="009E4E70">
      <w:pPr>
        <w:spacing w:line="480" w:lineRule="auto"/>
        <w:rPr>
          <w:rFonts w:ascii="Arial" w:hAnsi="Arial" w:cs="Arial"/>
          <w:sz w:val="20"/>
          <w:szCs w:val="20"/>
        </w:rPr>
      </w:pPr>
      <w:proofErr w:type="gramStart"/>
      <w:r w:rsidRPr="00262317">
        <w:rPr>
          <w:rFonts w:ascii="Arial" w:hAnsi="Arial" w:cs="Arial"/>
          <w:b/>
          <w:sz w:val="20"/>
          <w:szCs w:val="20"/>
        </w:rPr>
        <w:t>a</w:t>
      </w:r>
      <w:r w:rsidRPr="00262317">
        <w:rPr>
          <w:rFonts w:ascii="Arial" w:hAnsi="Arial" w:cs="Arial"/>
          <w:sz w:val="20"/>
          <w:szCs w:val="20"/>
        </w:rPr>
        <w:t>,</w:t>
      </w:r>
      <w:proofErr w:type="gramEnd"/>
      <w:r w:rsidRPr="00262317">
        <w:rPr>
          <w:rFonts w:ascii="Arial" w:hAnsi="Arial" w:cs="Arial"/>
          <w:sz w:val="20"/>
          <w:szCs w:val="20"/>
        </w:rPr>
        <w:t xml:space="preserve"> Comparison of global pairwise contact heatmaps between merged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and Hi-C </w:t>
      </w:r>
      <w:r w:rsidRPr="00262317">
        <w:rPr>
          <w:rFonts w:ascii="Arial" w:hAnsi="Arial" w:cs="Arial"/>
          <w:sz w:val="20"/>
          <w:szCs w:val="20"/>
        </w:rPr>
        <w:lastRenderedPageBreak/>
        <w:t xml:space="preserve">datasets (upper right, </w:t>
      </w:r>
      <w:proofErr w:type="spellStart"/>
      <w:r w:rsidRPr="00262317">
        <w:rPr>
          <w:rFonts w:ascii="Arial" w:hAnsi="Arial" w:cs="Arial"/>
          <w:sz w:val="20"/>
          <w:szCs w:val="20"/>
        </w:rPr>
        <w:t>HiPore</w:t>
      </w:r>
      <w:proofErr w:type="spellEnd"/>
      <w:r w:rsidRPr="00262317">
        <w:rPr>
          <w:rFonts w:ascii="Arial" w:hAnsi="Arial" w:cs="Arial"/>
          <w:sz w:val="20"/>
          <w:szCs w:val="20"/>
        </w:rPr>
        <w:t>-C; bottom left, Hi-C).</w:t>
      </w:r>
    </w:p>
    <w:p w14:paraId="203F62E5"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b</w:t>
      </w:r>
      <w:r w:rsidRPr="00262317">
        <w:rPr>
          <w:rFonts w:ascii="Arial" w:hAnsi="Arial" w:cs="Arial"/>
          <w:sz w:val="20"/>
          <w:szCs w:val="20"/>
        </w:rPr>
        <w:t xml:space="preserve">, </w:t>
      </w:r>
      <w:proofErr w:type="gramStart"/>
      <w:r w:rsidRPr="00262317">
        <w:rPr>
          <w:rFonts w:ascii="Arial" w:hAnsi="Arial" w:cs="Arial"/>
          <w:sz w:val="20"/>
          <w:szCs w:val="20"/>
        </w:rPr>
        <w:t>An</w:t>
      </w:r>
      <w:proofErr w:type="gramEnd"/>
      <w:r w:rsidRPr="00262317">
        <w:rPr>
          <w:rFonts w:ascii="Arial" w:hAnsi="Arial" w:cs="Arial"/>
          <w:sz w:val="20"/>
          <w:szCs w:val="20"/>
        </w:rPr>
        <w:t xml:space="preserve"> exemplary genomic region showing the reproducibility of compartments (100 kb resolution) with Hi-C as a control. Eigenvector score tracks are shown.</w:t>
      </w:r>
    </w:p>
    <w:p w14:paraId="3AC1B61F"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c</w:t>
      </w:r>
      <w:r w:rsidRPr="00262317">
        <w:rPr>
          <w:rFonts w:ascii="Arial" w:hAnsi="Arial" w:cs="Arial"/>
          <w:sz w:val="20"/>
          <w:szCs w:val="20"/>
        </w:rPr>
        <w:t xml:space="preserve">, Histogram showing Pearson’s correlation coefficients between pairs of compartment eigenvector scores of </w:t>
      </w:r>
      <w:proofErr w:type="spellStart"/>
      <w:r w:rsidRPr="00262317">
        <w:rPr>
          <w:rFonts w:ascii="Arial" w:hAnsi="Arial" w:cs="Arial"/>
          <w:sz w:val="20"/>
          <w:szCs w:val="20"/>
        </w:rPr>
        <w:t>HiPore</w:t>
      </w:r>
      <w:proofErr w:type="spellEnd"/>
      <w:r w:rsidRPr="00262317">
        <w:rPr>
          <w:rFonts w:ascii="Arial" w:hAnsi="Arial" w:cs="Arial"/>
          <w:sz w:val="20"/>
          <w:szCs w:val="20"/>
        </w:rPr>
        <w:t>-C replicates and Hi-C data.</w:t>
      </w:r>
    </w:p>
    <w:p w14:paraId="34748F51"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d</w:t>
      </w:r>
      <w:r w:rsidRPr="00262317">
        <w:rPr>
          <w:rFonts w:ascii="Arial" w:hAnsi="Arial" w:cs="Arial"/>
          <w:sz w:val="20"/>
          <w:szCs w:val="20"/>
        </w:rPr>
        <w:t xml:space="preserve">, </w:t>
      </w:r>
      <w:proofErr w:type="gramStart"/>
      <w:r w:rsidRPr="00262317">
        <w:rPr>
          <w:rFonts w:ascii="Arial" w:hAnsi="Arial" w:cs="Arial"/>
          <w:sz w:val="20"/>
          <w:szCs w:val="20"/>
        </w:rPr>
        <w:t>An</w:t>
      </w:r>
      <w:proofErr w:type="gramEnd"/>
      <w:r w:rsidRPr="00262317">
        <w:rPr>
          <w:rFonts w:ascii="Arial" w:hAnsi="Arial" w:cs="Arial"/>
          <w:sz w:val="20"/>
          <w:szCs w:val="20"/>
        </w:rPr>
        <w:t xml:space="preserve"> exemplary genomic region showing the reproducibility of TADs (10 kb resolution) with Hi-C data as a control. Insulation scores and CTCF tracks are shown.</w:t>
      </w:r>
    </w:p>
    <w:p w14:paraId="76AAD7E9"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e</w:t>
      </w:r>
      <w:r w:rsidRPr="00262317">
        <w:rPr>
          <w:rFonts w:ascii="Arial" w:hAnsi="Arial" w:cs="Arial"/>
          <w:sz w:val="20"/>
          <w:szCs w:val="20"/>
        </w:rPr>
        <w:t xml:space="preserve">, Histogram showing Pearson’s correlation coefficients between pairs of insulation values of </w:t>
      </w:r>
      <w:proofErr w:type="spellStart"/>
      <w:r w:rsidRPr="00262317">
        <w:rPr>
          <w:rFonts w:ascii="Arial" w:hAnsi="Arial" w:cs="Arial"/>
          <w:sz w:val="20"/>
          <w:szCs w:val="20"/>
        </w:rPr>
        <w:t>HiPore</w:t>
      </w:r>
      <w:proofErr w:type="spellEnd"/>
      <w:r w:rsidRPr="00262317">
        <w:rPr>
          <w:rFonts w:ascii="Arial" w:hAnsi="Arial" w:cs="Arial"/>
          <w:sz w:val="20"/>
          <w:szCs w:val="20"/>
        </w:rPr>
        <w:t>-C replicates and Hi-C data.</w:t>
      </w:r>
    </w:p>
    <w:p w14:paraId="1329FC69"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f</w:t>
      </w:r>
      <w:r w:rsidRPr="00262317">
        <w:rPr>
          <w:rFonts w:ascii="Arial" w:hAnsi="Arial" w:cs="Arial"/>
          <w:sz w:val="20"/>
          <w:szCs w:val="20"/>
        </w:rPr>
        <w:t xml:space="preserve">, </w:t>
      </w:r>
      <w:proofErr w:type="gramStart"/>
      <w:r w:rsidRPr="00262317">
        <w:rPr>
          <w:rFonts w:ascii="Arial" w:hAnsi="Arial" w:cs="Arial"/>
          <w:sz w:val="20"/>
          <w:szCs w:val="20"/>
        </w:rPr>
        <w:t>An</w:t>
      </w:r>
      <w:proofErr w:type="gramEnd"/>
      <w:r w:rsidRPr="00262317">
        <w:rPr>
          <w:rFonts w:ascii="Arial" w:hAnsi="Arial" w:cs="Arial"/>
          <w:sz w:val="20"/>
          <w:szCs w:val="20"/>
        </w:rPr>
        <w:t xml:space="preserve"> exemplary genomic region showing the reproducibility of chromatin loops (10 kb resolution) with Hi-C as a control. The CTCF track is shown.</w:t>
      </w:r>
    </w:p>
    <w:p w14:paraId="4CC4F7E0" w14:textId="77777777" w:rsidR="009E4E70" w:rsidRPr="00262317" w:rsidRDefault="009E4E70" w:rsidP="009E4E70">
      <w:pPr>
        <w:spacing w:line="480" w:lineRule="auto"/>
        <w:rPr>
          <w:rFonts w:ascii="Arial" w:hAnsi="Arial" w:cs="Arial"/>
          <w:szCs w:val="21"/>
        </w:rPr>
      </w:pPr>
      <w:r w:rsidRPr="00262317">
        <w:rPr>
          <w:rFonts w:ascii="Arial" w:hAnsi="Arial" w:cs="Arial"/>
          <w:b/>
          <w:sz w:val="20"/>
          <w:szCs w:val="20"/>
        </w:rPr>
        <w:t>g</w:t>
      </w:r>
      <w:r w:rsidRPr="00262317">
        <w:rPr>
          <w:rFonts w:ascii="Arial" w:hAnsi="Arial" w:cs="Arial"/>
          <w:sz w:val="20"/>
          <w:szCs w:val="20"/>
        </w:rPr>
        <w:t xml:space="preserve">, The reproducibility of APA results with Hi-C data as a control. P2LL, the ratio of the central pixel to the mean of the pixels in the lower left corner; P2LR, the ratio of the central pixel to the mean of the pixels in the lower right corner; P2M, the ratio of the central pixel to the mean of the remaining pixels; P2UL, the ratio of the central pixel to the mean of the pixels in the upper left corner; </w:t>
      </w:r>
      <w:proofErr w:type="spellStart"/>
      <w:r w:rsidRPr="00262317">
        <w:rPr>
          <w:rFonts w:ascii="Arial" w:hAnsi="Arial" w:cs="Arial"/>
          <w:sz w:val="20"/>
          <w:szCs w:val="20"/>
        </w:rPr>
        <w:t>ZscoreL</w:t>
      </w:r>
      <w:proofErr w:type="spellEnd"/>
      <w:r w:rsidRPr="00262317">
        <w:rPr>
          <w:rFonts w:ascii="Arial" w:hAnsi="Arial" w:cs="Arial"/>
          <w:sz w:val="20"/>
          <w:szCs w:val="20"/>
        </w:rPr>
        <w:t>, the Z score of the central pixel relative to all of the pixels in the lower left corner.</w:t>
      </w:r>
    </w:p>
    <w:p w14:paraId="3B661AE7" w14:textId="77777777" w:rsidR="009E4E70" w:rsidRPr="00262317" w:rsidRDefault="009E4E70" w:rsidP="009E4E70">
      <w:pPr>
        <w:spacing w:afterLines="100" w:after="312" w:line="480" w:lineRule="auto"/>
        <w:rPr>
          <w:rFonts w:ascii="Arial" w:hAnsi="Arial" w:cs="Arial"/>
          <w:b/>
          <w:sz w:val="24"/>
          <w:szCs w:val="21"/>
        </w:rPr>
      </w:pPr>
    </w:p>
    <w:p w14:paraId="5722D12E" w14:textId="77777777" w:rsidR="009E4E70" w:rsidRPr="00262317" w:rsidRDefault="009E4E70" w:rsidP="009E4E70">
      <w:pPr>
        <w:spacing w:afterLines="100" w:after="312" w:line="480" w:lineRule="auto"/>
        <w:rPr>
          <w:rFonts w:ascii="Arial" w:hAnsi="Arial" w:cs="Arial"/>
          <w:szCs w:val="21"/>
          <w:lang w:bidi="ar"/>
        </w:rPr>
      </w:pPr>
    </w:p>
    <w:p w14:paraId="6DBFB391" w14:textId="73352DCF" w:rsidR="009E4E70" w:rsidRPr="00262317" w:rsidRDefault="009E4E70" w:rsidP="009E4E70">
      <w:pPr>
        <w:spacing w:afterLines="100" w:after="312" w:line="480" w:lineRule="auto"/>
        <w:rPr>
          <w:rFonts w:ascii="Arial" w:hAnsi="Arial" w:cs="Arial"/>
          <w:szCs w:val="21"/>
          <w:lang w:bidi="ar"/>
        </w:rPr>
      </w:pPr>
      <w:r w:rsidRPr="00262317">
        <w:rPr>
          <w:rFonts w:ascii="Arial" w:hAnsi="Arial" w:cs="Arial" w:hint="eastAsia"/>
          <w:b/>
          <w:bCs/>
          <w:noProof/>
          <w:szCs w:val="21"/>
        </w:rPr>
        <w:lastRenderedPageBreak/>
        <w:drawing>
          <wp:inline distT="0" distB="0" distL="0" distR="0" wp14:anchorId="235C6498" wp14:editId="1792BBA4">
            <wp:extent cx="4419600" cy="8671560"/>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19600" cy="8671560"/>
                    </a:xfrm>
                    <a:prstGeom prst="rect">
                      <a:avLst/>
                    </a:prstGeom>
                    <a:noFill/>
                    <a:ln>
                      <a:noFill/>
                    </a:ln>
                  </pic:spPr>
                </pic:pic>
              </a:graphicData>
            </a:graphic>
          </wp:inline>
        </w:drawing>
      </w:r>
    </w:p>
    <w:p w14:paraId="6E58A40E" w14:textId="77777777" w:rsidR="009E4E70" w:rsidRPr="00262317" w:rsidRDefault="009E4E70" w:rsidP="009E4E70">
      <w:pPr>
        <w:spacing w:line="480" w:lineRule="auto"/>
        <w:rPr>
          <w:rFonts w:ascii="Arial" w:hAnsi="Arial" w:cs="Arial"/>
          <w:b/>
          <w:sz w:val="20"/>
          <w:szCs w:val="20"/>
          <w:lang w:bidi="ar"/>
        </w:rPr>
      </w:pPr>
      <w:r w:rsidRPr="00262317">
        <w:rPr>
          <w:rFonts w:ascii="Arial" w:hAnsi="Arial" w:cs="Arial"/>
          <w:b/>
          <w:bCs/>
          <w:sz w:val="20"/>
          <w:szCs w:val="20"/>
        </w:rPr>
        <w:lastRenderedPageBreak/>
        <w:t>Extended Data Fig. 3</w:t>
      </w:r>
      <w:r w:rsidRPr="00262317">
        <w:rPr>
          <w:rFonts w:ascii="SimSun" w:hAnsi="SimSun" w:cs="Arial" w:hint="eastAsia"/>
          <w:b/>
          <w:bCs/>
          <w:sz w:val="20"/>
          <w:szCs w:val="20"/>
        </w:rPr>
        <w:t>|</w:t>
      </w:r>
      <w:r w:rsidRPr="00262317">
        <w:rPr>
          <w:rFonts w:ascii="Arial" w:hAnsi="Arial" w:cs="Arial"/>
          <w:b/>
          <w:sz w:val="20"/>
          <w:szCs w:val="20"/>
          <w:lang w:bidi="ar"/>
        </w:rPr>
        <w:t xml:space="preserve">HiPore-C reveals </w:t>
      </w:r>
      <w:proofErr w:type="spellStart"/>
      <w:r w:rsidRPr="00262317">
        <w:rPr>
          <w:rFonts w:ascii="Arial" w:hAnsi="Arial" w:cs="Arial"/>
          <w:b/>
          <w:sz w:val="20"/>
          <w:szCs w:val="20"/>
          <w:lang w:bidi="ar"/>
        </w:rPr>
        <w:t>interchromosomal</w:t>
      </w:r>
      <w:proofErr w:type="spellEnd"/>
      <w:r w:rsidRPr="00262317">
        <w:rPr>
          <w:rFonts w:ascii="Arial" w:hAnsi="Arial" w:cs="Arial"/>
          <w:b/>
          <w:sz w:val="20"/>
          <w:szCs w:val="20"/>
          <w:lang w:bidi="ar"/>
        </w:rPr>
        <w:t xml:space="preserve"> chromatin clustering.</w:t>
      </w:r>
    </w:p>
    <w:p w14:paraId="599A99F5" w14:textId="77777777" w:rsidR="009E4E70" w:rsidRPr="00262317" w:rsidRDefault="009E4E70" w:rsidP="009E4E70">
      <w:pPr>
        <w:spacing w:line="480" w:lineRule="auto"/>
        <w:rPr>
          <w:rFonts w:ascii="Arial" w:hAnsi="Arial" w:cs="Arial"/>
          <w:sz w:val="20"/>
          <w:szCs w:val="20"/>
        </w:rPr>
      </w:pPr>
      <w:proofErr w:type="gramStart"/>
      <w:r w:rsidRPr="00262317">
        <w:rPr>
          <w:rFonts w:ascii="Arial" w:hAnsi="Arial" w:cs="Arial"/>
          <w:b/>
          <w:sz w:val="20"/>
          <w:szCs w:val="20"/>
        </w:rPr>
        <w:t>a</w:t>
      </w:r>
      <w:r w:rsidRPr="00262317">
        <w:rPr>
          <w:rFonts w:ascii="Arial" w:hAnsi="Arial" w:cs="Arial"/>
          <w:sz w:val="20"/>
          <w:szCs w:val="20"/>
        </w:rPr>
        <w:t>,</w:t>
      </w:r>
      <w:proofErr w:type="gramEnd"/>
      <w:r w:rsidRPr="00262317">
        <w:rPr>
          <w:rFonts w:ascii="Arial" w:hAnsi="Arial" w:cs="Arial"/>
          <w:sz w:val="20"/>
          <w:szCs w:val="20"/>
        </w:rPr>
        <w:t xml:space="preserve"> Percentage (top) and accumulation ratio (bottom) of the multiway contact reads spanning two or more chromosomes. x-axis, the number of fragments in reads; y-axis, </w:t>
      </w:r>
      <w:proofErr w:type="gramStart"/>
      <w:r w:rsidRPr="00262317">
        <w:rPr>
          <w:rFonts w:ascii="Arial" w:hAnsi="Arial" w:cs="Arial"/>
          <w:sz w:val="20"/>
          <w:szCs w:val="20"/>
        </w:rPr>
        <w:t>percentage</w:t>
      </w:r>
      <w:proofErr w:type="gramEnd"/>
      <w:r w:rsidRPr="00262317">
        <w:rPr>
          <w:rFonts w:ascii="Arial" w:hAnsi="Arial" w:cs="Arial"/>
          <w:sz w:val="20"/>
          <w:szCs w:val="20"/>
        </w:rPr>
        <w:t xml:space="preserve"> or accumulated ratio of reads.</w:t>
      </w:r>
    </w:p>
    <w:p w14:paraId="1B112300"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b</w:t>
      </w:r>
      <w:r w:rsidRPr="00262317">
        <w:rPr>
          <w:rFonts w:ascii="Arial" w:hAnsi="Arial" w:cs="Arial"/>
          <w:sz w:val="20"/>
          <w:szCs w:val="20"/>
        </w:rPr>
        <w:t xml:space="preserve"> and</w:t>
      </w:r>
      <w:r w:rsidRPr="00262317">
        <w:rPr>
          <w:rFonts w:ascii="Arial" w:hAnsi="Arial" w:cs="Arial"/>
          <w:b/>
          <w:sz w:val="20"/>
          <w:szCs w:val="20"/>
        </w:rPr>
        <w:t xml:space="preserve"> c</w:t>
      </w:r>
      <w:r w:rsidRPr="00262317">
        <w:rPr>
          <w:rFonts w:ascii="Arial" w:hAnsi="Arial" w:cs="Arial"/>
          <w:sz w:val="20"/>
          <w:szCs w:val="20"/>
        </w:rPr>
        <w:t xml:space="preserve">, </w:t>
      </w:r>
      <w:proofErr w:type="spellStart"/>
      <w:r w:rsidRPr="00262317">
        <w:rPr>
          <w:rFonts w:ascii="Arial" w:hAnsi="Arial" w:cs="Arial"/>
          <w:sz w:val="20"/>
          <w:szCs w:val="20"/>
        </w:rPr>
        <w:t>Circos</w:t>
      </w:r>
      <w:proofErr w:type="spellEnd"/>
      <w:r w:rsidRPr="00262317">
        <w:rPr>
          <w:rFonts w:ascii="Arial" w:hAnsi="Arial" w:cs="Arial"/>
          <w:sz w:val="20"/>
          <w:szCs w:val="20"/>
        </w:rPr>
        <w:t xml:space="preserve"> diagrams of statistically significant (</w:t>
      </w:r>
      <w:r w:rsidRPr="00262317">
        <w:rPr>
          <w:rFonts w:ascii="Arial" w:hAnsi="Arial" w:cs="Arial" w:hint="eastAsia"/>
          <w:sz w:val="20"/>
          <w:szCs w:val="20"/>
        </w:rPr>
        <w:t>enrichment score &gt;=2 and p &lt; 0.01</w:t>
      </w:r>
      <w:r w:rsidRPr="00262317">
        <w:rPr>
          <w:rFonts w:ascii="Arial" w:hAnsi="Arial" w:cs="Arial"/>
          <w:sz w:val="20"/>
          <w:szCs w:val="20"/>
        </w:rPr>
        <w:t xml:space="preserve">, binomial </w:t>
      </w:r>
      <w:r w:rsidRPr="00262317">
        <w:rPr>
          <w:rFonts w:ascii="Arial" w:hAnsi="Arial" w:cs="Arial" w:hint="eastAsia"/>
          <w:sz w:val="20"/>
          <w:szCs w:val="20"/>
        </w:rPr>
        <w:t xml:space="preserve">test followed </w:t>
      </w:r>
      <w:r w:rsidRPr="00262317">
        <w:rPr>
          <w:rFonts w:ascii="Arial" w:hAnsi="Arial" w:cs="Arial"/>
          <w:sz w:val="20"/>
          <w:szCs w:val="20"/>
        </w:rPr>
        <w:t xml:space="preserve">by Bonferroni's multiple correction) </w:t>
      </w:r>
      <w:proofErr w:type="spellStart"/>
      <w:r w:rsidRPr="00262317">
        <w:rPr>
          <w:rFonts w:ascii="Arial" w:hAnsi="Arial" w:cs="Arial"/>
          <w:sz w:val="20"/>
          <w:szCs w:val="20"/>
        </w:rPr>
        <w:t>interchromosome</w:t>
      </w:r>
      <w:proofErr w:type="spellEnd"/>
      <w:r w:rsidRPr="00262317">
        <w:rPr>
          <w:rFonts w:ascii="Arial" w:hAnsi="Arial" w:cs="Arial"/>
          <w:sz w:val="20"/>
          <w:szCs w:val="20"/>
        </w:rPr>
        <w:t xml:space="preserve"> contacts with telomeres or centromeres at one end.</w:t>
      </w:r>
    </w:p>
    <w:p w14:paraId="7B78660D"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d</w:t>
      </w:r>
      <w:r w:rsidRPr="00262317">
        <w:rPr>
          <w:rFonts w:ascii="Arial" w:hAnsi="Arial" w:cs="Arial"/>
          <w:sz w:val="20"/>
          <w:szCs w:val="20"/>
        </w:rPr>
        <w:t xml:space="preserve">, Number of tRNA genes that are enriched in </w:t>
      </w:r>
      <w:proofErr w:type="spellStart"/>
      <w:r w:rsidRPr="00262317">
        <w:rPr>
          <w:rFonts w:ascii="Arial" w:hAnsi="Arial" w:cs="Arial"/>
          <w:sz w:val="20"/>
          <w:szCs w:val="20"/>
        </w:rPr>
        <w:t>interchromosome</w:t>
      </w:r>
      <w:proofErr w:type="spellEnd"/>
      <w:r w:rsidRPr="00262317">
        <w:rPr>
          <w:rFonts w:ascii="Arial" w:hAnsi="Arial" w:cs="Arial"/>
          <w:sz w:val="20"/>
          <w:szCs w:val="20"/>
        </w:rPr>
        <w:t xml:space="preserve"> interactions. Yellow bars correspond to numbers of significantly enriched tRNA genes. Significance was calculated </w:t>
      </w:r>
      <w:r w:rsidRPr="00262317">
        <w:rPr>
          <w:rFonts w:ascii="Arial" w:hAnsi="Arial" w:cs="Arial" w:hint="eastAsia"/>
          <w:sz w:val="20"/>
          <w:szCs w:val="20"/>
        </w:rPr>
        <w:t xml:space="preserve">using </w:t>
      </w:r>
      <w:r w:rsidRPr="00262317">
        <w:rPr>
          <w:rFonts w:ascii="Arial" w:hAnsi="Arial" w:cs="Arial"/>
          <w:sz w:val="20"/>
          <w:szCs w:val="20"/>
        </w:rPr>
        <w:t>a</w:t>
      </w:r>
      <w:r w:rsidRPr="00262317">
        <w:rPr>
          <w:rFonts w:ascii="Arial" w:hAnsi="Arial" w:cs="Arial" w:hint="eastAsia"/>
          <w:sz w:val="20"/>
          <w:szCs w:val="20"/>
        </w:rPr>
        <w:t xml:space="preserve"> binomial distribution</w:t>
      </w:r>
      <w:r w:rsidRPr="00262317">
        <w:rPr>
          <w:rFonts w:ascii="Arial" w:hAnsi="Arial" w:cs="Arial"/>
          <w:sz w:val="20"/>
          <w:szCs w:val="20"/>
        </w:rPr>
        <w:t>,</w:t>
      </w:r>
      <w:r w:rsidRPr="00262317">
        <w:rPr>
          <w:rFonts w:ascii="Arial" w:hAnsi="Arial" w:cs="Arial" w:hint="eastAsia"/>
          <w:sz w:val="20"/>
          <w:szCs w:val="20"/>
        </w:rPr>
        <w:t xml:space="preserve"> and </w:t>
      </w:r>
      <w:r w:rsidRPr="00262317">
        <w:rPr>
          <w:rFonts w:ascii="Arial" w:hAnsi="Arial" w:cs="Arial"/>
          <w:i/>
          <w:iCs/>
          <w:sz w:val="20"/>
          <w:szCs w:val="20"/>
        </w:rPr>
        <w:t>p</w:t>
      </w:r>
      <w:r w:rsidRPr="00262317">
        <w:rPr>
          <w:rFonts w:ascii="Arial" w:hAnsi="Arial" w:cs="Arial" w:hint="eastAsia"/>
          <w:sz w:val="20"/>
          <w:szCs w:val="20"/>
        </w:rPr>
        <w:t xml:space="preserve"> </w:t>
      </w:r>
      <w:r w:rsidRPr="00262317">
        <w:rPr>
          <w:rFonts w:ascii="Arial" w:hAnsi="Arial" w:cs="Arial"/>
          <w:sz w:val="20"/>
          <w:szCs w:val="20"/>
        </w:rPr>
        <w:t>values</w:t>
      </w:r>
      <w:r w:rsidRPr="00262317">
        <w:rPr>
          <w:rFonts w:ascii="Arial" w:hAnsi="Arial" w:cs="Arial" w:hint="eastAsia"/>
          <w:sz w:val="20"/>
          <w:szCs w:val="20"/>
        </w:rPr>
        <w:t xml:space="preserve"> were adjusted with </w:t>
      </w:r>
      <w:r w:rsidRPr="00262317">
        <w:rPr>
          <w:rFonts w:ascii="Arial" w:hAnsi="Arial" w:cs="Arial"/>
          <w:sz w:val="20"/>
          <w:szCs w:val="20"/>
        </w:rPr>
        <w:t xml:space="preserve">Bonferroni's multiple correction. </w:t>
      </w:r>
      <w:r w:rsidRPr="00262317">
        <w:rPr>
          <w:rFonts w:ascii="Arial" w:hAnsi="Arial" w:cs="Arial" w:hint="eastAsia"/>
          <w:sz w:val="20"/>
          <w:szCs w:val="20"/>
        </w:rPr>
        <w:t xml:space="preserve">p &lt; 0.01 </w:t>
      </w:r>
      <w:r w:rsidRPr="00262317">
        <w:rPr>
          <w:rFonts w:ascii="Arial" w:hAnsi="Arial" w:cs="Arial"/>
          <w:sz w:val="20"/>
          <w:szCs w:val="20"/>
        </w:rPr>
        <w:t>was</w:t>
      </w:r>
      <w:r w:rsidRPr="00262317">
        <w:rPr>
          <w:rFonts w:ascii="Arial" w:hAnsi="Arial" w:cs="Arial" w:hint="eastAsia"/>
          <w:sz w:val="20"/>
          <w:szCs w:val="20"/>
        </w:rPr>
        <w:t xml:space="preserve"> defined as significant</w:t>
      </w:r>
      <w:r w:rsidRPr="00262317">
        <w:rPr>
          <w:rFonts w:ascii="Arial" w:hAnsi="Arial" w:cs="Arial"/>
          <w:sz w:val="20"/>
          <w:szCs w:val="20"/>
        </w:rPr>
        <w:t>.</w:t>
      </w:r>
    </w:p>
    <w:p w14:paraId="54F0039F"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e</w:t>
      </w:r>
      <w:r w:rsidRPr="00262317">
        <w:rPr>
          <w:rFonts w:ascii="Arial" w:hAnsi="Arial" w:cs="Arial"/>
          <w:sz w:val="20"/>
          <w:szCs w:val="20"/>
        </w:rPr>
        <w:t xml:space="preserve">, Diagram of regions significantly enriched in </w:t>
      </w:r>
      <w:proofErr w:type="spellStart"/>
      <w:r w:rsidRPr="00262317">
        <w:rPr>
          <w:rFonts w:ascii="Arial" w:hAnsi="Arial" w:cs="Arial"/>
          <w:sz w:val="20"/>
          <w:szCs w:val="20"/>
        </w:rPr>
        <w:t>interchromosome</w:t>
      </w:r>
      <w:proofErr w:type="spellEnd"/>
      <w:r w:rsidRPr="00262317">
        <w:rPr>
          <w:rFonts w:ascii="Arial" w:hAnsi="Arial" w:cs="Arial"/>
          <w:sz w:val="20"/>
          <w:szCs w:val="20"/>
        </w:rPr>
        <w:t xml:space="preserve"> interactions. The colors gray, green, yellow, blue, red, and black indicate telomeres, centromeres, enriched genomic regions, regions in inactive hubs, regions in active hubs, and tRNA genes, respectively.</w:t>
      </w:r>
    </w:p>
    <w:p w14:paraId="16C7D131" w14:textId="77777777" w:rsidR="009E4E70" w:rsidRPr="00262317" w:rsidRDefault="009E4E70" w:rsidP="009E4E70">
      <w:pPr>
        <w:spacing w:afterLines="100" w:after="312" w:line="480" w:lineRule="auto"/>
        <w:rPr>
          <w:rFonts w:ascii="Arial" w:hAnsi="Arial" w:cs="Arial"/>
          <w:szCs w:val="21"/>
          <w:lang w:bidi="ar"/>
        </w:rPr>
      </w:pPr>
    </w:p>
    <w:p w14:paraId="0AB103E5" w14:textId="6319AB68" w:rsidR="009E4E70" w:rsidRPr="00262317" w:rsidRDefault="009E4E70" w:rsidP="009E4E70">
      <w:pPr>
        <w:spacing w:afterLines="100" w:after="312" w:line="480" w:lineRule="auto"/>
        <w:rPr>
          <w:rFonts w:ascii="Arial" w:hAnsi="Arial" w:cs="Arial" w:hint="eastAsia"/>
          <w:b/>
          <w:bCs/>
          <w:szCs w:val="21"/>
        </w:rPr>
      </w:pPr>
      <w:r w:rsidRPr="00262317">
        <w:rPr>
          <w:rFonts w:ascii="Arial" w:hAnsi="Arial" w:cs="Arial" w:hint="eastAsia"/>
          <w:b/>
          <w:bCs/>
          <w:noProof/>
          <w:szCs w:val="21"/>
        </w:rPr>
        <w:lastRenderedPageBreak/>
        <w:drawing>
          <wp:inline distT="0" distB="0" distL="0" distR="0" wp14:anchorId="2A8BDDD5" wp14:editId="24D38ECA">
            <wp:extent cx="5158740" cy="8862060"/>
            <wp:effectExtent l="0" t="0" r="381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58740" cy="8862060"/>
                    </a:xfrm>
                    <a:prstGeom prst="rect">
                      <a:avLst/>
                    </a:prstGeom>
                    <a:noFill/>
                    <a:ln>
                      <a:noFill/>
                    </a:ln>
                  </pic:spPr>
                </pic:pic>
              </a:graphicData>
            </a:graphic>
          </wp:inline>
        </w:drawing>
      </w:r>
    </w:p>
    <w:p w14:paraId="43EF196B" w14:textId="77777777" w:rsidR="009E4E70" w:rsidRPr="00262317" w:rsidRDefault="009E4E70" w:rsidP="009E4E70">
      <w:pPr>
        <w:spacing w:line="480" w:lineRule="auto"/>
        <w:rPr>
          <w:rFonts w:ascii="Arial" w:hAnsi="Arial" w:cs="Arial"/>
          <w:sz w:val="20"/>
          <w:szCs w:val="20"/>
        </w:rPr>
      </w:pPr>
      <w:r w:rsidRPr="00262317">
        <w:rPr>
          <w:rFonts w:ascii="Arial" w:hAnsi="Arial" w:cs="Arial"/>
          <w:b/>
          <w:bCs/>
          <w:sz w:val="20"/>
          <w:szCs w:val="20"/>
        </w:rPr>
        <w:lastRenderedPageBreak/>
        <w:t xml:space="preserve">Extended Data Fig. </w:t>
      </w:r>
      <w:r w:rsidRPr="00262317">
        <w:rPr>
          <w:rFonts w:ascii="Arial" w:hAnsi="Arial" w:cs="Arial"/>
          <w:b/>
          <w:sz w:val="20"/>
          <w:szCs w:val="20"/>
          <w:lang w:bidi="ar"/>
        </w:rPr>
        <w:t>4|Multiway contacts span multiple compartments, TADs, and loops.</w:t>
      </w:r>
    </w:p>
    <w:p w14:paraId="46AF04AC"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a</w:t>
      </w:r>
      <w:r w:rsidRPr="00262317">
        <w:rPr>
          <w:rFonts w:ascii="Arial" w:hAnsi="Arial" w:cs="Arial"/>
          <w:sz w:val="20"/>
          <w:szCs w:val="20"/>
        </w:rPr>
        <w:t xml:space="preserve">, Cumulative ratio of Hi-C and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and virtual pairwise contacts between adjacent fragments or between nonadjacent fragments in different groups of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are separated into three groups of </w:t>
      </w:r>
      <w:proofErr w:type="spellStart"/>
      <w:r w:rsidRPr="00262317">
        <w:rPr>
          <w:rFonts w:ascii="Arial" w:hAnsi="Arial" w:cs="Arial"/>
          <w:sz w:val="20"/>
          <w:szCs w:val="20"/>
        </w:rPr>
        <w:t>lwLRMFs</w:t>
      </w:r>
      <w:proofErr w:type="spellEnd"/>
      <w:r w:rsidRPr="00262317">
        <w:rPr>
          <w:rFonts w:ascii="Arial" w:hAnsi="Arial" w:cs="Arial"/>
          <w:sz w:val="20"/>
          <w:szCs w:val="20"/>
        </w:rPr>
        <w:t xml:space="preserve"> (red), </w:t>
      </w:r>
      <w:proofErr w:type="spellStart"/>
      <w:r w:rsidRPr="00262317">
        <w:rPr>
          <w:rFonts w:ascii="Arial" w:hAnsi="Arial" w:cs="Arial"/>
          <w:sz w:val="20"/>
          <w:szCs w:val="20"/>
        </w:rPr>
        <w:t>mdLRMFs</w:t>
      </w:r>
      <w:proofErr w:type="spellEnd"/>
      <w:r w:rsidRPr="00262317">
        <w:rPr>
          <w:rFonts w:ascii="Arial" w:hAnsi="Arial" w:cs="Arial"/>
          <w:sz w:val="20"/>
          <w:szCs w:val="20"/>
        </w:rPr>
        <w:t xml:space="preserve"> (green), and </w:t>
      </w:r>
      <w:proofErr w:type="spellStart"/>
      <w:r w:rsidRPr="00262317">
        <w:rPr>
          <w:rFonts w:ascii="Arial" w:hAnsi="Arial" w:cs="Arial"/>
          <w:sz w:val="20"/>
          <w:szCs w:val="20"/>
        </w:rPr>
        <w:t>hgLRMFs</w:t>
      </w:r>
      <w:proofErr w:type="spellEnd"/>
      <w:r w:rsidRPr="00262317">
        <w:rPr>
          <w:rFonts w:ascii="Arial" w:hAnsi="Arial" w:cs="Arial"/>
          <w:sz w:val="20"/>
          <w:szCs w:val="20"/>
        </w:rPr>
        <w:t xml:space="preserve"> (blue) containing 2-3, 4-9, and &gt;=10 fragments, respectively.</w:t>
      </w:r>
    </w:p>
    <w:p w14:paraId="43531C6A"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b</w:t>
      </w:r>
      <w:r w:rsidRPr="00262317">
        <w:rPr>
          <w:rFonts w:ascii="Arial" w:hAnsi="Arial" w:cs="Arial"/>
          <w:sz w:val="20"/>
          <w:szCs w:val="20"/>
        </w:rPr>
        <w:t xml:space="preserve">, Decaying curves of different types of paired fragments in different groups of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are separated as in </w:t>
      </w:r>
      <w:r w:rsidRPr="00262317">
        <w:rPr>
          <w:rFonts w:ascii="Arial" w:hAnsi="Arial" w:cs="Arial"/>
          <w:b/>
          <w:sz w:val="20"/>
          <w:szCs w:val="20"/>
        </w:rPr>
        <w:t>a</w:t>
      </w:r>
      <w:r w:rsidRPr="00262317">
        <w:rPr>
          <w:rFonts w:ascii="Arial" w:hAnsi="Arial" w:cs="Arial"/>
          <w:sz w:val="20"/>
          <w:szCs w:val="20"/>
        </w:rPr>
        <w:t>.</w:t>
      </w:r>
    </w:p>
    <w:p w14:paraId="6675F7DB"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c</w:t>
      </w:r>
      <w:r w:rsidRPr="00262317">
        <w:rPr>
          <w:rFonts w:ascii="Arial" w:hAnsi="Arial" w:cs="Arial"/>
          <w:sz w:val="20"/>
          <w:szCs w:val="20"/>
        </w:rPr>
        <w:t xml:space="preserve">, Frequencies of different types of paired fragments in different groups of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normalized against those of Hi-C data over continuous genomic distance.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are separated as in </w:t>
      </w:r>
      <w:r w:rsidRPr="00262317">
        <w:rPr>
          <w:rFonts w:ascii="Arial" w:hAnsi="Arial" w:cs="Arial"/>
          <w:b/>
          <w:sz w:val="20"/>
          <w:szCs w:val="20"/>
        </w:rPr>
        <w:t>a</w:t>
      </w:r>
      <w:r w:rsidRPr="00262317">
        <w:rPr>
          <w:rFonts w:ascii="Arial" w:hAnsi="Arial" w:cs="Arial"/>
          <w:sz w:val="20"/>
          <w:szCs w:val="20"/>
        </w:rPr>
        <w:t>.</w:t>
      </w:r>
    </w:p>
    <w:p w14:paraId="56B2753B"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d-f</w:t>
      </w:r>
      <w:r w:rsidRPr="00262317">
        <w:rPr>
          <w:rFonts w:ascii="Arial" w:hAnsi="Arial" w:cs="Arial"/>
          <w:sz w:val="20"/>
          <w:szCs w:val="20"/>
        </w:rPr>
        <w:t>, Number of chromatin loops (</w:t>
      </w:r>
      <w:r w:rsidRPr="00262317">
        <w:rPr>
          <w:rFonts w:ascii="Arial" w:hAnsi="Arial" w:cs="Arial"/>
          <w:b/>
          <w:sz w:val="20"/>
          <w:szCs w:val="20"/>
        </w:rPr>
        <w:t>d</w:t>
      </w:r>
      <w:r w:rsidRPr="00262317">
        <w:rPr>
          <w:rFonts w:ascii="Arial" w:hAnsi="Arial" w:cs="Arial"/>
          <w:sz w:val="20"/>
          <w:szCs w:val="20"/>
        </w:rPr>
        <w:t>), TADs (</w:t>
      </w:r>
      <w:r w:rsidRPr="00262317">
        <w:rPr>
          <w:rFonts w:ascii="Arial" w:hAnsi="Arial" w:cs="Arial"/>
          <w:b/>
          <w:sz w:val="20"/>
          <w:szCs w:val="20"/>
        </w:rPr>
        <w:t>e</w:t>
      </w:r>
      <w:r w:rsidRPr="00262317">
        <w:rPr>
          <w:rFonts w:ascii="Arial" w:hAnsi="Arial" w:cs="Arial"/>
          <w:sz w:val="20"/>
          <w:szCs w:val="20"/>
        </w:rPr>
        <w:t>), and compartments (</w:t>
      </w:r>
      <w:r w:rsidRPr="00262317">
        <w:rPr>
          <w:rFonts w:ascii="Arial" w:hAnsi="Arial" w:cs="Arial"/>
          <w:b/>
          <w:sz w:val="20"/>
          <w:szCs w:val="20"/>
        </w:rPr>
        <w:t>f</w:t>
      </w:r>
      <w:r w:rsidRPr="00262317">
        <w:rPr>
          <w:rFonts w:ascii="Arial" w:hAnsi="Arial" w:cs="Arial"/>
          <w:sz w:val="20"/>
          <w:szCs w:val="20"/>
        </w:rPr>
        <w:t>) spanned by multiway contact reads containing different numbers of fragments.</w:t>
      </w:r>
    </w:p>
    <w:p w14:paraId="17484F1F"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g-</w:t>
      </w:r>
      <w:proofErr w:type="spellStart"/>
      <w:r w:rsidRPr="00262317">
        <w:rPr>
          <w:rFonts w:ascii="Arial" w:hAnsi="Arial" w:cs="Arial"/>
          <w:b/>
          <w:sz w:val="20"/>
          <w:szCs w:val="20"/>
        </w:rPr>
        <w:t>i</w:t>
      </w:r>
      <w:proofErr w:type="spellEnd"/>
      <w:r w:rsidRPr="00262317">
        <w:rPr>
          <w:rFonts w:ascii="Arial" w:hAnsi="Arial" w:cs="Arial"/>
          <w:sz w:val="20"/>
          <w:szCs w:val="20"/>
        </w:rPr>
        <w:t>, Percentage of multiway contact reads spanning different numbers of chromatin loops (</w:t>
      </w:r>
      <w:r w:rsidRPr="00262317">
        <w:rPr>
          <w:rFonts w:ascii="Arial" w:hAnsi="Arial" w:cs="Arial"/>
          <w:b/>
          <w:sz w:val="20"/>
          <w:szCs w:val="20"/>
        </w:rPr>
        <w:t>g</w:t>
      </w:r>
      <w:r w:rsidRPr="00262317">
        <w:rPr>
          <w:rFonts w:ascii="Arial" w:hAnsi="Arial" w:cs="Arial"/>
          <w:sz w:val="20"/>
          <w:szCs w:val="20"/>
        </w:rPr>
        <w:t>), TADs (</w:t>
      </w:r>
      <w:r w:rsidRPr="00262317">
        <w:rPr>
          <w:rFonts w:ascii="Arial" w:hAnsi="Arial" w:cs="Arial"/>
          <w:b/>
          <w:sz w:val="20"/>
          <w:szCs w:val="20"/>
        </w:rPr>
        <w:t>h</w:t>
      </w:r>
      <w:r w:rsidRPr="00262317">
        <w:rPr>
          <w:rFonts w:ascii="Arial" w:hAnsi="Arial" w:cs="Arial"/>
          <w:sz w:val="20"/>
          <w:szCs w:val="20"/>
        </w:rPr>
        <w:t>), and compartments (</w:t>
      </w:r>
      <w:proofErr w:type="spellStart"/>
      <w:r w:rsidRPr="00262317">
        <w:rPr>
          <w:rFonts w:ascii="Arial" w:hAnsi="Arial" w:cs="Arial"/>
          <w:b/>
          <w:sz w:val="20"/>
          <w:szCs w:val="20"/>
        </w:rPr>
        <w:t>i</w:t>
      </w:r>
      <w:proofErr w:type="spellEnd"/>
      <w:r w:rsidRPr="00262317">
        <w:rPr>
          <w:rFonts w:ascii="Arial" w:hAnsi="Arial" w:cs="Arial"/>
          <w:sz w:val="20"/>
          <w:szCs w:val="20"/>
        </w:rPr>
        <w:t>).</w:t>
      </w:r>
    </w:p>
    <w:p w14:paraId="4C102750" w14:textId="77777777" w:rsidR="009E4E70" w:rsidRPr="00262317" w:rsidRDefault="009E4E70" w:rsidP="009E4E70">
      <w:pPr>
        <w:spacing w:afterLines="100" w:after="312" w:line="480" w:lineRule="auto"/>
        <w:rPr>
          <w:rFonts w:ascii="Arial" w:hAnsi="Arial" w:cs="Arial" w:hint="eastAsia"/>
          <w:szCs w:val="21"/>
          <w:lang w:bidi="ar"/>
        </w:rPr>
      </w:pPr>
    </w:p>
    <w:p w14:paraId="22C0F3BE" w14:textId="5A02E4F7" w:rsidR="009E4E70" w:rsidRPr="00262317" w:rsidRDefault="009E4E70" w:rsidP="009E4E70">
      <w:pPr>
        <w:spacing w:afterLines="100" w:after="312" w:line="480" w:lineRule="auto"/>
        <w:rPr>
          <w:rFonts w:ascii="Arial" w:hAnsi="Arial" w:cs="Arial" w:hint="eastAsia"/>
          <w:b/>
          <w:bCs/>
          <w:szCs w:val="21"/>
        </w:rPr>
      </w:pPr>
      <w:r w:rsidRPr="00262317">
        <w:rPr>
          <w:rFonts w:ascii="Arial" w:hAnsi="Arial" w:cs="Arial" w:hint="eastAsia"/>
          <w:b/>
          <w:bCs/>
          <w:noProof/>
          <w:szCs w:val="21"/>
        </w:rPr>
        <w:lastRenderedPageBreak/>
        <w:drawing>
          <wp:inline distT="0" distB="0" distL="0" distR="0" wp14:anchorId="52C9FA36" wp14:editId="204A35E9">
            <wp:extent cx="5265420" cy="7688580"/>
            <wp:effectExtent l="0" t="0" r="0" b="7620"/>
            <wp:docPr id="3" name="Picture 3"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5420" cy="7688580"/>
                    </a:xfrm>
                    <a:prstGeom prst="rect">
                      <a:avLst/>
                    </a:prstGeom>
                    <a:noFill/>
                    <a:ln>
                      <a:noFill/>
                    </a:ln>
                  </pic:spPr>
                </pic:pic>
              </a:graphicData>
            </a:graphic>
          </wp:inline>
        </w:drawing>
      </w:r>
    </w:p>
    <w:p w14:paraId="5F538508" w14:textId="77777777" w:rsidR="009E4E70" w:rsidRPr="00262317" w:rsidRDefault="009E4E70" w:rsidP="009E4E70">
      <w:pPr>
        <w:spacing w:line="480" w:lineRule="auto"/>
        <w:rPr>
          <w:rFonts w:ascii="Arial" w:hAnsi="Arial" w:cs="Arial"/>
          <w:b/>
          <w:sz w:val="20"/>
          <w:szCs w:val="20"/>
        </w:rPr>
      </w:pPr>
      <w:r w:rsidRPr="00262317">
        <w:rPr>
          <w:rFonts w:ascii="Arial" w:hAnsi="Arial" w:cs="Arial"/>
          <w:b/>
          <w:bCs/>
          <w:sz w:val="20"/>
          <w:szCs w:val="20"/>
        </w:rPr>
        <w:t>Extended Data Fig. 5</w:t>
      </w:r>
      <w:r w:rsidRPr="00262317">
        <w:rPr>
          <w:rFonts w:ascii="SimSun" w:hAnsi="SimSun" w:cs="Arial" w:hint="eastAsia"/>
          <w:b/>
          <w:bCs/>
          <w:sz w:val="20"/>
          <w:szCs w:val="20"/>
        </w:rPr>
        <w:t>|</w:t>
      </w:r>
      <w:r w:rsidRPr="00262317">
        <w:rPr>
          <w:rFonts w:ascii="Arial" w:hAnsi="Arial" w:cs="Arial" w:hint="eastAsia"/>
          <w:b/>
          <w:sz w:val="20"/>
          <w:szCs w:val="20"/>
        </w:rPr>
        <w:t xml:space="preserve">Polymorphism and </w:t>
      </w:r>
      <w:r>
        <w:rPr>
          <w:rFonts w:ascii="Arial" w:hAnsi="Arial" w:cs="Arial" w:hint="eastAsia"/>
          <w:b/>
          <w:sz w:val="20"/>
          <w:szCs w:val="20"/>
        </w:rPr>
        <w:t>cell type-specific</w:t>
      </w:r>
      <w:r w:rsidRPr="00262317">
        <w:rPr>
          <w:rFonts w:ascii="Arial" w:hAnsi="Arial" w:cs="Arial" w:hint="eastAsia"/>
          <w:b/>
          <w:sz w:val="20"/>
          <w:szCs w:val="20"/>
        </w:rPr>
        <w:t>ity of single</w:t>
      </w:r>
      <w:r w:rsidRPr="00262317">
        <w:rPr>
          <w:rFonts w:ascii="Arial" w:hAnsi="Arial" w:cs="Arial"/>
          <w:b/>
          <w:sz w:val="20"/>
          <w:szCs w:val="20"/>
        </w:rPr>
        <w:t>-</w:t>
      </w:r>
      <w:r w:rsidRPr="00262317">
        <w:rPr>
          <w:rFonts w:ascii="Arial" w:hAnsi="Arial" w:cs="Arial" w:hint="eastAsia"/>
          <w:b/>
          <w:sz w:val="20"/>
          <w:szCs w:val="20"/>
        </w:rPr>
        <w:t xml:space="preserve">allele topology </w:t>
      </w:r>
      <w:r w:rsidRPr="00262317">
        <w:rPr>
          <w:rFonts w:ascii="Arial" w:hAnsi="Arial" w:cs="Arial"/>
          <w:b/>
          <w:sz w:val="20"/>
          <w:szCs w:val="20"/>
        </w:rPr>
        <w:t>clusters underlie the formation of TADs.</w:t>
      </w:r>
    </w:p>
    <w:p w14:paraId="222368E9"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lastRenderedPageBreak/>
        <w:t>a</w:t>
      </w:r>
      <w:r w:rsidRPr="00262317">
        <w:rPr>
          <w:rFonts w:ascii="Arial" w:hAnsi="Arial" w:cs="Arial"/>
          <w:sz w:val="20"/>
          <w:szCs w:val="20"/>
        </w:rPr>
        <w:t xml:space="preserve">, </w:t>
      </w:r>
      <w:proofErr w:type="spellStart"/>
      <w:r w:rsidRPr="00262317">
        <w:rPr>
          <w:rFonts w:ascii="Arial" w:hAnsi="Arial" w:cs="Arial"/>
          <w:sz w:val="20"/>
          <w:szCs w:val="20"/>
        </w:rPr>
        <w:t>HiPore</w:t>
      </w:r>
      <w:proofErr w:type="spellEnd"/>
      <w:r w:rsidRPr="00262317">
        <w:rPr>
          <w:rFonts w:ascii="Arial" w:hAnsi="Arial" w:cs="Arial"/>
          <w:sz w:val="20"/>
          <w:szCs w:val="20"/>
        </w:rPr>
        <w:t>-C reads are clustered into four discrete genomic regions corresponding to four neighboring TADs in GM12878 cells. Five percent reads of each cluster were randomly selected and plotted for visualization in panels C1-C4.</w:t>
      </w:r>
    </w:p>
    <w:p w14:paraId="437C86CA"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b</w:t>
      </w:r>
      <w:r w:rsidRPr="00262317">
        <w:rPr>
          <w:rFonts w:ascii="Arial" w:hAnsi="Arial" w:cs="Arial"/>
          <w:sz w:val="20"/>
          <w:szCs w:val="20"/>
        </w:rPr>
        <w:t xml:space="preserve">, Heatmaps generated from the four clusters of </w:t>
      </w:r>
      <w:proofErr w:type="spellStart"/>
      <w:r w:rsidRPr="00262317">
        <w:rPr>
          <w:rFonts w:ascii="Arial" w:hAnsi="Arial" w:cs="Arial"/>
          <w:sz w:val="20"/>
          <w:szCs w:val="20"/>
        </w:rPr>
        <w:t>HiPore</w:t>
      </w:r>
      <w:proofErr w:type="spellEnd"/>
      <w:r w:rsidRPr="00262317">
        <w:rPr>
          <w:rFonts w:ascii="Arial" w:hAnsi="Arial" w:cs="Arial"/>
          <w:sz w:val="20"/>
          <w:szCs w:val="20"/>
        </w:rPr>
        <w:t>-C reads (</w:t>
      </w:r>
      <w:r w:rsidRPr="00262317">
        <w:rPr>
          <w:rFonts w:ascii="Arial" w:hAnsi="Arial" w:cs="Arial"/>
          <w:b/>
          <w:sz w:val="20"/>
          <w:szCs w:val="20"/>
        </w:rPr>
        <w:t>a</w:t>
      </w:r>
      <w:r w:rsidRPr="00262317">
        <w:rPr>
          <w:rFonts w:ascii="Arial" w:hAnsi="Arial" w:cs="Arial"/>
          <w:sz w:val="20"/>
          <w:szCs w:val="20"/>
        </w:rPr>
        <w:t>).</w:t>
      </w:r>
    </w:p>
    <w:p w14:paraId="1B4BCC8D"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 xml:space="preserve">c </w:t>
      </w:r>
      <w:r w:rsidRPr="00262317">
        <w:rPr>
          <w:rFonts w:ascii="Arial" w:hAnsi="Arial" w:cs="Arial"/>
          <w:sz w:val="20"/>
          <w:szCs w:val="20"/>
        </w:rPr>
        <w:t>and</w:t>
      </w:r>
      <w:r w:rsidRPr="00262317">
        <w:rPr>
          <w:rFonts w:ascii="Arial" w:hAnsi="Arial" w:cs="Arial"/>
          <w:b/>
          <w:sz w:val="20"/>
          <w:szCs w:val="20"/>
        </w:rPr>
        <w:t xml:space="preserve"> d</w:t>
      </w:r>
      <w:r w:rsidRPr="00262317">
        <w:rPr>
          <w:rFonts w:ascii="Arial" w:hAnsi="Arial" w:cs="Arial"/>
          <w:sz w:val="20"/>
          <w:szCs w:val="20"/>
        </w:rPr>
        <w:t xml:space="preserve">, </w:t>
      </w:r>
      <w:proofErr w:type="spellStart"/>
      <w:r w:rsidRPr="00262317">
        <w:rPr>
          <w:rFonts w:ascii="Arial" w:hAnsi="Arial" w:cs="Arial"/>
          <w:sz w:val="20"/>
          <w:szCs w:val="20"/>
        </w:rPr>
        <w:t>HiPore</w:t>
      </w:r>
      <w:proofErr w:type="spellEnd"/>
      <w:r w:rsidRPr="00262317">
        <w:rPr>
          <w:rFonts w:ascii="Arial" w:hAnsi="Arial" w:cs="Arial"/>
          <w:sz w:val="20"/>
          <w:szCs w:val="20"/>
        </w:rPr>
        <w:t xml:space="preserve">-C reads are clustered for the typical TAD containing the </w:t>
      </w:r>
      <w:r w:rsidRPr="00262317">
        <w:rPr>
          <w:rFonts w:ascii="Arial" w:hAnsi="Arial" w:cs="Arial"/>
          <w:i/>
          <w:sz w:val="20"/>
          <w:szCs w:val="20"/>
        </w:rPr>
        <w:t>fbn2</w:t>
      </w:r>
      <w:r w:rsidRPr="00262317">
        <w:rPr>
          <w:rFonts w:ascii="Arial" w:hAnsi="Arial" w:cs="Arial"/>
          <w:sz w:val="20"/>
          <w:szCs w:val="20"/>
        </w:rPr>
        <w:t xml:space="preserve"> gene in GM12878 (</w:t>
      </w:r>
      <w:r w:rsidRPr="00262317">
        <w:rPr>
          <w:rFonts w:ascii="Arial" w:hAnsi="Arial" w:cs="Arial"/>
          <w:b/>
          <w:sz w:val="20"/>
          <w:szCs w:val="20"/>
        </w:rPr>
        <w:t>c</w:t>
      </w:r>
      <w:r w:rsidRPr="00262317">
        <w:rPr>
          <w:rFonts w:ascii="Arial" w:hAnsi="Arial" w:cs="Arial"/>
          <w:sz w:val="20"/>
          <w:szCs w:val="20"/>
        </w:rPr>
        <w:t>) and K562 (</w:t>
      </w:r>
      <w:r w:rsidRPr="00262317">
        <w:rPr>
          <w:rFonts w:ascii="Arial" w:hAnsi="Arial" w:cs="Arial"/>
          <w:b/>
          <w:sz w:val="20"/>
          <w:szCs w:val="20"/>
        </w:rPr>
        <w:t>d</w:t>
      </w:r>
      <w:r w:rsidRPr="00262317">
        <w:rPr>
          <w:rFonts w:ascii="Arial" w:hAnsi="Arial" w:cs="Arial"/>
          <w:sz w:val="20"/>
          <w:szCs w:val="20"/>
        </w:rPr>
        <w:t>) cell lines.</w:t>
      </w:r>
    </w:p>
    <w:p w14:paraId="45F2F68B"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e</w:t>
      </w:r>
      <w:r w:rsidRPr="00262317">
        <w:rPr>
          <w:rFonts w:ascii="Arial" w:hAnsi="Arial" w:cs="Arial"/>
          <w:sz w:val="20"/>
          <w:szCs w:val="20"/>
        </w:rPr>
        <w:t xml:space="preserve"> and </w:t>
      </w:r>
      <w:r w:rsidRPr="00262317">
        <w:rPr>
          <w:rFonts w:ascii="Arial" w:hAnsi="Arial" w:cs="Arial"/>
          <w:b/>
          <w:sz w:val="20"/>
          <w:szCs w:val="20"/>
        </w:rPr>
        <w:t>f</w:t>
      </w:r>
      <w:r w:rsidRPr="00262317">
        <w:rPr>
          <w:rFonts w:ascii="Arial" w:hAnsi="Arial" w:cs="Arial"/>
          <w:sz w:val="20"/>
          <w:szCs w:val="20"/>
        </w:rPr>
        <w:t xml:space="preserve">, Heatmaps generated from the clusters of </w:t>
      </w:r>
      <w:proofErr w:type="spellStart"/>
      <w:r w:rsidRPr="00262317">
        <w:rPr>
          <w:rFonts w:ascii="Arial" w:hAnsi="Arial" w:cs="Arial"/>
          <w:sz w:val="20"/>
          <w:szCs w:val="20"/>
        </w:rPr>
        <w:t>HiPore</w:t>
      </w:r>
      <w:proofErr w:type="spellEnd"/>
      <w:r w:rsidRPr="00262317">
        <w:rPr>
          <w:rFonts w:ascii="Arial" w:hAnsi="Arial" w:cs="Arial"/>
          <w:sz w:val="20"/>
          <w:szCs w:val="20"/>
        </w:rPr>
        <w:t>-C reads (</w:t>
      </w:r>
      <w:r w:rsidRPr="00262317">
        <w:rPr>
          <w:rFonts w:ascii="Arial" w:hAnsi="Arial" w:cs="Arial"/>
          <w:b/>
          <w:sz w:val="20"/>
          <w:szCs w:val="20"/>
        </w:rPr>
        <w:t xml:space="preserve">c </w:t>
      </w:r>
      <w:r w:rsidRPr="00262317">
        <w:rPr>
          <w:rFonts w:ascii="Arial" w:hAnsi="Arial" w:cs="Arial"/>
          <w:sz w:val="20"/>
          <w:szCs w:val="20"/>
        </w:rPr>
        <w:t>and</w:t>
      </w:r>
      <w:r w:rsidRPr="00262317">
        <w:rPr>
          <w:rFonts w:ascii="Arial" w:hAnsi="Arial" w:cs="Arial"/>
          <w:b/>
          <w:sz w:val="20"/>
          <w:szCs w:val="20"/>
        </w:rPr>
        <w:t xml:space="preserve"> d</w:t>
      </w:r>
      <w:r w:rsidRPr="00262317">
        <w:rPr>
          <w:rFonts w:ascii="Arial" w:hAnsi="Arial" w:cs="Arial"/>
          <w:sz w:val="20"/>
          <w:szCs w:val="20"/>
        </w:rPr>
        <w:t>).</w:t>
      </w:r>
    </w:p>
    <w:p w14:paraId="14E90A9D"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g</w:t>
      </w:r>
      <w:r w:rsidRPr="00262317">
        <w:rPr>
          <w:rFonts w:ascii="Arial" w:hAnsi="Arial" w:cs="Arial"/>
          <w:sz w:val="20"/>
          <w:szCs w:val="20"/>
        </w:rPr>
        <w:t xml:space="preserve">, Accumulation of the three clusters of </w:t>
      </w:r>
      <w:proofErr w:type="spellStart"/>
      <w:r w:rsidRPr="00262317">
        <w:rPr>
          <w:rFonts w:ascii="Arial" w:hAnsi="Arial" w:cs="Arial"/>
          <w:sz w:val="20"/>
          <w:szCs w:val="20"/>
        </w:rPr>
        <w:t>HiPore</w:t>
      </w:r>
      <w:proofErr w:type="spellEnd"/>
      <w:r w:rsidRPr="00262317">
        <w:rPr>
          <w:rFonts w:ascii="Arial" w:hAnsi="Arial" w:cs="Arial"/>
          <w:sz w:val="20"/>
          <w:szCs w:val="20"/>
        </w:rPr>
        <w:t>-C reads (</w:t>
      </w:r>
      <w:r w:rsidRPr="00262317">
        <w:rPr>
          <w:rFonts w:ascii="Arial" w:hAnsi="Arial" w:cs="Arial"/>
          <w:b/>
          <w:sz w:val="20"/>
          <w:szCs w:val="20"/>
        </w:rPr>
        <w:t xml:space="preserve">c </w:t>
      </w:r>
      <w:r w:rsidRPr="00262317">
        <w:rPr>
          <w:rFonts w:ascii="Arial" w:hAnsi="Arial" w:cs="Arial"/>
          <w:sz w:val="20"/>
          <w:szCs w:val="20"/>
        </w:rPr>
        <w:t>and</w:t>
      </w:r>
      <w:r w:rsidRPr="00262317">
        <w:rPr>
          <w:rFonts w:ascii="Arial" w:hAnsi="Arial" w:cs="Arial"/>
          <w:b/>
          <w:sz w:val="20"/>
          <w:szCs w:val="20"/>
        </w:rPr>
        <w:t xml:space="preserve"> d</w:t>
      </w:r>
      <w:r w:rsidRPr="00262317">
        <w:rPr>
          <w:rFonts w:ascii="Arial" w:hAnsi="Arial" w:cs="Arial"/>
          <w:sz w:val="20"/>
          <w:szCs w:val="20"/>
        </w:rPr>
        <w:t>) against genomic distance.</w:t>
      </w:r>
    </w:p>
    <w:p w14:paraId="4B48F3E3" w14:textId="77777777" w:rsidR="009E4E70" w:rsidRPr="00262317" w:rsidRDefault="009E4E70" w:rsidP="009E4E70">
      <w:pPr>
        <w:autoSpaceDE w:val="0"/>
        <w:autoSpaceDN w:val="0"/>
        <w:adjustRightInd w:val="0"/>
        <w:spacing w:afterLines="100" w:after="312" w:line="480" w:lineRule="auto"/>
        <w:rPr>
          <w:rFonts w:ascii="Arial" w:hAnsi="Arial" w:cs="Arial"/>
          <w:color w:val="000000"/>
          <w:kern w:val="0"/>
          <w:szCs w:val="21"/>
        </w:rPr>
      </w:pPr>
    </w:p>
    <w:p w14:paraId="48C136E9" w14:textId="02FA13E7" w:rsidR="009E4E70" w:rsidRPr="00262317" w:rsidRDefault="009E4E70" w:rsidP="009E4E70">
      <w:pPr>
        <w:autoSpaceDE w:val="0"/>
        <w:autoSpaceDN w:val="0"/>
        <w:adjustRightInd w:val="0"/>
        <w:spacing w:afterLines="100" w:after="312" w:line="480" w:lineRule="auto"/>
        <w:rPr>
          <w:rFonts w:ascii="Arial" w:hAnsi="Arial" w:cs="Arial" w:hint="eastAsia"/>
          <w:b/>
          <w:bCs/>
          <w:szCs w:val="21"/>
        </w:rPr>
      </w:pPr>
      <w:r w:rsidRPr="00262317">
        <w:rPr>
          <w:rFonts w:ascii="Arial" w:hAnsi="Arial" w:cs="Arial" w:hint="eastAsia"/>
          <w:b/>
          <w:bCs/>
          <w:noProof/>
          <w:szCs w:val="21"/>
        </w:rPr>
        <w:lastRenderedPageBreak/>
        <w:drawing>
          <wp:inline distT="0" distB="0" distL="0" distR="0" wp14:anchorId="2990CE8C" wp14:editId="5214CC9A">
            <wp:extent cx="5265420" cy="7475220"/>
            <wp:effectExtent l="0" t="0" r="0" b="0"/>
            <wp:docPr id="2" name="Picture 2"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alenda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5420" cy="7475220"/>
                    </a:xfrm>
                    <a:prstGeom prst="rect">
                      <a:avLst/>
                    </a:prstGeom>
                    <a:noFill/>
                    <a:ln>
                      <a:noFill/>
                    </a:ln>
                  </pic:spPr>
                </pic:pic>
              </a:graphicData>
            </a:graphic>
          </wp:inline>
        </w:drawing>
      </w:r>
    </w:p>
    <w:p w14:paraId="3764749E" w14:textId="77777777" w:rsidR="009E4E70" w:rsidRPr="00262317" w:rsidRDefault="009E4E70" w:rsidP="009E4E70">
      <w:pPr>
        <w:spacing w:line="480" w:lineRule="auto"/>
        <w:rPr>
          <w:rFonts w:ascii="Arial" w:hAnsi="Arial" w:cs="Arial"/>
          <w:b/>
          <w:sz w:val="20"/>
          <w:szCs w:val="20"/>
        </w:rPr>
      </w:pPr>
      <w:r w:rsidRPr="00262317">
        <w:rPr>
          <w:rFonts w:ascii="Arial" w:hAnsi="Arial" w:cs="Arial"/>
          <w:b/>
          <w:bCs/>
          <w:sz w:val="20"/>
          <w:szCs w:val="20"/>
        </w:rPr>
        <w:t>Extended Data Fig. 6</w:t>
      </w:r>
      <w:r w:rsidRPr="00262317">
        <w:rPr>
          <w:rFonts w:ascii="SimSun" w:hAnsi="SimSun" w:cs="Arial" w:hint="eastAsia"/>
          <w:b/>
          <w:bCs/>
          <w:sz w:val="20"/>
          <w:szCs w:val="20"/>
        </w:rPr>
        <w:t>|</w:t>
      </w:r>
      <w:r w:rsidRPr="00262317">
        <w:rPr>
          <w:rFonts w:ascii="Arial" w:hAnsi="Arial" w:cs="Arial"/>
          <w:b/>
          <w:sz w:val="20"/>
          <w:szCs w:val="20"/>
          <w:lang w:bidi="ar"/>
        </w:rPr>
        <w:t xml:space="preserve">HiPore-C </w:t>
      </w:r>
      <w:r w:rsidRPr="00262317">
        <w:rPr>
          <w:rFonts w:ascii="Arial" w:hAnsi="Arial" w:cs="Arial" w:hint="eastAsia"/>
          <w:b/>
          <w:sz w:val="20"/>
          <w:szCs w:val="20"/>
          <w:lang w:bidi="ar"/>
        </w:rPr>
        <w:t>reveal</w:t>
      </w:r>
      <w:r w:rsidRPr="00262317">
        <w:rPr>
          <w:rFonts w:ascii="Arial" w:hAnsi="Arial" w:cs="Arial"/>
          <w:b/>
          <w:sz w:val="20"/>
          <w:szCs w:val="20"/>
          <w:lang w:bidi="ar"/>
        </w:rPr>
        <w:t>s a cell</w:t>
      </w:r>
      <w:r w:rsidRPr="00262317">
        <w:rPr>
          <w:rFonts w:ascii="Arial" w:hAnsi="Arial" w:cs="Arial" w:hint="eastAsia"/>
          <w:b/>
          <w:sz w:val="20"/>
          <w:szCs w:val="20"/>
          <w:lang w:bidi="ar"/>
        </w:rPr>
        <w:t xml:space="preserve"> type</w:t>
      </w:r>
      <w:r w:rsidRPr="00262317">
        <w:rPr>
          <w:rFonts w:ascii="Arial" w:hAnsi="Arial" w:cs="Arial"/>
          <w:b/>
          <w:sz w:val="20"/>
          <w:szCs w:val="20"/>
          <w:lang w:bidi="ar"/>
        </w:rPr>
        <w:t xml:space="preserve">-specific </w:t>
      </w:r>
      <w:r w:rsidRPr="00262317">
        <w:rPr>
          <w:rFonts w:ascii="Arial" w:hAnsi="Arial" w:cs="Arial" w:hint="eastAsia"/>
          <w:b/>
          <w:sz w:val="20"/>
          <w:szCs w:val="20"/>
          <w:lang w:bidi="ar"/>
        </w:rPr>
        <w:t>enhancer hub</w:t>
      </w:r>
      <w:r w:rsidRPr="00262317">
        <w:rPr>
          <w:rFonts w:ascii="Arial" w:hAnsi="Arial" w:cs="Arial"/>
          <w:b/>
          <w:sz w:val="20"/>
          <w:szCs w:val="20"/>
          <w:lang w:bidi="ar"/>
        </w:rPr>
        <w:t xml:space="preserve"> at</w:t>
      </w:r>
      <w:r w:rsidRPr="00262317">
        <w:rPr>
          <w:rFonts w:ascii="Arial" w:hAnsi="Arial" w:cs="Arial" w:hint="eastAsia"/>
          <w:b/>
          <w:sz w:val="20"/>
          <w:szCs w:val="20"/>
          <w:lang w:bidi="ar"/>
        </w:rPr>
        <w:t xml:space="preserve"> the</w:t>
      </w:r>
      <w:r w:rsidRPr="00262317">
        <w:rPr>
          <w:rFonts w:ascii="Arial" w:hAnsi="Arial" w:cs="Arial"/>
          <w:b/>
          <w:sz w:val="20"/>
          <w:szCs w:val="20"/>
          <w:lang w:bidi="ar"/>
        </w:rPr>
        <w:t xml:space="preserve"> β-globin locus.</w:t>
      </w:r>
    </w:p>
    <w:p w14:paraId="23DAA16D"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a</w:t>
      </w:r>
      <w:r w:rsidRPr="00262317">
        <w:rPr>
          <w:rFonts w:ascii="Arial" w:hAnsi="Arial" w:cs="Arial"/>
          <w:sz w:val="20"/>
          <w:szCs w:val="20"/>
        </w:rPr>
        <w:t xml:space="preserve"> and </w:t>
      </w:r>
      <w:r w:rsidRPr="00262317">
        <w:rPr>
          <w:rFonts w:ascii="Arial" w:hAnsi="Arial" w:cs="Arial"/>
          <w:b/>
          <w:sz w:val="20"/>
          <w:szCs w:val="20"/>
        </w:rPr>
        <w:t>b</w:t>
      </w:r>
      <w:r w:rsidRPr="00262317">
        <w:rPr>
          <w:rFonts w:ascii="Arial" w:hAnsi="Arial" w:cs="Arial"/>
          <w:sz w:val="20"/>
          <w:szCs w:val="20"/>
        </w:rPr>
        <w:t>, Virtual pairwise contact heatmaps of the human β-globin gene locus in K562 (</w:t>
      </w:r>
      <w:r w:rsidRPr="00262317">
        <w:rPr>
          <w:rFonts w:ascii="Arial" w:hAnsi="Arial" w:cs="Arial"/>
          <w:b/>
          <w:sz w:val="20"/>
          <w:szCs w:val="20"/>
        </w:rPr>
        <w:t>a</w:t>
      </w:r>
      <w:r w:rsidRPr="00262317">
        <w:rPr>
          <w:rFonts w:ascii="Arial" w:hAnsi="Arial" w:cs="Arial"/>
          <w:sz w:val="20"/>
          <w:szCs w:val="20"/>
        </w:rPr>
        <w:t xml:space="preserve">) and </w:t>
      </w:r>
      <w:r w:rsidRPr="00262317">
        <w:rPr>
          <w:rFonts w:ascii="Arial" w:hAnsi="Arial" w:cs="Arial"/>
          <w:sz w:val="20"/>
          <w:szCs w:val="20"/>
        </w:rPr>
        <w:lastRenderedPageBreak/>
        <w:t>GM12878 (</w:t>
      </w:r>
      <w:r w:rsidRPr="00262317">
        <w:rPr>
          <w:rFonts w:ascii="Arial" w:hAnsi="Arial" w:cs="Arial"/>
          <w:b/>
          <w:sz w:val="20"/>
          <w:szCs w:val="20"/>
        </w:rPr>
        <w:t>b</w:t>
      </w:r>
      <w:r w:rsidRPr="00262317">
        <w:rPr>
          <w:rFonts w:ascii="Arial" w:hAnsi="Arial" w:cs="Arial"/>
          <w:sz w:val="20"/>
          <w:szCs w:val="20"/>
        </w:rPr>
        <w:t>) cell lines.</w:t>
      </w:r>
    </w:p>
    <w:p w14:paraId="156F85C7"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c</w:t>
      </w:r>
      <w:r w:rsidRPr="00262317">
        <w:rPr>
          <w:rFonts w:ascii="Arial" w:hAnsi="Arial" w:cs="Arial"/>
          <w:sz w:val="20"/>
          <w:szCs w:val="20"/>
        </w:rPr>
        <w:t xml:space="preserve"> and </w:t>
      </w:r>
      <w:r w:rsidRPr="00262317">
        <w:rPr>
          <w:rFonts w:ascii="Arial" w:hAnsi="Arial" w:cs="Arial"/>
          <w:b/>
          <w:sz w:val="20"/>
          <w:szCs w:val="20"/>
        </w:rPr>
        <w:t>d</w:t>
      </w:r>
      <w:r w:rsidRPr="00262317">
        <w:rPr>
          <w:rFonts w:ascii="Arial" w:hAnsi="Arial" w:cs="Arial"/>
          <w:sz w:val="20"/>
          <w:szCs w:val="20"/>
        </w:rPr>
        <w:t xml:space="preserve">, Heatmaps generated from clustered </w:t>
      </w:r>
      <w:proofErr w:type="spellStart"/>
      <w:r w:rsidRPr="00262317">
        <w:rPr>
          <w:rFonts w:ascii="Arial" w:hAnsi="Arial" w:cs="Arial"/>
          <w:sz w:val="20"/>
          <w:szCs w:val="20"/>
        </w:rPr>
        <w:t>HiPore</w:t>
      </w:r>
      <w:proofErr w:type="spellEnd"/>
      <w:r w:rsidRPr="00262317">
        <w:rPr>
          <w:rFonts w:ascii="Arial" w:hAnsi="Arial" w:cs="Arial"/>
          <w:sz w:val="20"/>
          <w:szCs w:val="20"/>
        </w:rPr>
        <w:t>-C reads covering the human β-globin gene locus in K562 (</w:t>
      </w:r>
      <w:r w:rsidRPr="00262317">
        <w:rPr>
          <w:rFonts w:ascii="Arial" w:hAnsi="Arial" w:cs="Arial"/>
          <w:b/>
          <w:sz w:val="20"/>
          <w:szCs w:val="20"/>
        </w:rPr>
        <w:t>c</w:t>
      </w:r>
      <w:r w:rsidRPr="00262317">
        <w:rPr>
          <w:rFonts w:ascii="Arial" w:hAnsi="Arial" w:cs="Arial"/>
          <w:sz w:val="20"/>
          <w:szCs w:val="20"/>
        </w:rPr>
        <w:t>) and GM12878 (</w:t>
      </w:r>
      <w:r w:rsidRPr="00262317">
        <w:rPr>
          <w:rFonts w:ascii="Arial" w:hAnsi="Arial" w:cs="Arial"/>
          <w:b/>
          <w:sz w:val="20"/>
          <w:szCs w:val="20"/>
        </w:rPr>
        <w:t>d</w:t>
      </w:r>
      <w:r w:rsidRPr="00262317">
        <w:rPr>
          <w:rFonts w:ascii="Arial" w:hAnsi="Arial" w:cs="Arial"/>
          <w:sz w:val="20"/>
          <w:szCs w:val="20"/>
        </w:rPr>
        <w:t>) cell lines.</w:t>
      </w:r>
    </w:p>
    <w:p w14:paraId="726BD917"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e</w:t>
      </w:r>
      <w:r w:rsidRPr="00262317">
        <w:rPr>
          <w:rFonts w:ascii="Arial" w:hAnsi="Arial" w:cs="Arial"/>
          <w:sz w:val="20"/>
          <w:szCs w:val="20"/>
        </w:rPr>
        <w:t xml:space="preserve"> and </w:t>
      </w:r>
      <w:r w:rsidRPr="00262317">
        <w:rPr>
          <w:rFonts w:ascii="Arial" w:hAnsi="Arial" w:cs="Arial"/>
          <w:b/>
          <w:sz w:val="20"/>
          <w:szCs w:val="20"/>
        </w:rPr>
        <w:t>f</w:t>
      </w:r>
      <w:r w:rsidRPr="00262317">
        <w:rPr>
          <w:rFonts w:ascii="Arial" w:hAnsi="Arial" w:cs="Arial"/>
          <w:sz w:val="20"/>
          <w:szCs w:val="20"/>
        </w:rPr>
        <w:t xml:space="preserve">, Multiway contacts anchored at different sites in the human β-globin gene locus (HS1, HS2, HS3, HS4, and HS5) in the two </w:t>
      </w:r>
      <w:proofErr w:type="spellStart"/>
      <w:r w:rsidRPr="00262317">
        <w:rPr>
          <w:rFonts w:ascii="Arial" w:hAnsi="Arial" w:cs="Arial"/>
          <w:sz w:val="20"/>
          <w:szCs w:val="20"/>
        </w:rPr>
        <w:t>HiPore</w:t>
      </w:r>
      <w:proofErr w:type="spellEnd"/>
      <w:r w:rsidRPr="00262317">
        <w:rPr>
          <w:rFonts w:ascii="Arial" w:hAnsi="Arial" w:cs="Arial"/>
          <w:sz w:val="20"/>
          <w:szCs w:val="20"/>
        </w:rPr>
        <w:t>-C clusters in K562 (</w:t>
      </w:r>
      <w:r w:rsidRPr="00262317">
        <w:rPr>
          <w:rFonts w:ascii="Arial" w:hAnsi="Arial" w:cs="Arial"/>
          <w:b/>
          <w:sz w:val="20"/>
          <w:szCs w:val="20"/>
        </w:rPr>
        <w:t>e</w:t>
      </w:r>
      <w:r w:rsidRPr="00262317">
        <w:rPr>
          <w:rFonts w:ascii="Arial" w:hAnsi="Arial" w:cs="Arial"/>
          <w:sz w:val="20"/>
          <w:szCs w:val="20"/>
        </w:rPr>
        <w:t>) and GM12878 (</w:t>
      </w:r>
      <w:r w:rsidRPr="00262317">
        <w:rPr>
          <w:rFonts w:ascii="Arial" w:hAnsi="Arial" w:cs="Arial"/>
          <w:b/>
          <w:sz w:val="20"/>
          <w:szCs w:val="20"/>
        </w:rPr>
        <w:t>f</w:t>
      </w:r>
      <w:r w:rsidRPr="00262317">
        <w:rPr>
          <w:rFonts w:ascii="Arial" w:hAnsi="Arial" w:cs="Arial"/>
          <w:sz w:val="20"/>
          <w:szCs w:val="20"/>
        </w:rPr>
        <w:t>) cell lines.</w:t>
      </w:r>
    </w:p>
    <w:p w14:paraId="2E74313B"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g</w:t>
      </w:r>
      <w:r w:rsidRPr="00262317">
        <w:rPr>
          <w:rFonts w:ascii="Arial" w:hAnsi="Arial" w:cs="Arial"/>
          <w:sz w:val="20"/>
          <w:szCs w:val="20"/>
        </w:rPr>
        <w:t xml:space="preserve"> and </w:t>
      </w:r>
      <w:r w:rsidRPr="00262317">
        <w:rPr>
          <w:rFonts w:ascii="Arial" w:hAnsi="Arial" w:cs="Arial"/>
          <w:b/>
          <w:sz w:val="20"/>
          <w:szCs w:val="20"/>
        </w:rPr>
        <w:t>h</w:t>
      </w:r>
      <w:r w:rsidRPr="00262317">
        <w:rPr>
          <w:rFonts w:ascii="Arial" w:hAnsi="Arial" w:cs="Arial"/>
          <w:sz w:val="20"/>
          <w:szCs w:val="20"/>
        </w:rPr>
        <w:t xml:space="preserve">, Multiway contacts anchored at different sites in the human β-globin gene locus (3’HS1 and β- and δ-globin genes) in the two </w:t>
      </w:r>
      <w:proofErr w:type="spellStart"/>
      <w:r w:rsidRPr="00262317">
        <w:rPr>
          <w:rFonts w:ascii="Arial" w:hAnsi="Arial" w:cs="Arial"/>
          <w:sz w:val="20"/>
          <w:szCs w:val="20"/>
        </w:rPr>
        <w:t>HiPore</w:t>
      </w:r>
      <w:proofErr w:type="spellEnd"/>
      <w:r w:rsidRPr="00262317">
        <w:rPr>
          <w:rFonts w:ascii="Arial" w:hAnsi="Arial" w:cs="Arial"/>
          <w:sz w:val="20"/>
          <w:szCs w:val="20"/>
        </w:rPr>
        <w:t>-C clusters in K562 (</w:t>
      </w:r>
      <w:r w:rsidRPr="00262317">
        <w:rPr>
          <w:rFonts w:ascii="Arial" w:hAnsi="Arial" w:cs="Arial"/>
          <w:b/>
          <w:sz w:val="20"/>
          <w:szCs w:val="20"/>
        </w:rPr>
        <w:t>g</w:t>
      </w:r>
      <w:r w:rsidRPr="00262317">
        <w:rPr>
          <w:rFonts w:ascii="Arial" w:hAnsi="Arial" w:cs="Arial"/>
          <w:sz w:val="20"/>
          <w:szCs w:val="20"/>
        </w:rPr>
        <w:t>) and GM12878 (</w:t>
      </w:r>
      <w:r w:rsidRPr="00262317">
        <w:rPr>
          <w:rFonts w:ascii="Arial" w:hAnsi="Arial" w:cs="Arial"/>
          <w:b/>
          <w:sz w:val="20"/>
          <w:szCs w:val="20"/>
        </w:rPr>
        <w:t>h</w:t>
      </w:r>
      <w:r w:rsidRPr="00262317">
        <w:rPr>
          <w:rFonts w:ascii="Arial" w:hAnsi="Arial" w:cs="Arial"/>
          <w:sz w:val="20"/>
          <w:szCs w:val="20"/>
        </w:rPr>
        <w:t>) cell lines.</w:t>
      </w:r>
    </w:p>
    <w:p w14:paraId="3A91713C" w14:textId="77777777" w:rsidR="009E4E70" w:rsidRPr="00262317" w:rsidRDefault="009E4E70" w:rsidP="009E4E70">
      <w:pPr>
        <w:spacing w:afterLines="100" w:after="312" w:line="480" w:lineRule="auto"/>
        <w:rPr>
          <w:rFonts w:ascii="Arial" w:hAnsi="Arial" w:cs="Arial"/>
          <w:szCs w:val="21"/>
          <w:lang w:bidi="ar"/>
        </w:rPr>
      </w:pPr>
    </w:p>
    <w:p w14:paraId="78B1EB9A" w14:textId="25911266" w:rsidR="009E4E70" w:rsidRPr="00262317" w:rsidRDefault="009E4E70" w:rsidP="009E4E70">
      <w:pPr>
        <w:spacing w:afterLines="100" w:after="312" w:line="480" w:lineRule="auto"/>
        <w:rPr>
          <w:rFonts w:ascii="Arial" w:hAnsi="Arial" w:cs="Arial" w:hint="eastAsia"/>
          <w:b/>
          <w:bCs/>
          <w:szCs w:val="21"/>
        </w:rPr>
      </w:pPr>
      <w:r w:rsidRPr="00262317">
        <w:rPr>
          <w:rFonts w:ascii="Arial" w:hAnsi="Arial" w:cs="Arial" w:hint="eastAsia"/>
          <w:b/>
          <w:bCs/>
          <w:noProof/>
          <w:szCs w:val="21"/>
        </w:rPr>
        <w:lastRenderedPageBreak/>
        <w:drawing>
          <wp:inline distT="0" distB="0" distL="0" distR="0" wp14:anchorId="33509E09" wp14:editId="008C687C">
            <wp:extent cx="5151120" cy="8862060"/>
            <wp:effectExtent l="0" t="0" r="0" b="0"/>
            <wp:docPr id="1" name="Picture 1"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map&#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51120" cy="8862060"/>
                    </a:xfrm>
                    <a:prstGeom prst="rect">
                      <a:avLst/>
                    </a:prstGeom>
                    <a:noFill/>
                    <a:ln>
                      <a:noFill/>
                    </a:ln>
                  </pic:spPr>
                </pic:pic>
              </a:graphicData>
            </a:graphic>
          </wp:inline>
        </w:drawing>
      </w:r>
    </w:p>
    <w:p w14:paraId="5CA866DC" w14:textId="77777777" w:rsidR="009E4E70" w:rsidRPr="00262317" w:rsidRDefault="009E4E70" w:rsidP="009E4E70">
      <w:pPr>
        <w:spacing w:line="480" w:lineRule="auto"/>
        <w:rPr>
          <w:rFonts w:ascii="Arial" w:hAnsi="Arial" w:cs="Arial"/>
          <w:b/>
          <w:sz w:val="20"/>
          <w:szCs w:val="20"/>
        </w:rPr>
      </w:pPr>
      <w:r w:rsidRPr="00262317">
        <w:rPr>
          <w:rFonts w:ascii="Arial" w:hAnsi="Arial" w:cs="Arial"/>
          <w:b/>
          <w:bCs/>
          <w:sz w:val="20"/>
          <w:szCs w:val="20"/>
        </w:rPr>
        <w:lastRenderedPageBreak/>
        <w:t>Extended Data Fig. 7</w:t>
      </w:r>
      <w:r w:rsidRPr="00262317">
        <w:rPr>
          <w:rFonts w:ascii="SimSun" w:hAnsi="SimSun" w:cs="Arial" w:hint="eastAsia"/>
          <w:b/>
          <w:bCs/>
          <w:sz w:val="20"/>
          <w:szCs w:val="20"/>
        </w:rPr>
        <w:t>|</w:t>
      </w:r>
      <w:r w:rsidRPr="00262317">
        <w:rPr>
          <w:rFonts w:ascii="Arial" w:hAnsi="Arial" w:cs="Arial"/>
          <w:b/>
          <w:sz w:val="20"/>
          <w:szCs w:val="20"/>
        </w:rPr>
        <w:t>HiPore-C captures DNA methylation and chromatin topology simultaneously.</w:t>
      </w:r>
    </w:p>
    <w:p w14:paraId="437EDFC3" w14:textId="77777777" w:rsidR="009E4E70" w:rsidRPr="00262317" w:rsidRDefault="009E4E70" w:rsidP="009E4E70">
      <w:pPr>
        <w:spacing w:line="480" w:lineRule="auto"/>
        <w:rPr>
          <w:rFonts w:ascii="Arial" w:hAnsi="Arial" w:cs="Arial"/>
          <w:sz w:val="20"/>
          <w:szCs w:val="20"/>
        </w:rPr>
      </w:pPr>
      <w:proofErr w:type="gramStart"/>
      <w:r w:rsidRPr="00262317">
        <w:rPr>
          <w:rFonts w:ascii="Arial" w:hAnsi="Arial" w:cs="Arial"/>
          <w:b/>
          <w:sz w:val="20"/>
          <w:szCs w:val="20"/>
        </w:rPr>
        <w:t>a</w:t>
      </w:r>
      <w:r w:rsidRPr="00262317">
        <w:rPr>
          <w:rFonts w:ascii="Arial" w:hAnsi="Arial" w:cs="Arial"/>
          <w:sz w:val="20"/>
          <w:szCs w:val="20"/>
        </w:rPr>
        <w:t>,</w:t>
      </w:r>
      <w:proofErr w:type="gramEnd"/>
      <w:r w:rsidRPr="00262317">
        <w:rPr>
          <w:rFonts w:ascii="Arial" w:hAnsi="Arial" w:cs="Arial"/>
          <w:sz w:val="20"/>
          <w:szCs w:val="20"/>
        </w:rPr>
        <w:t xml:space="preserve"> Histogram showing Pearson’s correlation coefficients of CpG methylation with WGBS as a control.</w:t>
      </w:r>
    </w:p>
    <w:p w14:paraId="755B0D82"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b</w:t>
      </w:r>
      <w:r w:rsidRPr="00262317">
        <w:rPr>
          <w:rFonts w:ascii="Arial" w:hAnsi="Arial" w:cs="Arial"/>
          <w:sz w:val="20"/>
          <w:szCs w:val="20"/>
        </w:rPr>
        <w:t xml:space="preserve">, Evaluation of </w:t>
      </w:r>
      <w:proofErr w:type="spellStart"/>
      <w:r w:rsidRPr="00262317">
        <w:rPr>
          <w:rFonts w:ascii="Arial" w:hAnsi="Arial" w:cs="Arial"/>
          <w:sz w:val="20"/>
          <w:szCs w:val="20"/>
        </w:rPr>
        <w:t>HiPore</w:t>
      </w:r>
      <w:proofErr w:type="spellEnd"/>
      <w:r w:rsidRPr="00262317">
        <w:rPr>
          <w:rFonts w:ascii="Arial" w:hAnsi="Arial" w:cs="Arial"/>
          <w:sz w:val="20"/>
          <w:szCs w:val="20"/>
        </w:rPr>
        <w:t>-C coverage bias for sequences with different GC contents. The dependence degree of coverage on the GC content is represented by the slope of the regression model. The slopes of WGBS and WGS data obtained by ONT nanopore sequencing were reported to be -1.51 and -0.1</w:t>
      </w:r>
      <w:r w:rsidRPr="00262317">
        <w:rPr>
          <w:rFonts w:ascii="Arial" w:hAnsi="Arial" w:cs="Arial"/>
          <w:sz w:val="20"/>
          <w:szCs w:val="20"/>
        </w:rPr>
        <w:fldChar w:fldCharType="begin">
          <w:fldData xml:space="preserve">PEVuZE5vdGU+PENpdGU+PEF1dGhvcj5MZWU8L0F1dGhvcj48WWVhcj4yMDIwPC9ZZWFyPjxSZWNO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</w:fldData>
        </w:fldChar>
      </w:r>
      <w:r w:rsidRPr="00262317">
        <w:rPr>
          <w:rFonts w:ascii="Arial" w:hAnsi="Arial" w:cs="Arial"/>
          <w:sz w:val="20"/>
          <w:szCs w:val="20"/>
        </w:rPr>
        <w:instrText xml:space="preserve"> ADDIN EN.CITE </w:instrText>
      </w:r>
      <w:r w:rsidRPr="00262317">
        <w:rPr>
          <w:rFonts w:ascii="Arial" w:hAnsi="Arial" w:cs="Arial"/>
          <w:sz w:val="20"/>
          <w:szCs w:val="20"/>
        </w:rPr>
        <w:fldChar w:fldCharType="begin">
          <w:fldData xml:space="preserve">PEVuZE5vdGU+PENpdGU+PEF1dGhvcj5MZWU8L0F1dGhvcj48WWVhcj4yMDIwPC9ZZWFyPjxSZWNO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</w:fldData>
        </w:fldChar>
      </w:r>
      <w:r w:rsidRPr="00262317">
        <w:rPr>
          <w:rFonts w:ascii="Arial" w:hAnsi="Arial" w:cs="Arial"/>
          <w:sz w:val="20"/>
          <w:szCs w:val="20"/>
        </w:rPr>
        <w:instrText xml:space="preserve"> ADDIN EN.CITE.DATA </w:instrText>
      </w:r>
      <w:r w:rsidRPr="00262317">
        <w:rPr>
          <w:rFonts w:ascii="Arial" w:hAnsi="Arial" w:cs="Arial"/>
          <w:sz w:val="20"/>
          <w:szCs w:val="20"/>
        </w:rPr>
      </w:r>
      <w:r w:rsidRPr="00262317">
        <w:rPr>
          <w:rFonts w:ascii="Arial" w:hAnsi="Arial" w:cs="Arial"/>
          <w:sz w:val="20"/>
          <w:szCs w:val="20"/>
        </w:rPr>
        <w:fldChar w:fldCharType="end"/>
      </w:r>
      <w:r w:rsidRPr="00262317">
        <w:rPr>
          <w:rFonts w:ascii="Arial" w:hAnsi="Arial" w:cs="Arial"/>
          <w:sz w:val="20"/>
          <w:szCs w:val="20"/>
        </w:rPr>
        <w:fldChar w:fldCharType="separate"/>
      </w:r>
      <w:r w:rsidRPr="00262317">
        <w:rPr>
          <w:rFonts w:ascii="Arial" w:hAnsi="Arial" w:cs="Arial"/>
          <w:noProof/>
          <w:sz w:val="20"/>
          <w:szCs w:val="20"/>
          <w:vertAlign w:val="superscript"/>
        </w:rPr>
        <w:t>65</w:t>
      </w:r>
      <w:r w:rsidRPr="00262317">
        <w:rPr>
          <w:rFonts w:ascii="Arial" w:hAnsi="Arial" w:cs="Arial"/>
          <w:sz w:val="20"/>
          <w:szCs w:val="20"/>
        </w:rPr>
        <w:fldChar w:fldCharType="end"/>
      </w:r>
      <w:r w:rsidRPr="00262317">
        <w:rPr>
          <w:rFonts w:ascii="Arial" w:hAnsi="Arial" w:cs="Arial"/>
          <w:sz w:val="20"/>
          <w:szCs w:val="20"/>
        </w:rPr>
        <w:t>, respectively.</w:t>
      </w:r>
    </w:p>
    <w:p w14:paraId="412233FB"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c</w:t>
      </w:r>
      <w:r w:rsidRPr="00262317">
        <w:rPr>
          <w:rFonts w:ascii="Arial" w:hAnsi="Arial" w:cs="Arial"/>
          <w:sz w:val="20"/>
          <w:szCs w:val="20"/>
        </w:rPr>
        <w:t>, Correlation between CpG methylation levels at anchors with CTCF binding at both ends.</w:t>
      </w:r>
    </w:p>
    <w:p w14:paraId="5830F27C"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d</w:t>
      </w:r>
      <w:r w:rsidRPr="00262317">
        <w:rPr>
          <w:rFonts w:ascii="Arial" w:hAnsi="Arial" w:cs="Arial"/>
          <w:sz w:val="20"/>
          <w:szCs w:val="20"/>
        </w:rPr>
        <w:t>, Correlation between CpG methylation levels at anchors with CTCF binding at one end.</w:t>
      </w:r>
    </w:p>
    <w:p w14:paraId="68D351C4"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e</w:t>
      </w:r>
      <w:r w:rsidRPr="00262317">
        <w:rPr>
          <w:rFonts w:ascii="Arial" w:hAnsi="Arial" w:cs="Arial"/>
          <w:sz w:val="20"/>
          <w:szCs w:val="20"/>
        </w:rPr>
        <w:t>, Correlation between CpG methylation levels at anchors without CTCF binding.</w:t>
      </w:r>
    </w:p>
    <w:p w14:paraId="0DF4BA6D"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f</w:t>
      </w:r>
      <w:r w:rsidRPr="00262317">
        <w:rPr>
          <w:rFonts w:ascii="Arial" w:hAnsi="Arial" w:cs="Arial"/>
          <w:sz w:val="20"/>
          <w:szCs w:val="20"/>
        </w:rPr>
        <w:t xml:space="preserve">, Correlation between CpG methylation levels at anchors of chromatin loops of high- and low-density </w:t>
      </w:r>
      <w:proofErr w:type="spellStart"/>
      <w:r w:rsidRPr="00262317">
        <w:rPr>
          <w:rFonts w:ascii="Arial" w:hAnsi="Arial" w:cs="Arial"/>
          <w:sz w:val="20"/>
          <w:szCs w:val="20"/>
        </w:rPr>
        <w:t>DNaseI</w:t>
      </w:r>
      <w:proofErr w:type="spellEnd"/>
      <w:r w:rsidRPr="00262317">
        <w:rPr>
          <w:rFonts w:ascii="Arial" w:hAnsi="Arial" w:cs="Arial"/>
          <w:sz w:val="20"/>
          <w:szCs w:val="20"/>
        </w:rPr>
        <w:t>-sensitive sites.</w:t>
      </w:r>
    </w:p>
    <w:p w14:paraId="00A0A27F"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g</w:t>
      </w:r>
      <w:r w:rsidRPr="00262317">
        <w:rPr>
          <w:rFonts w:ascii="Arial" w:hAnsi="Arial" w:cs="Arial"/>
          <w:sz w:val="20"/>
          <w:szCs w:val="20"/>
        </w:rPr>
        <w:t xml:space="preserve">, Violin plot showing the CpG methylation levels of chromatin loops of high- and low-density </w:t>
      </w:r>
      <w:proofErr w:type="spellStart"/>
      <w:r w:rsidRPr="00262317">
        <w:rPr>
          <w:rFonts w:ascii="Arial" w:hAnsi="Arial" w:cs="Arial"/>
          <w:sz w:val="20"/>
          <w:szCs w:val="20"/>
        </w:rPr>
        <w:t>DNaseI</w:t>
      </w:r>
      <w:proofErr w:type="spellEnd"/>
      <w:r w:rsidRPr="00262317">
        <w:rPr>
          <w:rFonts w:ascii="Arial" w:hAnsi="Arial" w:cs="Arial"/>
          <w:sz w:val="20"/>
          <w:szCs w:val="20"/>
        </w:rPr>
        <w:t>-sensitive sites.</w:t>
      </w:r>
    </w:p>
    <w:p w14:paraId="2D868CC6" w14:textId="77777777" w:rsidR="009E4E70" w:rsidRPr="00262317" w:rsidRDefault="009E4E70" w:rsidP="009E4E70">
      <w:pPr>
        <w:spacing w:line="480" w:lineRule="auto"/>
        <w:rPr>
          <w:rFonts w:ascii="Arial" w:hAnsi="Arial" w:cs="Arial"/>
          <w:sz w:val="20"/>
          <w:szCs w:val="20"/>
        </w:rPr>
      </w:pPr>
      <w:r w:rsidRPr="00262317">
        <w:rPr>
          <w:rFonts w:ascii="Arial" w:hAnsi="Arial" w:cs="Arial"/>
          <w:b/>
          <w:sz w:val="20"/>
          <w:szCs w:val="20"/>
        </w:rPr>
        <w:t>h</w:t>
      </w:r>
      <w:r w:rsidRPr="00262317">
        <w:rPr>
          <w:rFonts w:ascii="Arial" w:hAnsi="Arial" w:cs="Arial"/>
          <w:sz w:val="20"/>
          <w:szCs w:val="20"/>
        </w:rPr>
        <w:t xml:space="preserve">, Pearson’s correlation between CpG methylation levels of chromatin loops of high- and low-density </w:t>
      </w:r>
      <w:proofErr w:type="spellStart"/>
      <w:r w:rsidRPr="00262317">
        <w:rPr>
          <w:rFonts w:ascii="Arial" w:hAnsi="Arial" w:cs="Arial"/>
          <w:sz w:val="20"/>
          <w:szCs w:val="20"/>
        </w:rPr>
        <w:t>DNaseI</w:t>
      </w:r>
      <w:proofErr w:type="spellEnd"/>
      <w:r w:rsidRPr="00262317">
        <w:rPr>
          <w:rFonts w:ascii="Arial" w:hAnsi="Arial" w:cs="Arial"/>
          <w:sz w:val="20"/>
          <w:szCs w:val="20"/>
        </w:rPr>
        <w:t>-sensitive sites.</w:t>
      </w:r>
    </w:p>
    <w:p w14:paraId="1DD348F9" w14:textId="77777777" w:rsidR="009E4E70" w:rsidRPr="00262317" w:rsidRDefault="009E4E70" w:rsidP="009E4E70">
      <w:pPr>
        <w:spacing w:line="480" w:lineRule="auto"/>
        <w:rPr>
          <w:rFonts w:ascii="Arial" w:hAnsi="Arial" w:cs="Arial"/>
          <w:sz w:val="20"/>
          <w:szCs w:val="20"/>
        </w:rPr>
      </w:pPr>
      <w:proofErr w:type="spellStart"/>
      <w:r w:rsidRPr="00262317">
        <w:rPr>
          <w:rFonts w:ascii="Arial" w:hAnsi="Arial" w:cs="Arial"/>
          <w:b/>
          <w:sz w:val="20"/>
          <w:szCs w:val="20"/>
        </w:rPr>
        <w:t>i</w:t>
      </w:r>
      <w:proofErr w:type="spellEnd"/>
      <w:r w:rsidRPr="00262317">
        <w:rPr>
          <w:rFonts w:ascii="Arial" w:hAnsi="Arial" w:cs="Arial"/>
          <w:b/>
          <w:sz w:val="20"/>
          <w:szCs w:val="20"/>
        </w:rPr>
        <w:t>-k</w:t>
      </w:r>
      <w:r w:rsidRPr="00262317">
        <w:rPr>
          <w:rFonts w:ascii="Arial" w:hAnsi="Arial" w:cs="Arial"/>
          <w:sz w:val="20"/>
          <w:szCs w:val="20"/>
        </w:rPr>
        <w:t>, Analysis of chromatin loops of high- and low-H3K27ac density as in (</w:t>
      </w:r>
      <w:r w:rsidRPr="00262317">
        <w:rPr>
          <w:rFonts w:ascii="Arial" w:hAnsi="Arial" w:cs="Arial"/>
          <w:b/>
          <w:sz w:val="20"/>
          <w:szCs w:val="20"/>
        </w:rPr>
        <w:t>f-h</w:t>
      </w:r>
      <w:r w:rsidRPr="00262317">
        <w:rPr>
          <w:rFonts w:ascii="Arial" w:hAnsi="Arial" w:cs="Arial"/>
          <w:sz w:val="20"/>
          <w:szCs w:val="20"/>
        </w:rPr>
        <w:t>).</w:t>
      </w:r>
    </w:p>
    <w:p w14:paraId="4DA32A8C" w14:textId="77777777" w:rsidR="009E4E70" w:rsidRPr="00DE7082" w:rsidRDefault="009E4E70" w:rsidP="009E4E70">
      <w:pPr>
        <w:spacing w:afterLines="100" w:after="312" w:line="480" w:lineRule="auto"/>
        <w:rPr>
          <w:rFonts w:ascii="Arial" w:hAnsi="Arial" w:cs="Arial" w:hint="eastAsia"/>
          <w:b/>
          <w:sz w:val="24"/>
          <w:szCs w:val="21"/>
        </w:rPr>
      </w:pPr>
      <w:r w:rsidRPr="00262317">
        <w:rPr>
          <w:rFonts w:ascii="Arial" w:hAnsi="Arial" w:cs="Arial"/>
          <w:b/>
          <w:sz w:val="20"/>
          <w:szCs w:val="20"/>
        </w:rPr>
        <w:t>l-n</w:t>
      </w:r>
      <w:r w:rsidRPr="00262317">
        <w:rPr>
          <w:rFonts w:ascii="Arial" w:hAnsi="Arial" w:cs="Arial"/>
          <w:sz w:val="20"/>
          <w:szCs w:val="20"/>
        </w:rPr>
        <w:t>, Analysis of chromatin loops of high- and low-RNA expression as in (</w:t>
      </w:r>
      <w:r w:rsidRPr="00262317">
        <w:rPr>
          <w:rFonts w:ascii="Arial" w:hAnsi="Arial" w:cs="Arial"/>
          <w:b/>
          <w:sz w:val="20"/>
          <w:szCs w:val="20"/>
        </w:rPr>
        <w:t>f-h</w:t>
      </w:r>
      <w:r w:rsidRPr="00262317">
        <w:rPr>
          <w:rFonts w:ascii="Arial" w:hAnsi="Arial" w:cs="Arial"/>
          <w:sz w:val="20"/>
          <w:szCs w:val="20"/>
        </w:rPr>
        <w:t>).</w:t>
      </w:r>
    </w:p>
    <w:p w14:paraId="731389CC" w14:textId="77777777" w:rsidR="00C95873" w:rsidRDefault="00C95873"/>
    <w:sectPr w:rsidR="00C95873">
      <w:footerReference w:type="default" r:id="rId11"/>
      <w:pgSz w:w="11906" w:h="16838"/>
      <w:pgMar w:top="1440" w:right="1800" w:bottom="1440" w:left="1800" w:header="851" w:footer="992" w:gutter="0"/>
      <w:lnNumType w:countBy="1" w:restart="continuous"/>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413E4" w14:textId="77777777" w:rsidR="00E30838" w:rsidRDefault="009E4E70">
    <w:pPr>
      <w:pStyle w:val="Footer"/>
      <w:jc w:val="right"/>
    </w:pPr>
    <w:r>
      <w:fldChar w:fldCharType="begin"/>
    </w:r>
    <w:r>
      <w:instrText>PAGE   \* MERGEFORMAT</w:instrText>
    </w:r>
    <w:r>
      <w:fldChar w:fldCharType="separate"/>
    </w:r>
    <w:r w:rsidRPr="00534E55">
      <w:rPr>
        <w:noProof/>
        <w:lang w:val="en-US" w:eastAsia="en-US"/>
      </w:rPr>
      <w:t>3</w:t>
    </w:r>
    <w:r>
      <w:fldChar w:fldCharType="end"/>
    </w:r>
  </w:p>
  <w:p w14:paraId="3C9BD783" w14:textId="77777777" w:rsidR="00E30838" w:rsidRDefault="009E4E7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E70"/>
    <w:rsid w:val="009E4E70"/>
    <w:rsid w:val="00C95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C6188"/>
  <w15:chartTrackingRefBased/>
  <w15:docId w15:val="{7FE86421-25A4-4134-94AB-A7D884ECA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E70"/>
    <w:pPr>
      <w:widowControl w:val="0"/>
      <w:spacing w:after="0" w:line="240" w:lineRule="auto"/>
      <w:jc w:val="both"/>
    </w:pPr>
    <w:rPr>
      <w:rFonts w:ascii="Calibri" w:eastAsia="SimSun" w:hAnsi="Calibri"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E4E70"/>
    <w:pPr>
      <w:tabs>
        <w:tab w:val="center" w:pos="4153"/>
        <w:tab w:val="right" w:pos="8306"/>
      </w:tabs>
      <w:snapToGrid w:val="0"/>
      <w:jc w:val="left"/>
    </w:pPr>
    <w:rPr>
      <w:sz w:val="18"/>
      <w:szCs w:val="18"/>
      <w:lang w:val="x-none" w:eastAsia="x-none"/>
    </w:rPr>
  </w:style>
  <w:style w:type="character" w:customStyle="1" w:styleId="FooterChar">
    <w:name w:val="Footer Char"/>
    <w:basedOn w:val="DefaultParagraphFont"/>
    <w:link w:val="Footer"/>
    <w:uiPriority w:val="99"/>
    <w:rsid w:val="009E4E70"/>
    <w:rPr>
      <w:rFonts w:ascii="Calibri" w:eastAsia="SimSun" w:hAnsi="Calibri" w:cs="Times New Roman"/>
      <w:kern w:val="2"/>
      <w:sz w:val="18"/>
      <w:szCs w:val="18"/>
      <w:lang w:val="x-none" w:eastAsia="x-none"/>
    </w:rPr>
  </w:style>
  <w:style w:type="character" w:styleId="LineNumber">
    <w:name w:val="line number"/>
    <w:basedOn w:val="DefaultParagraphFont"/>
    <w:uiPriority w:val="99"/>
    <w:semiHidden/>
    <w:unhideWhenUsed/>
    <w:rsid w:val="009E4E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1207</Words>
  <Characters>6886</Characters>
  <Application>Microsoft Office Word</Application>
  <DocSecurity>0</DocSecurity>
  <Lines>57</Lines>
  <Paragraphs>16</Paragraphs>
  <ScaleCrop>false</ScaleCrop>
  <Company/>
  <LinksUpToDate>false</LinksUpToDate>
  <CharactersWithSpaces>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2022-06-15T15:47:00Z</dcterms:created>
  <dcterms:modified xsi:type="dcterms:W3CDTF">2022-06-15T15:47:00Z</dcterms:modified>
</cp:coreProperties>
</file>