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tbl>
      <w:tblPr>
        <w:tblStyle w:val="Tabellenraster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09"/>
        <w:gridCol w:w="1134"/>
        <w:gridCol w:w="1134"/>
        <w:gridCol w:w="850"/>
        <w:gridCol w:w="851"/>
        <w:gridCol w:w="850"/>
        <w:gridCol w:w="1559"/>
      </w:tblGrid>
      <w:tr>
        <w:trPr>
          <w:trHeight w:val="480"/>
        </w:trPr>
        <w:tc>
          <w:tcPr>
            <w:tcW w:w="9180" w:type="dxa"/>
            <w:gridSpan w:val="8"/>
            <w:tcBorders>
              <w:bottom w:val="single" w:sz="12" w:space="0" w:color="auto"/>
            </w:tcBorders>
          </w:tcPr>
          <w:p>
            <w:pPr>
              <w:spacing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Supplemental table 1.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MRI imaging parameters.</w:t>
            </w:r>
          </w:p>
        </w:tc>
      </w:tr>
      <w:tr>
        <w:trPr>
          <w:cantSplit/>
          <w:trHeight w:val="1568"/>
        </w:trPr>
        <w:tc>
          <w:tcPr>
            <w:tcW w:w="20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Slice thickness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Acquisition matrix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In-plane resolution (mm²)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Repetition time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Echo time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Flip angle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Fat saturation</w:t>
            </w:r>
          </w:p>
        </w:tc>
      </w:tr>
      <w:tr>
        <w:tc>
          <w:tcPr>
            <w:tcW w:w="2093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b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lang w:val="en-US"/>
              </w:rPr>
              <w:t>Wholebody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>
            <w:pPr>
              <w:spacing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>
            <w:pPr>
              <w:spacing w:line="480" w:lineRule="auto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c>
          <w:tcPr>
            <w:tcW w:w="2093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T2w HASTE </w:t>
            </w:r>
            <w:proofErr w:type="spellStart"/>
            <w:r>
              <w:rPr>
                <w:rFonts w:ascii="Times New Roman" w:eastAsia="Times New Roman" w:hAnsi="Times New Roman"/>
                <w:lang w:val="en-US"/>
              </w:rPr>
              <w:t>cor</w:t>
            </w:r>
            <w:proofErr w:type="spellEnd"/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320x320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1.5625</w:t>
            </w:r>
            <w:r>
              <w:rPr>
                <w:rFonts w:ascii="Times New Roman" w:hAnsi="Times New Roman"/>
              </w:rPr>
              <w:t xml:space="preserve">\ </w:t>
            </w:r>
            <w:r>
              <w:rPr>
                <w:rFonts w:ascii="Times New Roman" w:eastAsia="Times New Roman" w:hAnsi="Times New Roman"/>
                <w:lang w:val="en-US"/>
              </w:rPr>
              <w:t>1.5625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1200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91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160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c>
          <w:tcPr>
            <w:tcW w:w="2093" w:type="dxa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T2w HASTE </w:t>
            </w:r>
            <w:proofErr w:type="spellStart"/>
            <w:r>
              <w:rPr>
                <w:rFonts w:ascii="Times New Roman" w:eastAsia="Times New Roman" w:hAnsi="Times New Roman"/>
                <w:lang w:val="en-US"/>
              </w:rPr>
              <w:t>tra</w:t>
            </w:r>
            <w:proofErr w:type="spellEnd"/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256x</w:t>
            </w:r>
            <w:r>
              <w:rPr>
                <w:rFonts w:ascii="Times New Roman" w:hAnsi="Times New Roman"/>
              </w:rPr>
              <w:t>172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0.785</w:t>
            </w:r>
            <w:r>
              <w:rPr>
                <w:rFonts w:ascii="Times New Roman" w:hAnsi="Times New Roman"/>
              </w:rPr>
              <w:t xml:space="preserve">\ </w:t>
            </w:r>
            <w:r>
              <w:rPr>
                <w:rFonts w:ascii="Times New Roman" w:eastAsia="Times New Roman" w:hAnsi="Times New Roman"/>
                <w:lang w:val="en-US"/>
              </w:rPr>
              <w:t>0.78125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1200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95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160</w:t>
            </w: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c>
          <w:tcPr>
            <w:tcW w:w="2093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T1w GRE (VIBE) </w:t>
            </w:r>
            <w:proofErr w:type="spellStart"/>
            <w:r>
              <w:rPr>
                <w:rFonts w:ascii="Times New Roman" w:eastAsia="Times New Roman" w:hAnsi="Times New Roman"/>
                <w:lang w:val="en-US"/>
              </w:rPr>
              <w:t>tra</w:t>
            </w:r>
            <w:proofErr w:type="spellEnd"/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384x</w:t>
            </w:r>
            <w:r>
              <w:rPr>
                <w:rFonts w:ascii="Times New Roman" w:hAnsi="Times New Roman"/>
              </w:rPr>
              <w:t>234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1.3021</w:t>
            </w:r>
            <w:r>
              <w:rPr>
                <w:rFonts w:ascii="Times New Roman" w:hAnsi="Times New Roman"/>
              </w:rPr>
              <w:t>\ 1.3021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3.95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1.23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10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Dixon fat saturation</w:t>
            </w:r>
          </w:p>
        </w:tc>
      </w:tr>
      <w:tr>
        <w:tc>
          <w:tcPr>
            <w:tcW w:w="2093" w:type="dxa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DWI (b50/800)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128x</w:t>
            </w:r>
            <w:r>
              <w:rPr>
                <w:rFonts w:ascii="Times New Roman" w:hAnsi="Times New Roman"/>
              </w:rPr>
              <w:t>104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1.7578</w:t>
            </w:r>
            <w:r>
              <w:rPr>
                <w:rFonts w:ascii="Times New Roman" w:hAnsi="Times New Roman"/>
              </w:rPr>
              <w:t xml:space="preserve">\ </w:t>
            </w:r>
            <w:r>
              <w:rPr>
                <w:rFonts w:ascii="Times New Roman" w:eastAsia="Times New Roman" w:hAnsi="Times New Roman"/>
                <w:lang w:val="en-US"/>
              </w:rPr>
              <w:t>1.7578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2500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52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90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Water excitation</w:t>
            </w:r>
          </w:p>
        </w:tc>
      </w:tr>
      <w:tr>
        <w:tc>
          <w:tcPr>
            <w:tcW w:w="2093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Post KM: T1w GRE (VIBE)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320x</w:t>
            </w:r>
            <w:r>
              <w:rPr>
                <w:rFonts w:ascii="Times New Roman" w:hAnsi="Times New Roman"/>
                <w:lang w:val="en-US"/>
              </w:rPr>
              <w:t>195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1.2813</w:t>
            </w:r>
            <w:r>
              <w:rPr>
                <w:rFonts w:ascii="Times New Roman" w:hAnsi="Times New Roman"/>
                <w:lang w:val="en-US"/>
              </w:rPr>
              <w:t xml:space="preserve">\ </w:t>
            </w:r>
            <w:r>
              <w:rPr>
                <w:rFonts w:ascii="Times New Roman" w:eastAsia="Times New Roman" w:hAnsi="Times New Roman"/>
                <w:lang w:val="en-US"/>
              </w:rPr>
              <w:t>1.2813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3.93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1.24/ 2.48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>
            <w:pPr>
              <w:spacing w:line="276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Dixon fat saturation</w:t>
            </w:r>
          </w:p>
        </w:tc>
      </w:tr>
      <w:tr>
        <w:tc>
          <w:tcPr>
            <w:tcW w:w="2093" w:type="dxa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b/>
                <w:lang w:val="en-US"/>
              </w:rPr>
            </w:pPr>
          </w:p>
          <w:p>
            <w:pPr>
              <w:spacing w:line="360" w:lineRule="auto"/>
              <w:rPr>
                <w:rFonts w:ascii="Times New Roman" w:eastAsia="Times New Roman" w:hAnsi="Times New Roman"/>
                <w:b/>
                <w:lang w:val="en-US"/>
              </w:rPr>
            </w:pPr>
            <w:r>
              <w:rPr>
                <w:rFonts w:ascii="Times New Roman" w:eastAsia="Times New Roman" w:hAnsi="Times New Roman"/>
                <w:b/>
                <w:lang w:val="en-US"/>
              </w:rPr>
              <w:t xml:space="preserve">Pelvis 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c>
          <w:tcPr>
            <w:tcW w:w="2093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T2w TSE </w:t>
            </w:r>
            <w:proofErr w:type="spellStart"/>
            <w:r>
              <w:rPr>
                <w:rFonts w:ascii="Times New Roman" w:eastAsia="Times New Roman" w:hAnsi="Times New Roman"/>
                <w:lang w:val="en-US"/>
              </w:rPr>
              <w:t>tra</w:t>
            </w:r>
            <w:proofErr w:type="spellEnd"/>
            <w:r>
              <w:rPr>
                <w:rFonts w:ascii="Times New Roman" w:eastAsia="Times New Roman" w:hAnsi="Times New Roman"/>
                <w:lang w:val="en-U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320x320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0.78125</w:t>
            </w:r>
            <w:r>
              <w:rPr>
                <w:rFonts w:ascii="Times New Roman" w:hAnsi="Times New Roman"/>
                <w:lang w:val="en-US"/>
              </w:rPr>
              <w:t>\</w:t>
            </w:r>
            <w:r>
              <w:rPr>
                <w:rFonts w:ascii="Times New Roman" w:eastAsia="Times New Roman" w:hAnsi="Times New Roman"/>
                <w:lang w:val="en-US"/>
              </w:rPr>
              <w:t>0.78125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5760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101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160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c>
          <w:tcPr>
            <w:tcW w:w="2093" w:type="dxa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T2w</w:t>
            </w:r>
            <w:r>
              <w:rPr>
                <w:rFonts w:ascii="Times New Roman" w:eastAsia="Times New Roman" w:hAnsi="Times New Roman"/>
                <w:lang w:val="en-US"/>
              </w:rPr>
              <w:t xml:space="preserve"> TSE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cor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320x310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0.78125</w:t>
            </w:r>
            <w:r>
              <w:rPr>
                <w:rFonts w:ascii="Times New Roman" w:hAnsi="Times New Roman"/>
                <w:lang w:val="en-US"/>
              </w:rPr>
              <w:t>\</w:t>
            </w:r>
            <w:r>
              <w:rPr>
                <w:rFonts w:ascii="Times New Roman" w:eastAsia="Times New Roman" w:hAnsi="Times New Roman"/>
                <w:lang w:val="en-US"/>
              </w:rPr>
              <w:t>0.78125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5880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101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160</w:t>
            </w: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rPr>
          <w:trHeight w:val="435"/>
        </w:trPr>
        <w:tc>
          <w:tcPr>
            <w:tcW w:w="2093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T2w TSE sag. 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320x310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0.625</w:t>
            </w:r>
            <w:r>
              <w:rPr>
                <w:rFonts w:ascii="Times New Roman" w:hAnsi="Times New Roman"/>
                <w:lang w:val="en-US"/>
              </w:rPr>
              <w:t>\ 0.625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5760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101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160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>
        <w:trPr>
          <w:trHeight w:val="240"/>
        </w:trPr>
        <w:tc>
          <w:tcPr>
            <w:tcW w:w="9180" w:type="dxa"/>
            <w:gridSpan w:val="8"/>
            <w:tcBorders>
              <w:top w:val="single" w:sz="12" w:space="0" w:color="auto"/>
            </w:tcBorders>
          </w:tcPr>
          <w:p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HASTE</w:t>
            </w:r>
            <w:r>
              <w:rPr>
                <w:rFonts w:ascii="Times New Roman" w:hAnsi="Times New Roman"/>
                <w:lang w:val="en-US"/>
              </w:rPr>
              <w:t xml:space="preserve">: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H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alf </w:t>
            </w:r>
            <w:proofErr w:type="spellStart"/>
            <w:r>
              <w:rPr>
                <w:rStyle w:val="st"/>
                <w:rFonts w:ascii="Times New Roman" w:hAnsi="Times New Roman"/>
                <w:lang w:val="en-US"/>
              </w:rPr>
              <w:t>fourier</w:t>
            </w:r>
            <w:proofErr w:type="spellEnd"/>
            <w:r>
              <w:rPr>
                <w:rStyle w:val="st"/>
                <w:rFonts w:ascii="Times New Roman" w:hAnsi="Times New Roman"/>
                <w:lang w:val="en-US"/>
              </w:rPr>
              <w:t xml:space="preserve">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A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cquisition single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S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hot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T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urbo spin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E</w:t>
            </w:r>
            <w:r>
              <w:rPr>
                <w:rStyle w:val="st"/>
                <w:rFonts w:ascii="Times New Roman" w:hAnsi="Times New Roman"/>
                <w:lang w:val="en-US"/>
              </w:rPr>
              <w:t>cho</w:t>
            </w:r>
          </w:p>
          <w:p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VIBE</w:t>
            </w:r>
            <w:r>
              <w:rPr>
                <w:rFonts w:ascii="Times New Roman" w:hAnsi="Times New Roman"/>
                <w:lang w:val="en-US"/>
              </w:rPr>
              <w:t xml:space="preserve">: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V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olume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I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nterpolated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B</w:t>
            </w:r>
            <w:r>
              <w:rPr>
                <w:rStyle w:val="st"/>
                <w:rFonts w:ascii="Times New Roman" w:hAnsi="Times New Roman"/>
                <w:lang w:val="en-US"/>
              </w:rPr>
              <w:t xml:space="preserve">reath-hold </w:t>
            </w:r>
            <w:r>
              <w:rPr>
                <w:rStyle w:val="st"/>
                <w:rFonts w:ascii="Times New Roman" w:hAnsi="Times New Roman"/>
                <w:b/>
                <w:lang w:val="en-US"/>
              </w:rPr>
              <w:t>E</w:t>
            </w:r>
            <w:r>
              <w:rPr>
                <w:rStyle w:val="st"/>
                <w:rFonts w:ascii="Times New Roman" w:hAnsi="Times New Roman"/>
                <w:lang w:val="en-US"/>
              </w:rPr>
              <w:t>xamination</w:t>
            </w:r>
          </w:p>
        </w:tc>
      </w:tr>
    </w:tbl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p>
      <w:pPr>
        <w:spacing w:line="480" w:lineRule="auto"/>
        <w:ind w:left="-851"/>
        <w:jc w:val="both"/>
        <w:rPr>
          <w:rFonts w:ascii="Times New Roman" w:hAnsi="Times New Roman"/>
          <w:b/>
          <w:lang w:val="en-US"/>
        </w:rPr>
      </w:pPr>
    </w:p>
    <w:tbl>
      <w:tblPr>
        <w:tblStyle w:val="Tabellenraster"/>
        <w:tblW w:w="10944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1060"/>
        <w:gridCol w:w="642"/>
        <w:gridCol w:w="1378"/>
        <w:gridCol w:w="1647"/>
        <w:gridCol w:w="856"/>
        <w:gridCol w:w="1414"/>
        <w:gridCol w:w="1051"/>
        <w:gridCol w:w="1163"/>
      </w:tblGrid>
      <w:tr>
        <w:trPr>
          <w:trHeight w:val="532"/>
        </w:trPr>
        <w:tc>
          <w:tcPr>
            <w:tcW w:w="10944" w:type="dxa"/>
            <w:gridSpan w:val="9"/>
          </w:tcPr>
          <w:p>
            <w:pPr>
              <w:spacing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lang w:val="en-US"/>
              </w:rPr>
              <w:lastRenderedPageBreak/>
              <w:t xml:space="preserve">Supplemental table 2. </w:t>
            </w:r>
            <w:r>
              <w:rPr>
                <w:rFonts w:ascii="Times New Roman" w:hAnsi="Times New Roman"/>
                <w:sz w:val="24"/>
                <w:lang w:val="en-US"/>
              </w:rPr>
              <w:t>Survey table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of AUC analysis of the dual-time-point PET/MRI parameters for G2 and G3 cervical carcinoma. No lymph node present in G1 tumors.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</w:p>
        </w:tc>
      </w:tr>
      <w:tr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Parameter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Grading</w:t>
            </w:r>
            <w:proofErr w:type="spellEnd"/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Prevalence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Method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AUC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95%CI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p-</w:t>
            </w:r>
            <w:proofErr w:type="spellStart"/>
            <w:r>
              <w:rPr>
                <w:rFonts w:ascii="Times New Roman" w:hAnsi="Times New Roman"/>
                <w:b/>
              </w:rPr>
              <w:t>value</w:t>
            </w:r>
            <w:proofErr w:type="spellEnd"/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Style w:val="hgkelc"/>
                <w:rFonts w:ascii="Times New Roman" w:hAnsi="Times New Roman"/>
                <w:b/>
                <w:bCs/>
              </w:rPr>
              <w:t>Std.Error</w:t>
            </w:r>
            <w:proofErr w:type="spellEnd"/>
          </w:p>
        </w:tc>
      </w:tr>
      <w:tr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Size</w:t>
            </w:r>
          </w:p>
        </w:tc>
        <w:tc>
          <w:tcPr>
            <w:tcW w:w="1060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249</w:t>
            </w:r>
          </w:p>
        </w:tc>
        <w:tc>
          <w:tcPr>
            <w:tcW w:w="1378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17.3%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short-axis</w:t>
            </w:r>
            <w:proofErr w:type="spellEnd"/>
          </w:p>
        </w:tc>
        <w:tc>
          <w:tcPr>
            <w:tcW w:w="856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0.741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0.645-0.837</w:t>
            </w:r>
          </w:p>
        </w:tc>
        <w:tc>
          <w:tcPr>
            <w:tcW w:w="1051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0.049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105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17.1%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short-axis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0.520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0.352-0.679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0.838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0.083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119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20.2%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short-axis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0.900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0.846-0.961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0.030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SUV early PET</w:t>
            </w: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218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18.8%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0.809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0.805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0.807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0.728-0.890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0.723-0.887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0.726-0.888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&lt;0.01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0.041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97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17.5%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0.644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0.529-0.817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0.500-0.796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0.502-0.786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0.025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0.062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0.072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0.910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0.909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0.820-0.982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0.837-0.983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0.833-0.985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0.037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0.039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SUV early PET with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bpc</w:t>
            </w:r>
            <w:proofErr w:type="spellEnd"/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218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18.8%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0.790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0.790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0.761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0.700-0.880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0.700-0.880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0.668-0.855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0.048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97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17.5%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0.664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0.588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0.511-0.817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0.489-0.802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0.255-0.431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0.035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0.255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0.080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e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0.866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0.878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0.857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0.767-0.965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0.785-0.971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0.755-0.958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0.052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SUV delayed PET</w:t>
            </w: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212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0.741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0.768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0.748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0.640-0.843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0.671-0.866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0.649-0.846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&lt;0.01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0.050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96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17.8%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0.570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0.581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0.411-0.729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0.481-0.799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0.426-0.736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0.364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0.295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0.079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0.883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0.883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0.879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0.788-0.978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0.787-0.979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0.780-0.978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0.050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SUV delayed PET with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bpc</w:t>
            </w:r>
            <w:proofErr w:type="spellEnd"/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212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0.769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0.799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0.768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0.673-8.866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0.709-0.888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0.676-0.860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0.047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96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17.8%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0.634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0.448-0.767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0.524-0.830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0.479-0.789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0.164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0.023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0.079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0.079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bpcSUV</w:t>
            </w:r>
            <w:r>
              <w:rPr>
                <w:rFonts w:ascii="Times New Roman" w:hAnsi="Times New Roman"/>
                <w:b/>
                <w:vertAlign w:val="subscript"/>
              </w:rPr>
              <w:t>d</w:t>
            </w:r>
            <w:r>
              <w:rPr>
                <w:rFonts w:ascii="Times New Roman" w:hAnsi="Times New Roman"/>
                <w:b/>
              </w:rPr>
              <w:t>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0.895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0.905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0.874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0.814-0.977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0.836-0.975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0.787-0.960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0.036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0.044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ADC</w:t>
            </w: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218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17.9%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ADCmean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0.600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0.515-0.685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0.050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0.043</w:t>
            </w:r>
          </w:p>
        </w:tc>
      </w:tr>
      <w:tr>
        <w:tc>
          <w:tcPr>
            <w:tcW w:w="1733" w:type="dxa"/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86</w:t>
            </w:r>
          </w:p>
        </w:tc>
        <w:tc>
          <w:tcPr>
            <w:tcW w:w="13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16.3%</w:t>
            </w:r>
          </w:p>
        </w:tc>
        <w:tc>
          <w:tcPr>
            <w:tcW w:w="1647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ADCmean</w:t>
            </w:r>
            <w:proofErr w:type="spellEnd"/>
          </w:p>
        </w:tc>
        <w:tc>
          <w:tcPr>
            <w:tcW w:w="85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0.580</w:t>
            </w:r>
          </w:p>
        </w:tc>
        <w:tc>
          <w:tcPr>
            <w:tcW w:w="141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0.458-0.103</w:t>
            </w:r>
          </w:p>
        </w:tc>
        <w:tc>
          <w:tcPr>
            <w:tcW w:w="1051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0.343</w:t>
            </w:r>
          </w:p>
        </w:tc>
        <w:tc>
          <w:tcPr>
            <w:tcW w:w="1163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0.062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109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ADCmean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0.603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0.486-0.721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0.123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0.060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Dual-time-point kinetic -</w:t>
            </w:r>
          </w:p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lang w:val="en-US"/>
              </w:rPr>
              <w:t>retentionindex</w:t>
            </w:r>
            <w:proofErr w:type="spellEnd"/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</w:rPr>
              <w:t>179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</w:rPr>
              <w:t>18.4%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0.544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0.665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0.434-0.654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0.505-0.710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0.554-0.777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0.429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0.003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0.057</w:t>
            </w: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18.2%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0.382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0.525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0.234-0.529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0.352-0.649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0.381-0-668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0.141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0.991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0.758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0.073</w:t>
            </w:r>
          </w:p>
        </w:tc>
      </w:tr>
      <w:tr>
        <w:tc>
          <w:tcPr>
            <w:tcW w:w="1733" w:type="dxa"/>
            <w:shd w:val="clear" w:color="auto" w:fill="FFFFFF" w:themeFill="background1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shd w:val="clear" w:color="auto" w:fill="FFFFFF" w:themeFill="background1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lastRenderedPageBreak/>
              <w:t>RI-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SUVpeak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0.718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0.720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0.674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0.577-0.858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0.590-0.851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0.530-0.818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0.007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0.006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0.030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0.072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0.073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>
        <w:tc>
          <w:tcPr>
            <w:tcW w:w="1733" w:type="dxa"/>
            <w:shd w:val="clear" w:color="auto" w:fill="F2F2F2" w:themeFill="background1" w:themeFillShade="F2"/>
            <w:vAlign w:val="center"/>
          </w:tcPr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Dual-time-point kinetic -</w:t>
            </w:r>
          </w:p>
          <w:p>
            <w:pPr>
              <w:spacing w:line="276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absolute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bpcSUV</w:t>
            </w:r>
            <w:proofErr w:type="spellEnd"/>
            <w:r>
              <w:rPr>
                <w:rFonts w:ascii="Times New Roman" w:hAnsi="Times New Roman"/>
                <w:b/>
                <w:lang w:val="en-US"/>
              </w:rPr>
              <w:t xml:space="preserve"> difference</w:t>
            </w:r>
          </w:p>
        </w:tc>
        <w:tc>
          <w:tcPr>
            <w:tcW w:w="1060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179</w:t>
            </w:r>
          </w:p>
        </w:tc>
        <w:tc>
          <w:tcPr>
            <w:tcW w:w="1378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18.4%</w:t>
            </w:r>
          </w:p>
        </w:tc>
        <w:tc>
          <w:tcPr>
            <w:tcW w:w="1647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SUVpeak</w:t>
            </w:r>
            <w:proofErr w:type="spellEnd"/>
          </w:p>
        </w:tc>
        <w:tc>
          <w:tcPr>
            <w:tcW w:w="856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0.613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0.673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0.665</w:t>
            </w:r>
          </w:p>
        </w:tc>
        <w:tc>
          <w:tcPr>
            <w:tcW w:w="1414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0.487-0.739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0.557-0-790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0.554-0.777</w:t>
            </w:r>
          </w:p>
        </w:tc>
        <w:tc>
          <w:tcPr>
            <w:tcW w:w="1051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0.003</w:t>
            </w:r>
          </w:p>
        </w:tc>
        <w:tc>
          <w:tcPr>
            <w:tcW w:w="1163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0.060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0.057</w:t>
            </w:r>
          </w:p>
        </w:tc>
      </w:tr>
      <w:tr>
        <w:tc>
          <w:tcPr>
            <w:tcW w:w="1733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G2</w:t>
            </w:r>
          </w:p>
        </w:tc>
        <w:tc>
          <w:tcPr>
            <w:tcW w:w="64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1378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18.2%</w:t>
            </w:r>
          </w:p>
        </w:tc>
        <w:tc>
          <w:tcPr>
            <w:tcW w:w="1647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SUVpeak</w:t>
            </w:r>
            <w:proofErr w:type="spellEnd"/>
          </w:p>
        </w:tc>
        <w:tc>
          <w:tcPr>
            <w:tcW w:w="856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0.422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0.542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0.571</w:t>
            </w:r>
          </w:p>
        </w:tc>
        <w:tc>
          <w:tcPr>
            <w:tcW w:w="1414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0.252-0.592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0.377-0.707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0.417-0.725</w:t>
            </w:r>
          </w:p>
        </w:tc>
        <w:tc>
          <w:tcPr>
            <w:tcW w:w="1051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0.330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0.379</w:t>
            </w:r>
          </w:p>
        </w:tc>
        <w:tc>
          <w:tcPr>
            <w:tcW w:w="1163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0.087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0.084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0.078</w:t>
            </w:r>
          </w:p>
        </w:tc>
      </w:tr>
      <w:tr>
        <w:tc>
          <w:tcPr>
            <w:tcW w:w="173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G3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23.0%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SUVavg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SUVmax</w:t>
            </w:r>
            <w:proofErr w:type="spellEnd"/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∆</w:t>
            </w:r>
            <w:proofErr w:type="spellStart"/>
            <w:r>
              <w:rPr>
                <w:rFonts w:ascii="Times New Roman" w:hAnsi="Times New Roman"/>
                <w:b/>
              </w:rPr>
              <w:t>SUVpeak</w:t>
            </w:r>
            <w:proofErr w:type="spellEnd"/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0.791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0.793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0.757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0.644-0.938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0.646-0.940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0.605-0.909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0.075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0.077</w:t>
            </w:r>
          </w:p>
        </w:tc>
      </w:tr>
      <w:tr>
        <w:tc>
          <w:tcPr>
            <w:tcW w:w="10944" w:type="dxa"/>
            <w:gridSpan w:val="9"/>
            <w:tcBorders>
              <w:top w:val="single" w:sz="4" w:space="0" w:color="auto"/>
            </w:tcBorders>
          </w:tcPr>
          <w:p>
            <w:pPr>
              <w:spacing w:line="480" w:lineRule="auto"/>
              <w:jc w:val="both"/>
              <w:rPr>
                <w:rStyle w:val="Kommentarzeichen"/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</w:rPr>
              <w:t>bpc</w:t>
            </w:r>
            <w:proofErr w:type="spellEnd"/>
            <w:r>
              <w:rPr>
                <w:rFonts w:ascii="Times New Roman" w:hAnsi="Times New Roman"/>
                <w:b/>
              </w:rPr>
              <w:t xml:space="preserve">= </w:t>
            </w:r>
            <w:proofErr w:type="spellStart"/>
            <w:r>
              <w:rPr>
                <w:rFonts w:ascii="Times New Roman" w:hAnsi="Times New Roman"/>
                <w:b/>
              </w:rPr>
              <w:t>blood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pool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correction</w:t>
            </w:r>
            <w:proofErr w:type="spellEnd"/>
          </w:p>
        </w:tc>
      </w:tr>
    </w:tbl>
    <w:p>
      <w:pPr>
        <w:spacing w:line="480" w:lineRule="auto"/>
        <w:jc w:val="both"/>
        <w:rPr>
          <w:rFonts w:ascii="Times New Roman" w:hAnsi="Times New Roman"/>
          <w:b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tbl>
      <w:tblPr>
        <w:tblStyle w:val="Tabellenraster"/>
        <w:tblpPr w:leftFromText="141" w:rightFromText="141" w:vertAnchor="page" w:horzAnchor="margin" w:tblpY="926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2"/>
        <w:gridCol w:w="1479"/>
        <w:gridCol w:w="1559"/>
        <w:gridCol w:w="2552"/>
        <w:gridCol w:w="1417"/>
      </w:tblGrid>
      <w:tr>
        <w:trPr>
          <w:trHeight w:val="704"/>
        </w:trPr>
        <w:tc>
          <w:tcPr>
            <w:tcW w:w="9889" w:type="dxa"/>
            <w:gridSpan w:val="5"/>
          </w:tcPr>
          <w:p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 xml:space="preserve">Supplemental table 3.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Effect of the tumor grade on PET/MR parameters of lymph node metastases.</w:t>
            </w:r>
          </w:p>
        </w:tc>
      </w:tr>
      <w:tr>
        <w:tc>
          <w:tcPr>
            <w:tcW w:w="288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Grading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Mean±SD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p-value</w:t>
            </w:r>
          </w:p>
        </w:tc>
      </w:tr>
      <w:tr>
        <w:tc>
          <w:tcPr>
            <w:tcW w:w="2882" w:type="dxa"/>
            <w:vMerge w:val="restart"/>
            <w:tcBorders>
              <w:top w:val="single" w:sz="4" w:space="0" w:color="auto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Short-axis diameter (cm)</w:t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0.48±0.21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&lt;0.01</w:t>
            </w:r>
          </w:p>
        </w:tc>
      </w:tr>
      <w:t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1.00±0.48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rPr>
          <w:trHeight w:val="162"/>
        </w:trP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Sphericity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0.58±0.21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0.08</w:t>
            </w:r>
          </w:p>
        </w:tc>
      </w:tr>
      <w:t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0.67±0.13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SUV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avg</w:t>
            </w:r>
            <w:proofErr w:type="spellEnd"/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1.01±0.83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&lt;0.01</w:t>
            </w:r>
          </w:p>
        </w:tc>
      </w:tr>
      <w:t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2.95±2.06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bpcSUV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avg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1.17±0.82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0.03</w:t>
            </w:r>
          </w:p>
        </w:tc>
      </w:tr>
      <w:t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2.65±1.69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SUVavg</w:t>
            </w:r>
            <w:proofErr w:type="spellEnd"/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3.83± 29.91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0.03</w:t>
            </w:r>
          </w:p>
        </w:tc>
      </w:tr>
      <w:t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31.30±37.72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SUVavg</w:t>
            </w:r>
            <w:proofErr w:type="spellEnd"/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0.08±</w:t>
            </w:r>
            <w:r>
              <w:rPr>
                <w:rFonts w:ascii="Times New Roman" w:hAnsi="Times New Roman"/>
              </w:rPr>
              <w:t>0.40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0.02</w:t>
            </w:r>
          </w:p>
        </w:tc>
      </w:tr>
      <w:tr>
        <w:trPr>
          <w:trHeight w:val="218"/>
        </w:trPr>
        <w:tc>
          <w:tcPr>
            <w:tcW w:w="2882" w:type="dxa"/>
            <w:vMerge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-0.68±0.85</w:t>
            </w:r>
          </w:p>
        </w:tc>
        <w:tc>
          <w:tcPr>
            <w:tcW w:w="1417" w:type="dxa"/>
            <w:vMerge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rPr>
          <w:trHeight w:val="218"/>
        </w:trPr>
        <w:tc>
          <w:tcPr>
            <w:tcW w:w="2882" w:type="dxa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6"/>
                <w:szCs w:val="6"/>
                <w:lang w:val="en-US"/>
              </w:rPr>
            </w:pPr>
          </w:p>
        </w:tc>
      </w:tr>
      <w:tr>
        <w:tc>
          <w:tcPr>
            <w:tcW w:w="2882" w:type="dxa"/>
            <w:vMerge w:val="restart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ADCmean</w:t>
            </w:r>
            <w:proofErr w:type="spellEnd"/>
          </w:p>
        </w:tc>
        <w:tc>
          <w:tcPr>
            <w:tcW w:w="147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G2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552" w:type="dxa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1023±145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0.53</w:t>
            </w:r>
          </w:p>
        </w:tc>
      </w:tr>
      <w:tr>
        <w:tc>
          <w:tcPr>
            <w:tcW w:w="2882" w:type="dxa"/>
            <w:vMerge/>
            <w:tcBorders>
              <w:bottom w:val="single" w:sz="4" w:space="0" w:color="auto"/>
            </w:tcBorders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986±216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rPr>
          <w:rFonts w:ascii="Times New Roman" w:hAnsi="Times New Roman"/>
        </w:rPr>
      </w:pPr>
      <w:bookmarkStart w:id="0" w:name="_GoBack"/>
      <w:bookmarkEnd w:id="0"/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17" w:right="1417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500B30"/>
    <w:multiLevelType w:val="hybridMultilevel"/>
    <w:tmpl w:val="3E303092"/>
    <w:lvl w:ilvl="0" w:tplc="6120834A">
      <w:start w:val="5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8BD4D7-BDA5-47B0-9390-598ECA64B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/>
    </w:pPr>
    <w:rPr>
      <w:rFonts w:ascii="Arial" w:eastAsia="Calibri" w:hAnsi="Arial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rPr>
      <w:rFonts w:eastAsiaTheme="minorEastAsia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eastAsia="Calibri" w:hAnsi="Segoe UI" w:cs="Segoe UI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Arial" w:eastAsia="Calibri" w:hAnsi="Arial" w:cs="Times New Roman"/>
      <w:sz w:val="20"/>
      <w:szCs w:val="20"/>
      <w:lang w:eastAsia="de-DE"/>
    </w:rPr>
  </w:style>
  <w:style w:type="character" w:customStyle="1" w:styleId="hgkelc">
    <w:name w:val="hgkelc"/>
    <w:basedOn w:val="Absatz-Standardschriftart"/>
  </w:style>
  <w:style w:type="character" w:customStyle="1" w:styleId="st">
    <w:name w:val="st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226E5-CDE8-4CC8-BFB2-571F32B60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637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Universitaetsklinikum Tuebingen</Company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Matthias Weissinger</dc:creator>
  <cp:keywords/>
  <dc:description/>
  <cp:lastModifiedBy>Dr. Matthias Weissinger</cp:lastModifiedBy>
  <cp:revision>18</cp:revision>
  <dcterms:created xsi:type="dcterms:W3CDTF">2022-01-08T10:53:00Z</dcterms:created>
  <dcterms:modified xsi:type="dcterms:W3CDTF">2022-06-13T16:50:00Z</dcterms:modified>
</cp:coreProperties>
</file>