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rPr>
          <w:rFonts w:hint="default" w:ascii="Times New Roman" w:hAnsi="Times New Roman" w:cs="Times New Roman"/>
          <w:b/>
          <w:bCs/>
          <w:sz w:val="24"/>
          <w:szCs w:val="24"/>
        </w:rPr>
      </w:pPr>
      <w:bookmarkStart w:id="1" w:name="_GoBack"/>
      <w:r>
        <w:rPr>
          <w:rFonts w:hint="default" w:ascii="Times New Roman" w:hAnsi="Times New Roman" w:cs="Times New Roman"/>
          <w:b/>
          <w:bCs/>
          <w:sz w:val="24"/>
          <w:szCs w:val="24"/>
        </w:rPr>
        <w:t>Graphical Abstract</w:t>
      </w:r>
    </w:p>
    <w:bookmarkEnd w:id="1"/>
    <w:p>
      <w:pPr>
        <w:spacing w:line="276" w:lineRule="auto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>
      <w:pPr>
        <w:spacing w:line="276" w:lineRule="auto"/>
        <w:rPr>
          <w:rFonts w:hint="default" w:ascii="Times New Roman" w:hAnsi="Times New Roman" w:cs="Times New Roman"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T</w:t>
      </w:r>
      <w:r>
        <w:rPr>
          <w:rFonts w:hint="default" w:ascii="Times New Roman" w:hAnsi="Times New Roman" w:cs="Times New Roman"/>
          <w:sz w:val="24"/>
          <w:szCs w:val="24"/>
        </w:rPr>
        <w:t>his article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reports a novel </w:t>
      </w:r>
      <w:r>
        <w:rPr>
          <w:rFonts w:hint="default" w:ascii="Times New Roman" w:hAnsi="Times New Roman" w:cs="Times New Roman"/>
          <w:bCs/>
          <w:sz w:val="24"/>
          <w:szCs w:val="24"/>
        </w:rPr>
        <w:t xml:space="preserve">NIR responsive tumor vaccine in situ (HA-PDA@IQ/DOX HG) 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 xml:space="preserve">for </w:t>
      </w:r>
      <w:bookmarkStart w:id="0" w:name="OLE_LINK3"/>
      <w:r>
        <w:rPr>
          <w:rFonts w:hint="default" w:ascii="Times New Roman" w:hAnsi="Times New Roman" w:cs="Times New Roman"/>
          <w:bCs/>
          <w:sz w:val="24"/>
          <w:szCs w:val="24"/>
        </w:rPr>
        <w:t>photothermal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 xml:space="preserve"> immunotherapy</w:t>
      </w:r>
      <w:bookmarkEnd w:id="0"/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 xml:space="preserve">. We first </w:t>
      </w:r>
      <w:r>
        <w:rPr>
          <w:rFonts w:hint="default" w:ascii="Times New Roman" w:hAnsi="Times New Roman" w:cs="Times New Roman"/>
          <w:bCs/>
          <w:sz w:val="24"/>
          <w:szCs w:val="24"/>
        </w:rPr>
        <w:t>prepared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sz w:val="24"/>
          <w:szCs w:val="24"/>
        </w:rPr>
        <w:t>HA-PDA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sz w:val="24"/>
          <w:szCs w:val="24"/>
        </w:rPr>
        <w:t>NPs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 xml:space="preserve"> by oxidative polymerization using hyaluronic acid as stabilizer. Meanwhile, </w:t>
      </w:r>
      <w:r>
        <w:rPr>
          <w:rFonts w:hint="default" w:ascii="Times New Roman" w:hAnsi="Times New Roman" w:cs="Times New Roman"/>
          <w:bCs/>
          <w:sz w:val="24"/>
          <w:szCs w:val="24"/>
        </w:rPr>
        <w:t xml:space="preserve">immune adjuvants (Imiquimod, IQ) and doxorubicin (DOX) 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 xml:space="preserve">was loaded into </w:t>
      </w:r>
      <w:r>
        <w:rPr>
          <w:rFonts w:hint="default" w:ascii="Times New Roman" w:hAnsi="Times New Roman" w:cs="Times New Roman"/>
          <w:bCs/>
          <w:sz w:val="24"/>
          <w:szCs w:val="24"/>
        </w:rPr>
        <w:t>HA-PDA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sz w:val="24"/>
          <w:szCs w:val="24"/>
        </w:rPr>
        <w:t>NPs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 xml:space="preserve"> in the process of synthesis. After encapsulated into </w:t>
      </w:r>
      <w:r>
        <w:rPr>
          <w:rFonts w:hint="default" w:ascii="Times New Roman" w:hAnsi="Times New Roman" w:cs="Times New Roman"/>
          <w:bCs/>
          <w:sz w:val="24"/>
          <w:szCs w:val="24"/>
        </w:rPr>
        <w:t>thermal-sensitive hydrogel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 xml:space="preserve">, the resultant </w:t>
      </w:r>
      <w:r>
        <w:rPr>
          <w:rFonts w:hint="default" w:ascii="Times New Roman" w:hAnsi="Times New Roman" w:cs="Times New Roman"/>
          <w:bCs/>
          <w:sz w:val="24"/>
          <w:szCs w:val="24"/>
        </w:rPr>
        <w:t>HA-PDA@IQ/DOX HG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 xml:space="preserve"> not only exhibited </w:t>
      </w:r>
      <w:r>
        <w:rPr>
          <w:rFonts w:hint="default" w:ascii="Times New Roman" w:hAnsi="Times New Roman" w:cs="Times New Roman"/>
          <w:bCs/>
          <w:sz w:val="24"/>
          <w:szCs w:val="24"/>
          <w:lang w:val="en-US" w:eastAsia="zh-CN"/>
        </w:rPr>
        <w:t>multiple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sz w:val="24"/>
          <w:szCs w:val="24"/>
        </w:rPr>
        <w:t xml:space="preserve">ablation </w:t>
      </w:r>
      <w:r>
        <w:rPr>
          <w:rFonts w:hint="default" w:ascii="Times New Roman" w:hAnsi="Times New Roman" w:cs="Times New Roman"/>
          <w:bCs/>
          <w:sz w:val="24"/>
          <w:szCs w:val="24"/>
          <w:lang w:val="en-US" w:eastAsia="zh-CN"/>
        </w:rPr>
        <w:t>performance</w:t>
      </w:r>
      <w:r>
        <w:rPr>
          <w:rFonts w:hint="default" w:ascii="Times New Roman" w:hAnsi="Times New Roman" w:cs="Times New Roman"/>
          <w:bCs/>
          <w:sz w:val="24"/>
          <w:szCs w:val="24"/>
        </w:rPr>
        <w:t xml:space="preserve"> upon NIR irradiation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>, but also superior immune activation function. This work puts a highlight on the design and development of tumor vaccine in situ for laser immunotherapy.</w:t>
      </w:r>
    </w:p>
    <w:p>
      <w:pPr>
        <w:rPr>
          <w:rFonts w:cs="Times New Roman"/>
          <w:bCs/>
          <w:szCs w:val="21"/>
        </w:rPr>
      </w:pPr>
      <w:r>
        <w:rPr>
          <w:rFonts w:cs="Times New Roman"/>
          <w:bCs/>
          <w:szCs w:val="21"/>
        </w:rPr>
        <w:drawing>
          <wp:inline distT="0" distB="0" distL="114300" distR="114300">
            <wp:extent cx="5273040" cy="2873375"/>
            <wp:effectExtent l="0" t="0" r="0" b="6985"/>
            <wp:docPr id="3" name="图片 3" descr="Schem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cheme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87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954"/>
        </w:tabs>
        <w:spacing w:line="360" w:lineRule="auto"/>
        <w:rPr>
          <w:rFonts w:cs="Times New Roman"/>
          <w:bCs/>
          <w:szCs w:val="21"/>
        </w:rPr>
      </w:pPr>
      <w:r>
        <w:rPr>
          <w:rFonts w:hint="eastAsia" w:cs="Times New Roman"/>
          <w:b/>
          <w:szCs w:val="21"/>
        </w:rPr>
        <w:t>Scheme</w:t>
      </w:r>
      <w:r>
        <w:rPr>
          <w:rFonts w:cs="Times New Roman"/>
          <w:bCs/>
          <w:szCs w:val="21"/>
        </w:rPr>
        <w:t xml:space="preserve"> 1. Schematic illustration of preparation process of HA-PDA@IQ/DOX HG (a) and in vivo anti-tumor applications (b).</w:t>
      </w:r>
    </w:p>
    <w:p>
      <w:pPr>
        <w:rPr>
          <w:rFonts w:cs="Times New Roman"/>
          <w:bCs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5C6C17"/>
    <w:rsid w:val="1C260EE0"/>
    <w:rsid w:val="2E992723"/>
    <w:rsid w:val="585C6C17"/>
    <w:rsid w:val="7C106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2021-01-23T03:03:00Z</dcterms:created>
  <dc:creator>杜凤移</dc:creator>
  <cp:lastModifiedBy>无</cp:lastModifiedBy>
  <dcterms:modified xsi:type="dcterms:W3CDTF">2021-01-28T05:36:17Z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