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A866F6F" w14:textId="5FEEADB2" w:rsidR="00B304F2" w:rsidRPr="00AB2931" w:rsidRDefault="00CA20FE" w:rsidP="00AB2931">
      <w:pPr>
        <w:rPr>
          <w:rFonts w:ascii="Times New Roman" w:eastAsiaTheme="majorEastAsia" w:hAnsi="Times New Roman" w:cs="Times New Roman"/>
          <w:b/>
          <w:bCs/>
          <w:color w:val="1F3763" w:themeColor="accent1" w:themeShade="7F"/>
        </w:rPr>
      </w:pPr>
      <w:r>
        <w:rPr>
          <w:rStyle w:val="Heading1Char"/>
          <w:rFonts w:ascii="Times New Roman" w:hAnsi="Times New Roman" w:cs="Times New Roman"/>
        </w:rPr>
        <w:t xml:space="preserve">Supplementary Files for: </w:t>
      </w:r>
      <w:r w:rsidR="002A29E4" w:rsidRPr="002A29E4">
        <w:rPr>
          <w:rStyle w:val="Heading1Char"/>
          <w:rFonts w:ascii="Times New Roman" w:hAnsi="Times New Roman" w:cs="Times New Roman"/>
        </w:rPr>
        <w:t xml:space="preserve">Designing a decision aid for cancer prevention </w:t>
      </w:r>
      <w:bookmarkStart w:id="0" w:name="_Hlk87360367"/>
      <w:r w:rsidR="00AB2931">
        <w:rPr>
          <w:rStyle w:val="Heading1Char"/>
          <w:rFonts w:ascii="Times New Roman" w:hAnsi="Times New Roman" w:cs="Times New Roman"/>
        </w:rPr>
        <w:br/>
      </w:r>
      <w:r w:rsidR="00B304F2" w:rsidRPr="00E449E2">
        <w:rPr>
          <w:rStyle w:val="Heading4Char"/>
        </w:rPr>
        <w:t>Supplementary file A. Focus group interview schedule</w:t>
      </w:r>
      <w:r w:rsidR="00162212">
        <w:rPr>
          <w:rStyle w:val="Heading4Char"/>
        </w:rPr>
        <w:br/>
      </w:r>
      <w:r w:rsidR="00B304F2" w:rsidRPr="0001359D">
        <w:rPr>
          <w:rFonts w:cstheme="minorHAnsi"/>
          <w:b/>
          <w:szCs w:val="20"/>
        </w:rPr>
        <w:t>INTERVIEW</w:t>
      </w:r>
      <w:r w:rsidR="00B304F2" w:rsidRPr="0001359D">
        <w:rPr>
          <w:rFonts w:cstheme="minorHAnsi"/>
          <w:b/>
          <w:spacing w:val="-16"/>
          <w:szCs w:val="20"/>
        </w:rPr>
        <w:t xml:space="preserve"> </w:t>
      </w:r>
      <w:r w:rsidR="00B304F2" w:rsidRPr="0001359D">
        <w:rPr>
          <w:rFonts w:cstheme="minorHAnsi"/>
          <w:b/>
          <w:szCs w:val="20"/>
        </w:rPr>
        <w:t>SCHEDULE FOR FOCUS GROUP</w:t>
      </w:r>
    </w:p>
    <w:p w14:paraId="326DA4AE" w14:textId="77777777" w:rsidR="00B304F2" w:rsidRPr="0001359D" w:rsidRDefault="00B304F2" w:rsidP="00B304F2">
      <w:pPr>
        <w:ind w:left="993" w:hanging="993"/>
        <w:rPr>
          <w:rFonts w:cstheme="minorHAnsi"/>
          <w:bCs/>
          <w:szCs w:val="24"/>
        </w:rPr>
      </w:pPr>
      <w:r w:rsidRPr="0001359D">
        <w:rPr>
          <w:rFonts w:cstheme="minorHAnsi"/>
          <w:bCs/>
          <w:szCs w:val="24"/>
        </w:rPr>
        <w:t xml:space="preserve">Project: What are consumers’ views and opinions about prescribing aspirin to reduce the risk of developing colorectal cancer? </w:t>
      </w:r>
    </w:p>
    <w:p w14:paraId="33537942" w14:textId="77777777" w:rsidR="00B304F2" w:rsidRPr="0001359D" w:rsidRDefault="00B304F2" w:rsidP="00B304F2">
      <w:pPr>
        <w:rPr>
          <w:rFonts w:cstheme="minorHAnsi"/>
          <w:b/>
          <w:sz w:val="20"/>
          <w:szCs w:val="20"/>
        </w:rPr>
      </w:pPr>
      <w:r w:rsidRPr="0001359D">
        <w:rPr>
          <w:rFonts w:cstheme="minorHAnsi"/>
          <w:b/>
          <w:sz w:val="20"/>
          <w:szCs w:val="20"/>
        </w:rPr>
        <w:t>**Remind them that you’ll be recording the interview, have everyone introduce themselves, say name</w:t>
      </w:r>
    </w:p>
    <w:p w14:paraId="245FAED9" w14:textId="77777777" w:rsidR="00B304F2" w:rsidRPr="00E17B66" w:rsidRDefault="00B304F2" w:rsidP="00B304F2">
      <w:pPr>
        <w:spacing w:before="119"/>
        <w:ind w:right="16"/>
        <w:rPr>
          <w:rFonts w:cstheme="minorHAnsi"/>
          <w:b/>
          <w:spacing w:val="-1"/>
        </w:rPr>
      </w:pPr>
      <w:r w:rsidRPr="00950F9E">
        <w:rPr>
          <w:rFonts w:cstheme="minorHAnsi"/>
          <w:b/>
          <w:spacing w:val="-1"/>
          <w:highlight w:val="yellow"/>
          <w:u w:val="single"/>
        </w:rPr>
        <w:t>CHECK AWARENESS</w:t>
      </w:r>
      <w:r>
        <w:rPr>
          <w:rFonts w:cstheme="minorHAnsi"/>
          <w:b/>
          <w:spacing w:val="-1"/>
          <w:u w:val="single"/>
        </w:rPr>
        <w:t xml:space="preserve"> </w:t>
      </w:r>
      <w:r w:rsidRPr="00F01752">
        <w:rPr>
          <w:rFonts w:cstheme="minorHAnsi"/>
          <w:spacing w:val="-1"/>
        </w:rPr>
        <w:t xml:space="preserve"> </w:t>
      </w:r>
    </w:p>
    <w:p w14:paraId="05C37475" w14:textId="77777777" w:rsidR="00B304F2" w:rsidRDefault="00B304F2" w:rsidP="00B304F2">
      <w:pPr>
        <w:pStyle w:val="ListParagraph"/>
        <w:widowControl w:val="0"/>
        <w:numPr>
          <w:ilvl w:val="0"/>
          <w:numId w:val="14"/>
        </w:numPr>
        <w:spacing w:before="119" w:after="0" w:line="240" w:lineRule="auto"/>
        <w:ind w:right="16"/>
        <w:contextualSpacing w:val="0"/>
        <w:rPr>
          <w:rFonts w:cstheme="minorHAnsi"/>
          <w:spacing w:val="-1"/>
        </w:rPr>
      </w:pPr>
      <w:r w:rsidRPr="002F292C">
        <w:rPr>
          <w:rFonts w:cstheme="minorHAnsi"/>
          <w:spacing w:val="-1"/>
        </w:rPr>
        <w:t>Are you aware of th</w:t>
      </w:r>
      <w:r>
        <w:rPr>
          <w:rFonts w:cstheme="minorHAnsi"/>
          <w:spacing w:val="-1"/>
        </w:rPr>
        <w:t>at aspirin can be taken to reduce your bowel [colorectal] cancer risk</w:t>
      </w:r>
      <w:r w:rsidRPr="00102AB4">
        <w:rPr>
          <w:rFonts w:cstheme="minorHAnsi"/>
          <w:spacing w:val="-1"/>
        </w:rPr>
        <w:t xml:space="preserve">? </w:t>
      </w:r>
    </w:p>
    <w:p w14:paraId="365753C4" w14:textId="77777777" w:rsidR="00B304F2" w:rsidRPr="00102AB4" w:rsidRDefault="00B304F2" w:rsidP="00B304F2">
      <w:pPr>
        <w:pStyle w:val="ListParagraph"/>
        <w:widowControl w:val="0"/>
        <w:numPr>
          <w:ilvl w:val="1"/>
          <w:numId w:val="14"/>
        </w:numPr>
        <w:spacing w:before="119" w:after="0" w:line="240" w:lineRule="auto"/>
        <w:ind w:right="16"/>
        <w:contextualSpacing w:val="0"/>
        <w:rPr>
          <w:rFonts w:cstheme="minorHAnsi"/>
          <w:spacing w:val="-1"/>
        </w:rPr>
      </w:pPr>
      <w:r>
        <w:rPr>
          <w:rFonts w:cstheme="minorHAnsi"/>
          <w:spacing w:val="-1"/>
        </w:rPr>
        <w:t>Is yes from anyone, w</w:t>
      </w:r>
      <w:r w:rsidRPr="00102AB4">
        <w:rPr>
          <w:rFonts w:cstheme="minorHAnsi"/>
          <w:spacing w:val="-1"/>
        </w:rPr>
        <w:t xml:space="preserve">hat is your understanding of the aspirin recommendations? </w:t>
      </w:r>
    </w:p>
    <w:p w14:paraId="4EBACBC5" w14:textId="0C05AD9D" w:rsidR="00B304F2" w:rsidRPr="00AB2931" w:rsidRDefault="00B304F2" w:rsidP="00AB2931">
      <w:pPr>
        <w:pStyle w:val="ListParagraph"/>
        <w:widowControl w:val="0"/>
        <w:numPr>
          <w:ilvl w:val="0"/>
          <w:numId w:val="14"/>
        </w:numPr>
        <w:spacing w:before="119" w:after="0" w:line="240" w:lineRule="auto"/>
        <w:ind w:right="16"/>
        <w:contextualSpacing w:val="0"/>
        <w:rPr>
          <w:rFonts w:cstheme="minorHAnsi"/>
          <w:spacing w:val="-1"/>
        </w:rPr>
      </w:pPr>
      <w:r w:rsidRPr="00C125E2">
        <w:rPr>
          <w:rFonts w:cstheme="minorHAnsi"/>
          <w:spacing w:val="-1"/>
        </w:rPr>
        <w:t>Are you aware that Australian guidelines recommend that GPs should discuss aspirin to reduce your risk of bowel</w:t>
      </w:r>
      <w:r>
        <w:rPr>
          <w:rFonts w:cstheme="minorHAnsi"/>
          <w:spacing w:val="-1"/>
        </w:rPr>
        <w:t xml:space="preserve"> [colorectal]</w:t>
      </w:r>
      <w:r w:rsidRPr="00C125E2">
        <w:rPr>
          <w:rFonts w:cstheme="minorHAnsi"/>
          <w:spacing w:val="-1"/>
        </w:rPr>
        <w:t xml:space="preserve"> cancer</w:t>
      </w:r>
      <w:r>
        <w:rPr>
          <w:rFonts w:cstheme="minorHAnsi"/>
          <w:spacing w:val="-1"/>
        </w:rPr>
        <w:t>?</w:t>
      </w:r>
    </w:p>
    <w:p w14:paraId="6F282273" w14:textId="77777777" w:rsidR="00B304F2" w:rsidRPr="001F3F0A" w:rsidRDefault="00B304F2" w:rsidP="00B304F2">
      <w:pPr>
        <w:spacing w:before="119"/>
        <w:ind w:right="16"/>
        <w:rPr>
          <w:rFonts w:cstheme="minorHAnsi"/>
          <w:bCs/>
          <w:spacing w:val="-1"/>
        </w:rPr>
      </w:pPr>
      <w:r w:rsidRPr="003B0DEB">
        <w:rPr>
          <w:rFonts w:cstheme="minorHAnsi"/>
          <w:b/>
          <w:spacing w:val="-1"/>
          <w:highlight w:val="yellow"/>
          <w:u w:val="single"/>
        </w:rPr>
        <w:t>OPINION ON</w:t>
      </w:r>
      <w:r w:rsidRPr="00950F9E">
        <w:rPr>
          <w:rFonts w:cstheme="minorHAnsi"/>
          <w:b/>
          <w:spacing w:val="-1"/>
          <w:highlight w:val="yellow"/>
          <w:u w:val="single"/>
        </w:rPr>
        <w:t xml:space="preserve"> RECOMMENDATIONS</w:t>
      </w:r>
      <w:r>
        <w:rPr>
          <w:rFonts w:cstheme="minorHAnsi"/>
          <w:b/>
          <w:spacing w:val="-1"/>
          <w:u w:val="single"/>
        </w:rPr>
        <w:t xml:space="preserve"> </w:t>
      </w:r>
      <w:r>
        <w:rPr>
          <w:rFonts w:cstheme="minorHAnsi"/>
          <w:b/>
          <w:spacing w:val="-1"/>
        </w:rPr>
        <w:t xml:space="preserve"> </w:t>
      </w:r>
    </w:p>
    <w:p w14:paraId="71BE8677" w14:textId="77777777" w:rsidR="00B304F2" w:rsidRDefault="00B304F2" w:rsidP="00B304F2">
      <w:pPr>
        <w:pStyle w:val="ListParagraph"/>
        <w:widowControl w:val="0"/>
        <w:numPr>
          <w:ilvl w:val="0"/>
          <w:numId w:val="14"/>
        </w:numPr>
        <w:spacing w:before="119" w:after="0" w:line="240" w:lineRule="auto"/>
        <w:ind w:right="16"/>
        <w:contextualSpacing w:val="0"/>
        <w:rPr>
          <w:rFonts w:cstheme="minorHAnsi"/>
          <w:spacing w:val="-1"/>
        </w:rPr>
      </w:pPr>
      <w:r>
        <w:rPr>
          <w:rFonts w:cstheme="minorHAnsi"/>
          <w:spacing w:val="-1"/>
        </w:rPr>
        <w:t>What do you think aspirin might be used for?</w:t>
      </w:r>
    </w:p>
    <w:p w14:paraId="35398AA0" w14:textId="77777777" w:rsidR="00B304F2" w:rsidRDefault="00B304F2" w:rsidP="00B304F2">
      <w:pPr>
        <w:pStyle w:val="ListParagraph"/>
        <w:widowControl w:val="0"/>
        <w:numPr>
          <w:ilvl w:val="1"/>
          <w:numId w:val="14"/>
        </w:numPr>
        <w:spacing w:before="119" w:after="0" w:line="240" w:lineRule="auto"/>
        <w:ind w:right="16"/>
        <w:contextualSpacing w:val="0"/>
        <w:rPr>
          <w:rFonts w:cstheme="minorHAnsi"/>
          <w:spacing w:val="-1"/>
        </w:rPr>
      </w:pPr>
      <w:r w:rsidRPr="00C125E2">
        <w:rPr>
          <w:rFonts w:cstheme="minorHAnsi"/>
          <w:spacing w:val="-1"/>
        </w:rPr>
        <w:t>Some people might just bring up here that they are taking aspirin. If so, and they are happy to elaborate, explore why they are taking it.</w:t>
      </w:r>
    </w:p>
    <w:p w14:paraId="7B87FEA7" w14:textId="77777777" w:rsidR="00B304F2" w:rsidRPr="001F3F0A" w:rsidRDefault="00B304F2" w:rsidP="00B304F2">
      <w:pPr>
        <w:pStyle w:val="ListParagraph"/>
        <w:widowControl w:val="0"/>
        <w:numPr>
          <w:ilvl w:val="0"/>
          <w:numId w:val="14"/>
        </w:numPr>
        <w:spacing w:before="119" w:after="0" w:line="240" w:lineRule="auto"/>
        <w:ind w:right="16"/>
        <w:contextualSpacing w:val="0"/>
        <w:rPr>
          <w:rFonts w:cstheme="minorHAnsi"/>
          <w:spacing w:val="-1"/>
        </w:rPr>
      </w:pPr>
      <w:r w:rsidRPr="003124A1">
        <w:rPr>
          <w:rFonts w:cstheme="minorHAnsi"/>
          <w:spacing w:val="-1"/>
        </w:rPr>
        <w:t>What do you think about using aspirin to prevent bowel cancer?</w:t>
      </w:r>
    </w:p>
    <w:p w14:paraId="025D0247" w14:textId="489892D5" w:rsidR="00B304F2" w:rsidRPr="00AB2931" w:rsidRDefault="00B304F2" w:rsidP="00B304F2">
      <w:pPr>
        <w:pStyle w:val="ListParagraph"/>
        <w:widowControl w:val="0"/>
        <w:numPr>
          <w:ilvl w:val="0"/>
          <w:numId w:val="14"/>
        </w:numPr>
        <w:spacing w:before="119" w:after="0" w:line="240" w:lineRule="auto"/>
        <w:ind w:right="16"/>
        <w:contextualSpacing w:val="0"/>
        <w:rPr>
          <w:rFonts w:cstheme="minorHAnsi"/>
          <w:spacing w:val="-1"/>
        </w:rPr>
      </w:pPr>
      <w:r>
        <w:rPr>
          <w:rFonts w:cstheme="minorHAnsi"/>
          <w:spacing w:val="-1"/>
        </w:rPr>
        <w:t>Do you know any side effects of aspirin and if so, what are they</w:t>
      </w:r>
      <w:r w:rsidRPr="00DC0637">
        <w:rPr>
          <w:rFonts w:cstheme="minorHAnsi"/>
          <w:spacing w:val="-1"/>
        </w:rPr>
        <w:t>?</w:t>
      </w:r>
      <w:bookmarkStart w:id="1" w:name="_Hlk531858641"/>
    </w:p>
    <w:p w14:paraId="452D18B0" w14:textId="77777777" w:rsidR="00B304F2" w:rsidRPr="00C27137" w:rsidRDefault="00B304F2" w:rsidP="00B304F2">
      <w:pPr>
        <w:spacing w:before="119"/>
        <w:ind w:right="16"/>
        <w:rPr>
          <w:rFonts w:cstheme="minorHAnsi"/>
          <w:b/>
          <w:i/>
          <w:spacing w:val="-1"/>
        </w:rPr>
      </w:pPr>
      <w:r>
        <w:rPr>
          <w:rFonts w:cstheme="minorHAnsi"/>
          <w:b/>
          <w:i/>
          <w:iCs/>
          <w:spacing w:val="-1"/>
          <w:highlight w:val="yellow"/>
          <w:u w:val="single"/>
        </w:rPr>
        <w:t>No questions here…</w:t>
      </w:r>
      <w:r w:rsidRPr="001F3F0A">
        <w:rPr>
          <w:rFonts w:cstheme="minorHAnsi"/>
          <w:b/>
          <w:i/>
          <w:iCs/>
          <w:spacing w:val="-1"/>
          <w:highlight w:val="yellow"/>
          <w:u w:val="single"/>
        </w:rPr>
        <w:t>INTRODUCE</w:t>
      </w:r>
      <w:r w:rsidRPr="001F3F0A">
        <w:rPr>
          <w:rFonts w:cstheme="minorHAnsi"/>
          <w:i/>
          <w:iCs/>
          <w:spacing w:val="-1"/>
          <w:highlight w:val="yellow"/>
          <w:u w:val="single"/>
        </w:rPr>
        <w:t xml:space="preserve"> </w:t>
      </w:r>
      <w:r w:rsidRPr="001F3F0A">
        <w:rPr>
          <w:rFonts w:cstheme="minorHAnsi"/>
          <w:b/>
          <w:i/>
          <w:iCs/>
          <w:spacing w:val="-1"/>
          <w:highlight w:val="yellow"/>
          <w:u w:val="single"/>
        </w:rPr>
        <w:t>DECISION AID</w:t>
      </w:r>
      <w:r w:rsidRPr="001F3F0A">
        <w:rPr>
          <w:rFonts w:cstheme="minorHAnsi"/>
          <w:b/>
          <w:i/>
          <w:iCs/>
          <w:spacing w:val="-1"/>
          <w:u w:val="single"/>
        </w:rPr>
        <w:t xml:space="preserve"> </w:t>
      </w:r>
      <w:r w:rsidRPr="001F3F0A">
        <w:rPr>
          <w:rFonts w:cstheme="minorHAnsi"/>
          <w:bCs/>
          <w:i/>
          <w:iCs/>
          <w:spacing w:val="-1"/>
        </w:rPr>
        <w:t xml:space="preserve"> </w:t>
      </w:r>
      <w:r w:rsidRPr="00C27137">
        <w:rPr>
          <w:rFonts w:cstheme="minorHAnsi"/>
          <w:b/>
          <w:spacing w:val="-1"/>
        </w:rPr>
        <w:br/>
      </w:r>
      <w:r w:rsidRPr="00C27137">
        <w:rPr>
          <w:rFonts w:cstheme="minorHAnsi"/>
          <w:i/>
          <w:spacing w:val="-1"/>
        </w:rPr>
        <w:t xml:space="preserve">Show participants the </w:t>
      </w:r>
      <w:r w:rsidRPr="00C27137">
        <w:rPr>
          <w:rFonts w:cstheme="minorHAnsi"/>
          <w:b/>
          <w:i/>
          <w:spacing w:val="-1"/>
        </w:rPr>
        <w:t>2</w:t>
      </w:r>
      <w:r w:rsidRPr="00C27137">
        <w:rPr>
          <w:rFonts w:cstheme="minorHAnsi"/>
          <w:i/>
          <w:spacing w:val="-1"/>
        </w:rPr>
        <w:t xml:space="preserve"> decision aids</w:t>
      </w:r>
      <w:r w:rsidRPr="00C27137">
        <w:rPr>
          <w:rFonts w:cstheme="minorHAnsi"/>
          <w:b/>
          <w:i/>
          <w:spacing w:val="-1"/>
        </w:rPr>
        <w:t xml:space="preserve">. </w:t>
      </w:r>
    </w:p>
    <w:p w14:paraId="6E18E8EF" w14:textId="77777777" w:rsidR="00B304F2" w:rsidRPr="00C27137" w:rsidRDefault="00B304F2" w:rsidP="00B304F2">
      <w:pPr>
        <w:pStyle w:val="ListParagraph"/>
        <w:widowControl w:val="0"/>
        <w:numPr>
          <w:ilvl w:val="0"/>
          <w:numId w:val="15"/>
        </w:numPr>
        <w:spacing w:before="119" w:after="0" w:line="240" w:lineRule="auto"/>
        <w:ind w:right="16"/>
        <w:contextualSpacing w:val="0"/>
        <w:rPr>
          <w:rFonts w:cstheme="minorHAnsi"/>
          <w:spacing w:val="-1"/>
        </w:rPr>
      </w:pPr>
      <w:r w:rsidRPr="00C27137">
        <w:rPr>
          <w:rFonts w:cstheme="minorHAnsi"/>
          <w:spacing w:val="-1"/>
        </w:rPr>
        <w:t>Let them know that the guidelines were published through the Cancer Council Australia in 2017 but there was no</w:t>
      </w:r>
      <w:r>
        <w:rPr>
          <w:rFonts w:cstheme="minorHAnsi"/>
          <w:spacing w:val="-1"/>
        </w:rPr>
        <w:t xml:space="preserve"> plan to implement them.</w:t>
      </w:r>
    </w:p>
    <w:p w14:paraId="2760F665" w14:textId="70536F5A" w:rsidR="00B304F2" w:rsidRPr="00AB2931" w:rsidRDefault="00B304F2" w:rsidP="00AB2931">
      <w:pPr>
        <w:pStyle w:val="ListParagraph"/>
        <w:widowControl w:val="0"/>
        <w:numPr>
          <w:ilvl w:val="0"/>
          <w:numId w:val="15"/>
        </w:numPr>
        <w:spacing w:before="119" w:after="0" w:line="240" w:lineRule="auto"/>
        <w:ind w:right="16"/>
        <w:contextualSpacing w:val="0"/>
        <w:rPr>
          <w:rFonts w:cstheme="minorHAnsi"/>
          <w:spacing w:val="-1"/>
        </w:rPr>
      </w:pPr>
      <w:r w:rsidRPr="00C27137">
        <w:rPr>
          <w:rFonts w:cstheme="minorHAnsi"/>
          <w:spacing w:val="-1"/>
        </w:rPr>
        <w:t>(Give them 3-5 minutes to read through the decision aid, gauge the room and look for everyone to be done)</w:t>
      </w:r>
    </w:p>
    <w:p w14:paraId="4DD950DD" w14:textId="77777777" w:rsidR="00B304F2" w:rsidRPr="00C27137" w:rsidRDefault="00B304F2" w:rsidP="00B304F2">
      <w:pPr>
        <w:spacing w:before="119"/>
        <w:ind w:right="16"/>
        <w:rPr>
          <w:rFonts w:cstheme="minorHAnsi"/>
          <w:b/>
          <w:spacing w:val="-1"/>
          <w:u w:val="single"/>
        </w:rPr>
      </w:pPr>
      <w:r w:rsidRPr="00C27137">
        <w:rPr>
          <w:rFonts w:cstheme="minorHAnsi"/>
          <w:b/>
          <w:spacing w:val="-1"/>
          <w:highlight w:val="yellow"/>
          <w:u w:val="single"/>
        </w:rPr>
        <w:t>OPINION AND COMPREHENSION</w:t>
      </w:r>
      <w:r>
        <w:rPr>
          <w:rFonts w:cstheme="minorHAnsi"/>
          <w:b/>
          <w:spacing w:val="-1"/>
          <w:u w:val="single"/>
        </w:rPr>
        <w:t xml:space="preserve"> </w:t>
      </w:r>
    </w:p>
    <w:p w14:paraId="250015C3" w14:textId="77777777" w:rsidR="00B304F2" w:rsidRDefault="00B304F2" w:rsidP="00B304F2">
      <w:pPr>
        <w:pStyle w:val="ListParagraph"/>
        <w:widowControl w:val="0"/>
        <w:numPr>
          <w:ilvl w:val="0"/>
          <w:numId w:val="16"/>
        </w:numPr>
        <w:spacing w:before="119" w:after="0" w:line="240" w:lineRule="auto"/>
        <w:ind w:right="16"/>
        <w:contextualSpacing w:val="0"/>
        <w:rPr>
          <w:rFonts w:cstheme="minorHAnsi"/>
          <w:spacing w:val="-1"/>
        </w:rPr>
      </w:pPr>
      <w:r w:rsidRPr="00C27137">
        <w:rPr>
          <w:rFonts w:cstheme="minorHAnsi"/>
          <w:spacing w:val="-1"/>
        </w:rPr>
        <w:t xml:space="preserve">What do you think </w:t>
      </w:r>
      <w:r>
        <w:rPr>
          <w:rFonts w:cstheme="minorHAnsi"/>
          <w:spacing w:val="-1"/>
        </w:rPr>
        <w:t xml:space="preserve">of </w:t>
      </w:r>
      <w:r w:rsidRPr="00C27137">
        <w:rPr>
          <w:rFonts w:cstheme="minorHAnsi"/>
          <w:spacing w:val="-1"/>
        </w:rPr>
        <w:t>the decision aid</w:t>
      </w:r>
      <w:r>
        <w:rPr>
          <w:rFonts w:cstheme="minorHAnsi"/>
          <w:spacing w:val="-1"/>
        </w:rPr>
        <w:t>s</w:t>
      </w:r>
      <w:r w:rsidRPr="00C27137">
        <w:rPr>
          <w:rFonts w:cstheme="minorHAnsi"/>
          <w:spacing w:val="-1"/>
        </w:rPr>
        <w:t>?</w:t>
      </w:r>
      <w:bookmarkEnd w:id="1"/>
      <w:r>
        <w:rPr>
          <w:rFonts w:cstheme="minorHAnsi"/>
          <w:spacing w:val="-1"/>
        </w:rPr>
        <w:t xml:space="preserve"> What do you think of the colours?</w:t>
      </w:r>
    </w:p>
    <w:p w14:paraId="0F4FADC3" w14:textId="77777777" w:rsidR="00B304F2" w:rsidRDefault="00B304F2" w:rsidP="00B304F2">
      <w:pPr>
        <w:pStyle w:val="ListParagraph"/>
        <w:widowControl w:val="0"/>
        <w:numPr>
          <w:ilvl w:val="0"/>
          <w:numId w:val="16"/>
        </w:numPr>
        <w:spacing w:before="119" w:after="0" w:line="240" w:lineRule="auto"/>
        <w:ind w:right="16"/>
        <w:contextualSpacing w:val="0"/>
        <w:rPr>
          <w:rFonts w:cstheme="minorHAnsi"/>
          <w:spacing w:val="-1"/>
        </w:rPr>
      </w:pPr>
      <w:r>
        <w:rPr>
          <w:rFonts w:cstheme="minorHAnsi"/>
          <w:spacing w:val="-1"/>
        </w:rPr>
        <w:t>What do you think of the figure show the effects of aspirin? Can you understand it?</w:t>
      </w:r>
    </w:p>
    <w:p w14:paraId="7EC9D619" w14:textId="77777777" w:rsidR="00B304F2" w:rsidRDefault="00B304F2" w:rsidP="00B304F2">
      <w:pPr>
        <w:pStyle w:val="ListParagraph"/>
        <w:widowControl w:val="0"/>
        <w:numPr>
          <w:ilvl w:val="0"/>
          <w:numId w:val="16"/>
        </w:numPr>
        <w:spacing w:before="119" w:after="0" w:line="240" w:lineRule="auto"/>
        <w:ind w:right="16"/>
        <w:contextualSpacing w:val="0"/>
        <w:rPr>
          <w:rFonts w:cstheme="minorHAnsi"/>
          <w:spacing w:val="-1"/>
        </w:rPr>
      </w:pPr>
      <w:r>
        <w:rPr>
          <w:rFonts w:cstheme="minorHAnsi"/>
          <w:spacing w:val="-1"/>
        </w:rPr>
        <w:t xml:space="preserve">Are there any points that need to be clarified? </w:t>
      </w:r>
    </w:p>
    <w:p w14:paraId="20276922" w14:textId="77777777" w:rsidR="00B304F2" w:rsidRDefault="00B304F2" w:rsidP="00B304F2">
      <w:pPr>
        <w:pStyle w:val="ListParagraph"/>
        <w:widowControl w:val="0"/>
        <w:numPr>
          <w:ilvl w:val="0"/>
          <w:numId w:val="16"/>
        </w:numPr>
        <w:spacing w:before="119" w:after="0" w:line="240" w:lineRule="auto"/>
        <w:ind w:right="16"/>
        <w:contextualSpacing w:val="0"/>
      </w:pPr>
      <w:r w:rsidRPr="00AE29F4">
        <w:rPr>
          <w:rFonts w:cstheme="minorHAnsi"/>
          <w:spacing w:val="-1"/>
        </w:rPr>
        <w:t xml:space="preserve">How might you respond if a practice nurse discussed this brochure with you? </w:t>
      </w:r>
      <w:r>
        <w:t>Would it prompt you to speak to you GP about taking aspirin?</w:t>
      </w:r>
    </w:p>
    <w:p w14:paraId="22F8EE22" w14:textId="77777777" w:rsidR="00B304F2" w:rsidRDefault="00B304F2" w:rsidP="00B304F2">
      <w:pPr>
        <w:pStyle w:val="ListParagraph"/>
        <w:widowControl w:val="0"/>
        <w:numPr>
          <w:ilvl w:val="1"/>
          <w:numId w:val="16"/>
        </w:numPr>
        <w:spacing w:before="119" w:after="0" w:line="240" w:lineRule="auto"/>
        <w:ind w:right="16"/>
        <w:contextualSpacing w:val="0"/>
        <w:rPr>
          <w:rFonts w:cstheme="minorHAnsi"/>
          <w:spacing w:val="-1"/>
        </w:rPr>
      </w:pPr>
      <w:r>
        <w:rPr>
          <w:rFonts w:cstheme="minorHAnsi"/>
          <w:spacing w:val="-1"/>
        </w:rPr>
        <w:lastRenderedPageBreak/>
        <w:t>Would you start taking aspirin on your own without consulting your GP?</w:t>
      </w:r>
    </w:p>
    <w:p w14:paraId="42D44B58" w14:textId="34ED4505" w:rsidR="00186A1E" w:rsidRDefault="00B304F2" w:rsidP="00B304F2">
      <w:pPr>
        <w:pStyle w:val="ListParagraph"/>
        <w:widowControl w:val="0"/>
        <w:numPr>
          <w:ilvl w:val="0"/>
          <w:numId w:val="16"/>
        </w:numPr>
        <w:spacing w:before="119" w:after="0" w:line="240" w:lineRule="auto"/>
        <w:ind w:right="16"/>
        <w:contextualSpacing w:val="0"/>
        <w:rPr>
          <w:rFonts w:cstheme="minorHAnsi"/>
          <w:spacing w:val="-1"/>
        </w:rPr>
      </w:pPr>
      <w:r>
        <w:rPr>
          <w:rFonts w:cstheme="minorHAnsi"/>
          <w:spacing w:val="-1"/>
        </w:rPr>
        <w:t>Would you make any changes? Is there anything specifically that you don’t like/understand</w:t>
      </w:r>
      <w:r w:rsidR="00186A1E">
        <w:rPr>
          <w:rFonts w:cstheme="minorHAnsi"/>
          <w:spacing w:val="-1"/>
        </w:rPr>
        <w:br w:type="page"/>
      </w:r>
    </w:p>
    <w:p w14:paraId="0D7DAF01" w14:textId="77777777" w:rsidR="00B304F2" w:rsidRDefault="00B304F2" w:rsidP="00B304F2">
      <w:pPr>
        <w:pStyle w:val="ListParagraph"/>
        <w:widowControl w:val="0"/>
        <w:numPr>
          <w:ilvl w:val="0"/>
          <w:numId w:val="16"/>
        </w:numPr>
        <w:spacing w:before="119" w:after="0" w:line="240" w:lineRule="auto"/>
        <w:ind w:right="16"/>
        <w:contextualSpacing w:val="0"/>
        <w:rPr>
          <w:rFonts w:cstheme="minorHAnsi"/>
          <w:spacing w:val="-1"/>
        </w:rPr>
        <w:sectPr w:rsidR="00B304F2" w:rsidSect="003B69C8">
          <w:headerReference w:type="default" r:id="rId8"/>
          <w:pgSz w:w="11906" w:h="16838"/>
          <w:pgMar w:top="1440" w:right="1440" w:bottom="1440" w:left="1440" w:header="708" w:footer="708" w:gutter="0"/>
          <w:cols w:space="708"/>
          <w:docGrid w:linePitch="360"/>
        </w:sectPr>
      </w:pPr>
    </w:p>
    <w:p w14:paraId="7A7632B9" w14:textId="6D7E69D8" w:rsidR="00186A1E" w:rsidRPr="00186A1E" w:rsidRDefault="00186A1E" w:rsidP="00186A1E">
      <w:pPr>
        <w:pStyle w:val="Heading4"/>
        <w:spacing w:line="240" w:lineRule="auto"/>
        <w:rPr>
          <w:rStyle w:val="Heading4Char"/>
          <w:i/>
          <w:iCs/>
          <w:lang w:val="en-AU"/>
        </w:rPr>
      </w:pPr>
      <w:r>
        <w:rPr>
          <w:rStyle w:val="Heading4Char"/>
          <w:i/>
          <w:iCs/>
          <w:lang w:val="en-AU"/>
        </w:rPr>
        <w:lastRenderedPageBreak/>
        <w:t>Supplementary file B. Methods for c</w:t>
      </w:r>
      <w:r w:rsidRPr="00186A1E">
        <w:rPr>
          <w:rStyle w:val="Heading4Char"/>
          <w:i/>
          <w:iCs/>
          <w:lang w:val="en-AU"/>
        </w:rPr>
        <w:t>alculati</w:t>
      </w:r>
      <w:r>
        <w:rPr>
          <w:rStyle w:val="Heading4Char"/>
          <w:i/>
          <w:iCs/>
          <w:lang w:val="en-AU"/>
        </w:rPr>
        <w:t>ng the</w:t>
      </w:r>
      <w:r w:rsidRPr="00186A1E">
        <w:rPr>
          <w:rStyle w:val="Heading4Char"/>
          <w:i/>
          <w:iCs/>
          <w:lang w:val="en-AU"/>
        </w:rPr>
        <w:t xml:space="preserve"> final all-cause mortality estimates in Expected Frequency Trees</w:t>
      </w:r>
    </w:p>
    <w:p w14:paraId="2384E85B" w14:textId="409C4140" w:rsidR="00186A1E" w:rsidRDefault="00186A1E" w:rsidP="00186A1E">
      <w:pPr>
        <w:rPr>
          <w:rFonts w:ascii="Times New Roman" w:hAnsi="Times New Roman" w:cs="Times New Roman"/>
          <w:sz w:val="20"/>
          <w:szCs w:val="20"/>
        </w:rPr>
      </w:pPr>
      <w:r>
        <w:rPr>
          <w:rFonts w:ascii="Times New Roman" w:hAnsi="Times New Roman" w:cs="Times New Roman"/>
          <w:sz w:val="20"/>
          <w:szCs w:val="20"/>
        </w:rPr>
        <w:t>The methods used to calculate the absolute numbers of clinical outcomes for the first version of the EFTs are described elsewhere.</w:t>
      </w:r>
      <w:r>
        <w:rPr>
          <w:rFonts w:ascii="Times New Roman" w:hAnsi="Times New Roman" w:cs="Times New Roman"/>
          <w:sz w:val="20"/>
          <w:szCs w:val="20"/>
        </w:rPr>
        <w:fldChar w:fldCharType="begin" w:fldLock="1"/>
      </w:r>
      <w:r>
        <w:rPr>
          <w:rFonts w:ascii="Times New Roman" w:hAnsi="Times New Roman" w:cs="Times New Roman"/>
          <w:sz w:val="20"/>
          <w:szCs w:val="20"/>
        </w:rPr>
        <w:instrText>ADDIN CSL_CITATION {"citationItems":[{"id":"ITEM-1","itemData":{"DOI":"10.3399/bjgp19X706613","ISSN":"14785242","abstract":"Background New Australian guidelines recommend that GPs actively consider prescribing low-dose aspirin to patients aged 50-70 years to reduce their risk of developing colorectal cancer (CRC). Patients and GPs need to understand the relative benefits and harms to support informed decision making. Aim To develop and examine different methods to communicate the benefits and harms of taking aspirin for CRC prevention. Design and setting A cross-sectional, vignette study with patients aged 50-70 years consecutively recruited from general practices in Melbourne, Australia, between July and August 2018. Method Summary estimates from meta-analyses of the effects of aspirin on the incidence of CRC, cardiovascular disease, gastrointestinal bleeding, and incidence rates in the Australian population to estimate outcomes in a hypothetical population of 10 000 people aged 50-70 years. These estimates were presented using four different risk communication formats. Participants were shown these different formats and asked if they would take aspirin to prevent CRC. Results A total of 313 participants were recruited (95.1% recruitment rate), of whom 304 completed the study. Most participants (71.7-75.3%) reported they would take aspirin irrespective of risk format presented. Bar charts (odds ratio [OR] 1.20, 95% confidence intervals [CI] = 1.01 to 1.44) and expected frequency trees (OR 1.18, 95% CI = 0.99 to 1.41) were more strongly associated with the intentions to take aspirin compared with icon arrays. Bar charts were most preferred for presenting risk information. Conclusion A large proportion of participants in this study intended to take aspirin to reduce their CRC risk regardless of risk communication format. Bar charts and expected frequency trees were the preferred methods to present the benefits and harms of taking aspirin to prevent CRC.","author":[{"dropping-particle":"","family":"Nguyen","given":"P.","non-dropping-particle":"","parse-names":false,"suffix":""},{"dropping-particle":"","family":"McIntosh","given":"J.","non-dropping-particle":"","parse-names":false,"suffix":""},{"dropping-particle":"","family":"Bickerstaffe","given":"A.","non-dropping-particle":"","parse-names":false,"suffix":""},{"dropping-particle":"","family":"Maddumarachchi","given":"S.","non-dropping-particle":"","parse-names":false,"suffix":""},{"dropping-particle":"","family":"Cummings","given":"K. L.","non-dropping-particle":"","parse-names":false,"suffix":""},{"dropping-particle":"","family":"Emery","given":"J. D.","non-dropping-particle":"","parse-names":false,"suffix":""}],"container-title":"British Journal of General Practice","id":"ITEM-1","issue":"689","issued":{"date-parts":[["2019","12","1"]]},"page":"E843-E849","publisher":"Royal College of General Practitioners","title":"Benefits and harms of aspirin to reduce colorectal cancer risk: A cross-sectional study of methods to communicate risk in primary care","type":"article-journal","volume":"69"},"uris":["http://www.mendeley.com/documents/?uuid=ad622cbc-4716-3b80-9c57-ff9334a18a2d"]}],"mendeley":{"formattedCitation":"&lt;sup&gt;13&lt;/sup&gt;","plainTextFormattedCitation":"13","previouslyFormattedCitation":"&lt;sup&gt;13&lt;/sup&gt;"},"properties":{"noteIndex":0},"schema":"https://github.com/citation-style-language/schema/raw/master/csl-citation.json"}</w:instrText>
      </w:r>
      <w:r>
        <w:rPr>
          <w:rFonts w:ascii="Times New Roman" w:hAnsi="Times New Roman" w:cs="Times New Roman"/>
          <w:sz w:val="20"/>
          <w:szCs w:val="20"/>
        </w:rPr>
        <w:fldChar w:fldCharType="separate"/>
      </w:r>
      <w:r w:rsidRPr="00C450F3">
        <w:rPr>
          <w:rFonts w:ascii="Times New Roman" w:hAnsi="Times New Roman" w:cs="Times New Roman"/>
          <w:noProof/>
          <w:sz w:val="20"/>
          <w:szCs w:val="20"/>
          <w:vertAlign w:val="superscript"/>
        </w:rPr>
        <w:t>13</w:t>
      </w:r>
      <w:r>
        <w:rPr>
          <w:rFonts w:ascii="Times New Roman" w:hAnsi="Times New Roman" w:cs="Times New Roman"/>
          <w:sz w:val="20"/>
          <w:szCs w:val="20"/>
        </w:rPr>
        <w:fldChar w:fldCharType="end"/>
      </w:r>
      <w:r>
        <w:rPr>
          <w:rFonts w:ascii="Times New Roman" w:hAnsi="Times New Roman" w:cs="Times New Roman"/>
          <w:sz w:val="20"/>
          <w:szCs w:val="20"/>
        </w:rPr>
        <w:t xml:space="preserve"> Subsequent versions of the EFTs were updated to incorporate competing risks of mortality into the incidence figures. Australian age- and sex-specific all-cause mortality rates</w:t>
      </w:r>
      <w:r>
        <w:rPr>
          <w:rFonts w:ascii="Times New Roman" w:hAnsi="Times New Roman" w:cs="Times New Roman"/>
          <w:sz w:val="20"/>
          <w:szCs w:val="20"/>
        </w:rPr>
        <w:fldChar w:fldCharType="begin" w:fldLock="1"/>
      </w:r>
      <w:r>
        <w:rPr>
          <w:rFonts w:ascii="Times New Roman" w:hAnsi="Times New Roman" w:cs="Times New Roman"/>
          <w:sz w:val="20"/>
          <w:szCs w:val="20"/>
        </w:rPr>
        <w:instrText>ADDIN CSL_CITATION {"citationItems":[{"id":"ITEM-1","itemData":{"URL":"https://www.aihw.gov.au/reports/life-expectancy-death/grim-books/contents/general-record-of-incidence-of-mortality-grim-books","accessed":{"date-parts":[["2022","1","28"]]},"id":"ITEM-1","issued":{"date-parts":[["0"]]},"title":"General Record of Incidence of Mortality (GRIM) books, Data visualisation - Australian Institute of Health and Welfare","type":"webpage"},"uris":["http://www.mendeley.com/documents/?uuid=303680d4-3caa-3a72-b5de-a3d152575baf"]}],"mendeley":{"formattedCitation":"&lt;sup&gt;14&lt;/sup&gt;","plainTextFormattedCitation":"14","previouslyFormattedCitation":"&lt;sup&gt;14&lt;/sup&gt;"},"properties":{"noteIndex":0},"schema":"https://github.com/citation-style-language/schema/raw/master/csl-citation.json"}</w:instrText>
      </w:r>
      <w:r>
        <w:rPr>
          <w:rFonts w:ascii="Times New Roman" w:hAnsi="Times New Roman" w:cs="Times New Roman"/>
          <w:sz w:val="20"/>
          <w:szCs w:val="20"/>
        </w:rPr>
        <w:fldChar w:fldCharType="separate"/>
      </w:r>
      <w:r w:rsidRPr="003D39F2">
        <w:rPr>
          <w:rFonts w:ascii="Times New Roman" w:hAnsi="Times New Roman" w:cs="Times New Roman"/>
          <w:noProof/>
          <w:sz w:val="20"/>
          <w:szCs w:val="20"/>
          <w:vertAlign w:val="superscript"/>
        </w:rPr>
        <w:t>14</w:t>
      </w:r>
      <w:r>
        <w:rPr>
          <w:rFonts w:ascii="Times New Roman" w:hAnsi="Times New Roman" w:cs="Times New Roman"/>
          <w:sz w:val="20"/>
          <w:szCs w:val="20"/>
        </w:rPr>
        <w:fldChar w:fldCharType="end"/>
      </w:r>
      <w:r>
        <w:rPr>
          <w:rFonts w:ascii="Times New Roman" w:hAnsi="Times New Roman" w:cs="Times New Roman"/>
          <w:sz w:val="20"/>
          <w:szCs w:val="20"/>
        </w:rPr>
        <w:t xml:space="preserve"> were used to calculate the probability of survival over the next 10 years, then </w:t>
      </w:r>
      <w:r w:rsidR="004C560F">
        <w:rPr>
          <w:rFonts w:ascii="Times New Roman" w:hAnsi="Times New Roman" w:cs="Times New Roman"/>
          <w:sz w:val="20"/>
          <w:szCs w:val="20"/>
        </w:rPr>
        <w:t xml:space="preserve">these figures were </w:t>
      </w:r>
      <w:r>
        <w:rPr>
          <w:rFonts w:ascii="Times New Roman" w:hAnsi="Times New Roman" w:cs="Times New Roman"/>
          <w:sz w:val="20"/>
          <w:szCs w:val="20"/>
        </w:rPr>
        <w:t>incorporated within calculations of 10-year absolute risks of each clinical outcome with and without aspirin use for five years. Specifically, baseline incidences of colorectal cancer</w:t>
      </w:r>
      <w:r>
        <w:rPr>
          <w:rFonts w:ascii="Times New Roman" w:hAnsi="Times New Roman" w:cs="Times New Roman"/>
          <w:sz w:val="20"/>
          <w:szCs w:val="20"/>
        </w:rPr>
        <w:fldChar w:fldCharType="begin" w:fldLock="1"/>
      </w:r>
      <w:r>
        <w:rPr>
          <w:rFonts w:ascii="Times New Roman" w:hAnsi="Times New Roman" w:cs="Times New Roman"/>
          <w:sz w:val="20"/>
          <w:szCs w:val="20"/>
        </w:rPr>
        <w:instrText>ADDIN CSL_CITATION {"citationItems":[{"id":"ITEM-1","itemData":{"URL":"https://www.aihw.gov.au/reports/cancer/colorectal-other-digestive-tract-cancers/summary","accessed":{"date-parts":[["2022","2","28"]]},"id":"ITEM-1","issued":{"date-parts":[["0"]]},"title":"Colorectal and other digestive-tract cancers, Summary - Australian Institute of Health and Welfare","type":"webpage"},"uris":["http://www.mendeley.com/documents/?uuid=cce86f6b-2435-312b-a65d-ac482fa1e2ea"]}],"mendeley":{"formattedCitation":"&lt;sup&gt;15&lt;/sup&gt;","plainTextFormattedCitation":"15","previouslyFormattedCitation":"&lt;sup&gt;15&lt;/sup&gt;"},"properties":{"noteIndex":0},"schema":"https://github.com/citation-style-language/schema/raw/master/csl-citation.json"}</w:instrText>
      </w:r>
      <w:r>
        <w:rPr>
          <w:rFonts w:ascii="Times New Roman" w:hAnsi="Times New Roman" w:cs="Times New Roman"/>
          <w:sz w:val="20"/>
          <w:szCs w:val="20"/>
        </w:rPr>
        <w:fldChar w:fldCharType="separate"/>
      </w:r>
      <w:r w:rsidRPr="00F80083">
        <w:rPr>
          <w:rFonts w:ascii="Times New Roman" w:hAnsi="Times New Roman" w:cs="Times New Roman"/>
          <w:noProof/>
          <w:sz w:val="20"/>
          <w:szCs w:val="20"/>
          <w:vertAlign w:val="superscript"/>
        </w:rPr>
        <w:t>15</w:t>
      </w:r>
      <w:r>
        <w:rPr>
          <w:rFonts w:ascii="Times New Roman" w:hAnsi="Times New Roman" w:cs="Times New Roman"/>
          <w:sz w:val="20"/>
          <w:szCs w:val="20"/>
        </w:rPr>
        <w:fldChar w:fldCharType="end"/>
      </w:r>
      <w:r>
        <w:rPr>
          <w:rFonts w:ascii="Times New Roman" w:hAnsi="Times New Roman" w:cs="Times New Roman"/>
          <w:sz w:val="20"/>
          <w:szCs w:val="20"/>
        </w:rPr>
        <w:t>, heart attack</w:t>
      </w:r>
      <w:r>
        <w:rPr>
          <w:rFonts w:ascii="Times New Roman" w:hAnsi="Times New Roman" w:cs="Times New Roman"/>
          <w:sz w:val="20"/>
          <w:szCs w:val="20"/>
        </w:rPr>
        <w:fldChar w:fldCharType="begin" w:fldLock="1"/>
      </w:r>
      <w:r>
        <w:rPr>
          <w:rFonts w:ascii="Times New Roman" w:hAnsi="Times New Roman" w:cs="Times New Roman"/>
          <w:sz w:val="20"/>
          <w:szCs w:val="20"/>
        </w:rPr>
        <w:instrText>ADDIN CSL_CITATION {"citationItems":[{"id":"ITEM-1","itemData":{"URL":"https://www.pc.gov.au/research/ongoing/report-on-government-services/2018/health","accessed":{"date-parts":[["2022","2","28"]]},"id":"ITEM-1","issued":{"date-parts":[["0"]]},"title":"Health - Report on Government Services Productivity Commission","type":"webpage"},"uris":["http://www.mendeley.com/documents/?uuid=c7a40b9d-0ceb-30fb-9491-564e6ca6aa77"]}],"mendeley":{"formattedCitation":"&lt;sup&gt;16&lt;/sup&gt;","plainTextFormattedCitation":"16","previouslyFormattedCitation":"&lt;sup&gt;16&lt;/sup&gt;"},"properties":{"noteIndex":0},"schema":"https://github.com/citation-style-language/schema/raw/master/csl-citation.json"}</w:instrText>
      </w:r>
      <w:r>
        <w:rPr>
          <w:rFonts w:ascii="Times New Roman" w:hAnsi="Times New Roman" w:cs="Times New Roman"/>
          <w:sz w:val="20"/>
          <w:szCs w:val="20"/>
        </w:rPr>
        <w:fldChar w:fldCharType="separate"/>
      </w:r>
      <w:r w:rsidRPr="00020066">
        <w:rPr>
          <w:rFonts w:ascii="Times New Roman" w:hAnsi="Times New Roman" w:cs="Times New Roman"/>
          <w:noProof/>
          <w:sz w:val="20"/>
          <w:szCs w:val="20"/>
          <w:vertAlign w:val="superscript"/>
        </w:rPr>
        <w:t>16</w:t>
      </w:r>
      <w:r>
        <w:rPr>
          <w:rFonts w:ascii="Times New Roman" w:hAnsi="Times New Roman" w:cs="Times New Roman"/>
          <w:sz w:val="20"/>
          <w:szCs w:val="20"/>
        </w:rPr>
        <w:fldChar w:fldCharType="end"/>
      </w:r>
      <w:r>
        <w:rPr>
          <w:rFonts w:ascii="Times New Roman" w:hAnsi="Times New Roman" w:cs="Times New Roman"/>
          <w:sz w:val="20"/>
          <w:szCs w:val="20"/>
        </w:rPr>
        <w:t xml:space="preserve"> and stroke</w:t>
      </w:r>
      <w:r>
        <w:rPr>
          <w:rFonts w:ascii="Times New Roman" w:hAnsi="Times New Roman" w:cs="Times New Roman"/>
          <w:sz w:val="20"/>
          <w:szCs w:val="20"/>
        </w:rPr>
        <w:fldChar w:fldCharType="begin" w:fldLock="1"/>
      </w:r>
      <w:r>
        <w:rPr>
          <w:rFonts w:ascii="Times New Roman" w:hAnsi="Times New Roman" w:cs="Times New Roman"/>
          <w:sz w:val="20"/>
          <w:szCs w:val="20"/>
        </w:rPr>
        <w:instrText>ADDIN CSL_CITATION {"citationItems":[{"id":"ITEM-1","itemData":{"URL":"https://www.google.com/search?q=https%3A%2F%2Fwww.aihw.gov.au%2Fgetmedia%2F4a758db2-37c6-49b69f9e-578213fb42ed%2Faihw-cvd-data-tables-2017.xls.aspx&amp;rlz=1C1GCEA_enAU926AU926&amp;sxsrf=APq-WBuolaOo8TZAQ5UK3L90Gjypq5S9nA%3A1646006358351&amp;ei=VhAcYv6BFZqZ4-EPup2poAY&amp;ved=0ahUKEwj-hKbCi6H2AhWazDgGHbpOCmQQ4dUDCA4&amp;uact=5&amp;oq=https%3A%2F%2Fwww.aihw.gov.au%2Fgetmedia%2F4a758db2-37c6-49b69f9e-578213fb42ed%2Faihw-cvd-data-tables-2017.xls.aspx&amp;gs_lcp=Cgdnd3Mtd2l6EAMyBwgjEOoCECcyBwgjEOoCECcyBwgjEOoCECcyBwgjEOoCECcyBwgjEOoCECcyBwgjEOoCECcyBwgjEOoCECcyDQguEMcBEK8BEOoCECcyBwgjEOoCECcyBwgjEOoCECdKBAhBGABKBAhGGABQ8gxY8gxg8Q9oAXAAeACAAQCIAQCSAQCYAQCgAQGgAQKwAQrAAQE&amp;sclient=gws-wiz","accessed":{"date-parts":[["2022","2","28"]]},"id":"ITEM-1","issued":{"date-parts":[["0"]]},"title":"https://www.aihw.gov.au/getmedia/4a758db2-37c6-49b69f9e-578213fb42ed/aihw-cvd-data-tables-2017.xls.aspx - Google Search","type":"webpage"},"uris":["http://www.mendeley.com/documents/?uuid=ef426230-7586-3d08-b15e-77eaf8955b82"]}],"mendeley":{"formattedCitation":"&lt;sup&gt;17&lt;/sup&gt;","plainTextFormattedCitation":"17","previouslyFormattedCitation":"&lt;sup&gt;17&lt;/sup&gt;"},"properties":{"noteIndex":0},"schema":"https://github.com/citation-style-language/schema/raw/master/csl-citation.json"}</w:instrText>
      </w:r>
      <w:r>
        <w:rPr>
          <w:rFonts w:ascii="Times New Roman" w:hAnsi="Times New Roman" w:cs="Times New Roman"/>
          <w:sz w:val="20"/>
          <w:szCs w:val="20"/>
        </w:rPr>
        <w:fldChar w:fldCharType="separate"/>
      </w:r>
      <w:r w:rsidRPr="00020066">
        <w:rPr>
          <w:rFonts w:ascii="Times New Roman" w:hAnsi="Times New Roman" w:cs="Times New Roman"/>
          <w:noProof/>
          <w:sz w:val="20"/>
          <w:szCs w:val="20"/>
          <w:vertAlign w:val="superscript"/>
        </w:rPr>
        <w:t>17</w:t>
      </w:r>
      <w:r>
        <w:rPr>
          <w:rFonts w:ascii="Times New Roman" w:hAnsi="Times New Roman" w:cs="Times New Roman"/>
          <w:sz w:val="20"/>
          <w:szCs w:val="20"/>
        </w:rPr>
        <w:fldChar w:fldCharType="end"/>
      </w:r>
      <w:r>
        <w:rPr>
          <w:rFonts w:ascii="Times New Roman" w:hAnsi="Times New Roman" w:cs="Times New Roman"/>
          <w:sz w:val="20"/>
          <w:szCs w:val="20"/>
        </w:rPr>
        <w:t xml:space="preserve"> and GI bleeding</w:t>
      </w:r>
      <w:r>
        <w:rPr>
          <w:rFonts w:ascii="Times New Roman" w:hAnsi="Times New Roman" w:cs="Times New Roman"/>
          <w:sz w:val="20"/>
          <w:szCs w:val="20"/>
        </w:rPr>
        <w:fldChar w:fldCharType="begin" w:fldLock="1"/>
      </w:r>
      <w:r>
        <w:rPr>
          <w:rFonts w:ascii="Times New Roman" w:hAnsi="Times New Roman" w:cs="Times New Roman"/>
          <w:sz w:val="20"/>
          <w:szCs w:val="20"/>
        </w:rPr>
        <w:instrText>ADDIN CSL_CITATION {"citationItems":[{"id":"ITEM-1","itemData":{"DOI":"10.1093/annonc/mdu225","ISSN":"15698041","abstract":"Background: Accumulating evidence supports an effect of aspirin in reducing overall cancer incidence and mortality in the general population. We reviewed current data and assessed the benefits and harms of prophylactic use of aspirin in the general population. Methods: The effect of aspirin for site-specific cancer incidence and mortality, cardiovascular events was collated from the most recent systematic reviews. Studies identified through systematic Medline search provided data regarding harmful effects of aspirin and baseline rates of harms like gastrointestinal bleeding and peptic ulcer. Results: The effects of aspirin on cancer are not apparent until at least 3 years after the start of use, and some benefits are sustained for several years after cessation in long-term users. No differences between low and standard doses of aspirin are observed, but there were no direct comparisons. Higher doses do not appear to confer additional benefit but increase toxicities. Excess bleeding is the most important harm associated with aspirin use, and its risk and fatality rate increases with age. For average-risk individuals aged 50-65 years taking aspirin for 10 years, there would be a relative reduction of between 7% (women) and 9% (men) in the number of cancer, myocardial infarction or stroke events over a 15-year period and an overall 4% relative reduction in all deaths over a 20-year period. Conclusions: Prophylactic aspirin use for a minimum of 5 years at doses between 75 and 325 mg/day appears to have favourable benefit-harm profile; longer use is likely to have greater benefits. Further research is needed to determine the optimum dose and duration of use, to identify individuals at increased risk of bleeding, and to test effectiveness of Helicobacter pylori screening-eradication before starting aspirin prophylaxis.","author":[{"dropping-particle":"","family":"Cuzick","given":"Jack","non-dropping-particle":"","parse-names":false,"suffix":""},{"dropping-particle":"","family":"Thorat","given":"M. A.","non-dropping-particle":"","parse-names":false,"suffix":""},{"dropping-particle":"","family":"Bosetti","given":"C.","non-dropping-particle":"","parse-names":false,"suffix":""},{"dropping-particle":"","family":"Brown","given":"P. H.","non-dropping-particle":"","parse-names":false,"suffix":""},{"dropping-particle":"","family":"Burn","given":"J.","non-dropping-particle":"","parse-names":false,"suffix":""},{"dropping-particle":"","family":"Cook","given":"N. R.","non-dropping-particle":"","parse-names":false,"suffix":""},{"dropping-particle":"","family":"Ford","given":"L. G.","non-dropping-particle":"","parse-names":false,"suffix":""},{"dropping-particle":"","family":"Jacobs","given":"E. J.","non-dropping-particle":"","parse-names":false,"suffix":""},{"dropping-particle":"","family":"Jankowski","given":"J. A.","non-dropping-particle":"","parse-names":false,"suffix":""},{"dropping-particle":"","family":"Vecchia","given":"C.","non-dropping-particle":"La","parse-names":false,"suffix":""},{"dropping-particle":"","family":"Law","given":"M.","non-dropping-particle":"","parse-names":false,"suffix":""},{"dropping-particle":"","family":"Meyskens","given":"F.","non-dropping-particle":"","parse-names":false,"suffix":""},{"dropping-particle":"","family":"Rothwell","given":"P. M.","non-dropping-particle":"","parse-names":false,"suffix":""},{"dropping-particle":"","family":"Senn","given":"H. J.","non-dropping-particle":"","parse-names":false,"suffix":""},{"dropping-particle":"","family":"Umar","given":"A.","non-dropping-particle":"","parse-names":false,"suffix":""}],"container-title":"Annals of Oncology","id":"ITEM-1","issue":"1","issued":{"date-parts":[["2015","1","1"]]},"page":"47-57","publisher":"Oxford University Press","title":"Estimates of benefits and harms of prophylactic use of aspirin in the general population","type":"article-journal","volume":"26"},"uris":["http://www.mendeley.com/documents/?uuid=4cafabfd-8621-3630-959a-3587e4e7fda7"]}],"mendeley":{"formattedCitation":"&lt;sup&gt;18&lt;/sup&gt;","plainTextFormattedCitation":"18","previouslyFormattedCitation":"&lt;sup&gt;18&lt;/sup&gt;"},"properties":{"noteIndex":0},"schema":"https://github.com/citation-style-language/schema/raw/master/csl-citation.json"}</w:instrText>
      </w:r>
      <w:r>
        <w:rPr>
          <w:rFonts w:ascii="Times New Roman" w:hAnsi="Times New Roman" w:cs="Times New Roman"/>
          <w:sz w:val="20"/>
          <w:szCs w:val="20"/>
        </w:rPr>
        <w:fldChar w:fldCharType="separate"/>
      </w:r>
      <w:r w:rsidRPr="00020066">
        <w:rPr>
          <w:rFonts w:ascii="Times New Roman" w:hAnsi="Times New Roman" w:cs="Times New Roman"/>
          <w:noProof/>
          <w:sz w:val="20"/>
          <w:szCs w:val="20"/>
          <w:vertAlign w:val="superscript"/>
        </w:rPr>
        <w:t>18</w:t>
      </w:r>
      <w:r>
        <w:rPr>
          <w:rFonts w:ascii="Times New Roman" w:hAnsi="Times New Roman" w:cs="Times New Roman"/>
          <w:sz w:val="20"/>
          <w:szCs w:val="20"/>
        </w:rPr>
        <w:fldChar w:fldCharType="end"/>
      </w:r>
      <w:r>
        <w:rPr>
          <w:rFonts w:ascii="Times New Roman" w:hAnsi="Times New Roman" w:cs="Times New Roman"/>
          <w:sz w:val="20"/>
          <w:szCs w:val="20"/>
        </w:rPr>
        <w:t xml:space="preserve"> were converted to absolute 10</w:t>
      </w:r>
      <w:r w:rsidR="004C560F">
        <w:rPr>
          <w:rFonts w:ascii="Times New Roman" w:hAnsi="Times New Roman" w:cs="Times New Roman"/>
          <w:sz w:val="20"/>
          <w:szCs w:val="20"/>
        </w:rPr>
        <w:t>-</w:t>
      </w:r>
      <w:r>
        <w:rPr>
          <w:rFonts w:ascii="Times New Roman" w:hAnsi="Times New Roman" w:cs="Times New Roman"/>
          <w:sz w:val="20"/>
          <w:szCs w:val="20"/>
        </w:rPr>
        <w:t>year risks, accounting for competing risks of mortality, and then absolute or relative risk differences with aspirin use were applied (for heart attacks, strokes, and major GI bleeds, using figures from Cuzick et al.</w:t>
      </w:r>
      <w:r>
        <w:rPr>
          <w:rFonts w:ascii="Times New Roman" w:hAnsi="Times New Roman" w:cs="Times New Roman"/>
          <w:sz w:val="20"/>
          <w:szCs w:val="20"/>
        </w:rPr>
        <w:fldChar w:fldCharType="begin" w:fldLock="1"/>
      </w:r>
      <w:r>
        <w:rPr>
          <w:rFonts w:ascii="Times New Roman" w:hAnsi="Times New Roman" w:cs="Times New Roman"/>
          <w:sz w:val="20"/>
          <w:szCs w:val="20"/>
        </w:rPr>
        <w:instrText>ADDIN CSL_CITATION {"citationItems":[{"id":"ITEM-1","itemData":{"DOI":"10.1093/annonc/mdu225","ISSN":"15698041","abstract":"Background: Accumulating evidence supports an effect of aspirin in reducing overall cancer incidence and mortality in the general population. We reviewed current data and assessed the benefits and harms of prophylactic use of aspirin in the general population. Methods: The effect of aspirin for site-specific cancer incidence and mortality, cardiovascular events was collated from the most recent systematic reviews. Studies identified through systematic Medline search provided data regarding harmful effects of aspirin and baseline rates of harms like gastrointestinal bleeding and peptic ulcer. Results: The effects of aspirin on cancer are not apparent until at least 3 years after the start of use, and some benefits are sustained for several years after cessation in long-term users. No differences between low and standard doses of aspirin are observed, but there were no direct comparisons. Higher doses do not appear to confer additional benefit but increase toxicities. Excess bleeding is the most important harm associated with aspirin use, and its risk and fatality rate increases with age. For average-risk individuals aged 50-65 years taking aspirin for 10 years, there would be a relative reduction of between 7% (women) and 9% (men) in the number of cancer, myocardial infarction or stroke events over a 15-year period and an overall 4% relative reduction in all deaths over a 20-year period. Conclusions: Prophylactic aspirin use for a minimum of 5 years at doses between 75 and 325 mg/day appears to have favourable benefit-harm profile; longer use is likely to have greater benefits. Further research is needed to determine the optimum dose and duration of use, to identify individuals at increased risk of bleeding, and to test effectiveness of Helicobacter pylori screening-eradication before starting aspirin prophylaxis.","author":[{"dropping-particle":"","family":"Cuzick","given":"Jack","non-dropping-particle":"","parse-names":false,"suffix":""},{"dropping-particle":"","family":"Thorat","given":"M. A.","non-dropping-particle":"","parse-names":false,"suffix":""},{"dropping-particle":"","family":"Bosetti","given":"C.","non-dropping-particle":"","parse-names":false,"suffix":""},{"dropping-particle":"","family":"Brown","given":"P. H.","non-dropping-particle":"","parse-names":false,"suffix":""},{"dropping-particle":"","family":"Burn","given":"J.","non-dropping-particle":"","parse-names":false,"suffix":""},{"dropping-particle":"","family":"Cook","given":"N. R.","non-dropping-particle":"","parse-names":false,"suffix":""},{"dropping-particle":"","family":"Ford","given":"L. G.","non-dropping-particle":"","parse-names":false,"suffix":""},{"dropping-particle":"","family":"Jacobs","given":"E. J.","non-dropping-particle":"","parse-names":false,"suffix":""},{"dropping-particle":"","family":"Jankowski","given":"J. A.","non-dropping-particle":"","parse-names":false,"suffix":""},{"dropping-particle":"","family":"Vecchia","given":"C.","non-dropping-particle":"La","parse-names":false,"suffix":""},{"dropping-particle":"","family":"Law","given":"M.","non-dropping-particle":"","parse-names":false,"suffix":""},{"dropping-particle":"","family":"Meyskens","given":"F.","non-dropping-particle":"","parse-names":false,"suffix":""},{"dropping-particle":"","family":"Rothwell","given":"P. M.","non-dropping-particle":"","parse-names":false,"suffix":""},{"dropping-particle":"","family":"Senn","given":"H. J.","non-dropping-particle":"","parse-names":false,"suffix":""},{"dropping-particle":"","family":"Umar","given":"A.","non-dropping-particle":"","parse-names":false,"suffix":""}],"container-title":"Annals of Oncology","id":"ITEM-1","issue":"1","issued":{"date-parts":[["2015","1","1"]]},"page":"47-57","publisher":"Oxford University Press","title":"Estimates of benefits and harms of prophylactic use of aspirin in the general population","type":"article-journal","volume":"26"},"uris":["http://www.mendeley.com/documents/?uuid=4cafabfd-8621-3630-959a-3587e4e7fda7"]}],"mendeley":{"formattedCitation":"&lt;sup&gt;18&lt;/sup&gt;","plainTextFormattedCitation":"18","previouslyFormattedCitation":"&lt;sup&gt;18&lt;/sup&gt;"},"properties":{"noteIndex":0},"schema":"https://github.com/citation-style-language/schema/raw/master/csl-citation.json"}</w:instrText>
      </w:r>
      <w:r>
        <w:rPr>
          <w:rFonts w:ascii="Times New Roman" w:hAnsi="Times New Roman" w:cs="Times New Roman"/>
          <w:sz w:val="20"/>
          <w:szCs w:val="20"/>
        </w:rPr>
        <w:fldChar w:fldCharType="separate"/>
      </w:r>
      <w:r w:rsidRPr="00020066">
        <w:rPr>
          <w:rFonts w:ascii="Times New Roman" w:hAnsi="Times New Roman" w:cs="Times New Roman"/>
          <w:noProof/>
          <w:sz w:val="20"/>
          <w:szCs w:val="20"/>
          <w:vertAlign w:val="superscript"/>
        </w:rPr>
        <w:t>18</w:t>
      </w:r>
      <w:r>
        <w:rPr>
          <w:rFonts w:ascii="Times New Roman" w:hAnsi="Times New Roman" w:cs="Times New Roman"/>
          <w:sz w:val="20"/>
          <w:szCs w:val="20"/>
        </w:rPr>
        <w:fldChar w:fldCharType="end"/>
      </w:r>
      <w:r>
        <w:rPr>
          <w:rFonts w:ascii="Times New Roman" w:hAnsi="Times New Roman" w:cs="Times New Roman"/>
          <w:sz w:val="20"/>
          <w:szCs w:val="20"/>
        </w:rPr>
        <w:t>, and for colorectal cancer, using figures from Rothwell et al</w:t>
      </w:r>
      <w:r>
        <w:rPr>
          <w:rFonts w:ascii="Times New Roman" w:hAnsi="Times New Roman" w:cs="Times New Roman"/>
          <w:sz w:val="20"/>
          <w:szCs w:val="20"/>
        </w:rPr>
        <w:fldChar w:fldCharType="begin" w:fldLock="1"/>
      </w:r>
      <w:r>
        <w:rPr>
          <w:rFonts w:ascii="Times New Roman" w:hAnsi="Times New Roman" w:cs="Times New Roman"/>
          <w:sz w:val="20"/>
          <w:szCs w:val="20"/>
        </w:rPr>
        <w:instrText>ADDIN CSL_CITATION {"citationItems":[{"id":"ITEM-1","itemData":{"DOI":"10.1016/S0140-6736(10)61543-7","ISSN":"01406736","author":[{"dropping-particle":"","family":"Rothwell","given":"Peter M","non-dropping-particle":"","parse-names":false,"suffix":""},{"dropping-particle":"","family":"Wilson","given":"Michelle","non-dropping-particle":"","parse-names":false,"suffix":""},{"dropping-particle":"","family":"Elwin","given":"Carl-Eric","non-dropping-particle":"","parse-names":false,"suffix":""},{"dropping-particle":"","family":"Norrving","given":"Bo","non-dropping-particle":"","parse-names":false,"suffix":""},{"dropping-particle":"","family":"Algra","given":"Ale","non-dropping-particle":"","parse-names":false,"suffix":""},{"dropping-particle":"","family":"Warlow","given":"Charles P","non-dropping-particle":"","parse-names":false,"suffix":""},{"dropping-particle":"","family":"Meade","given":"Tom W","non-dropping-particle":"","parse-names":false,"suffix":""}],"container-title":"The Lancet","id":"ITEM-1","issue":"9754","issued":{"date-parts":[["2010","11"]]},"page":"1741-1750","title":"Long-term effect of aspirin on colorectal cancer incidence and mortality: 20-year follow-up of five randomised trials","type":"article-journal","volume":"376"},"uris":["http://www.mendeley.com/documents/?uuid=9acd0886-8d07-369d-a697-eac33037bd10"]}],"mendeley":{"formattedCitation":"&lt;sup&gt;2&lt;/sup&gt;","plainTextFormattedCitation":"2","previouslyFormattedCitation":"&lt;sup&gt;2&lt;/sup&gt;"},"properties":{"noteIndex":0},"schema":"https://github.com/citation-style-language/schema/raw/master/csl-citation.json"}</w:instrText>
      </w:r>
      <w:r>
        <w:rPr>
          <w:rFonts w:ascii="Times New Roman" w:hAnsi="Times New Roman" w:cs="Times New Roman"/>
          <w:sz w:val="20"/>
          <w:szCs w:val="20"/>
        </w:rPr>
        <w:fldChar w:fldCharType="separate"/>
      </w:r>
      <w:r w:rsidRPr="00000631">
        <w:rPr>
          <w:rFonts w:ascii="Times New Roman" w:hAnsi="Times New Roman" w:cs="Times New Roman"/>
          <w:noProof/>
          <w:sz w:val="20"/>
          <w:szCs w:val="20"/>
          <w:vertAlign w:val="superscript"/>
        </w:rPr>
        <w:t>2</w:t>
      </w:r>
      <w:r>
        <w:rPr>
          <w:rFonts w:ascii="Times New Roman" w:hAnsi="Times New Roman" w:cs="Times New Roman"/>
          <w:sz w:val="20"/>
          <w:szCs w:val="20"/>
        </w:rPr>
        <w:fldChar w:fldCharType="end"/>
      </w:r>
      <w:r>
        <w:rPr>
          <w:rFonts w:ascii="Times New Roman" w:hAnsi="Times New Roman" w:cs="Times New Roman"/>
          <w:sz w:val="20"/>
          <w:szCs w:val="20"/>
        </w:rPr>
        <w:t>). Absolute numbers of events over ten years were then calculated using Australian age- and sex-specific population figures</w:t>
      </w:r>
      <w:r>
        <w:rPr>
          <w:rFonts w:ascii="Times New Roman" w:hAnsi="Times New Roman" w:cs="Times New Roman"/>
          <w:sz w:val="20"/>
          <w:szCs w:val="20"/>
        </w:rPr>
        <w:fldChar w:fldCharType="begin" w:fldLock="1"/>
      </w:r>
      <w:r>
        <w:rPr>
          <w:rFonts w:ascii="Times New Roman" w:hAnsi="Times New Roman" w:cs="Times New Roman"/>
          <w:sz w:val="20"/>
          <w:szCs w:val="20"/>
        </w:rPr>
        <w:instrText>ADDIN CSL_CITATION {"citationItems":[{"id":"ITEM-1","itemData":{"URL":"https://www.abs.gov.au/statistics/people/population/population-projections-australia/latest-release","accessed":{"date-parts":[["2022","1","28"]]},"id":"ITEM-1","issued":{"date-parts":[["0"]]},"title":"Population Projections, Australia, 2017 (base) - 2066 | Australian Bureau of Statistics","type":"webpage"},"uris":["http://www.mendeley.com/documents/?uuid=c3d3429c-e5e9-3a13-8a5e-16f9b1a9d02d"]}],"mendeley":{"formattedCitation":"&lt;sup&gt;19&lt;/sup&gt;","plainTextFormattedCitation":"19","previouslyFormattedCitation":"&lt;sup&gt;19&lt;/sup&gt;"},"properties":{"noteIndex":0},"schema":"https://github.com/citation-style-language/schema/raw/master/csl-citation.json"}</w:instrText>
      </w:r>
      <w:r>
        <w:rPr>
          <w:rFonts w:ascii="Times New Roman" w:hAnsi="Times New Roman" w:cs="Times New Roman"/>
          <w:sz w:val="20"/>
          <w:szCs w:val="20"/>
        </w:rPr>
        <w:fldChar w:fldCharType="separate"/>
      </w:r>
      <w:r w:rsidRPr="00000631">
        <w:rPr>
          <w:rFonts w:ascii="Times New Roman" w:hAnsi="Times New Roman" w:cs="Times New Roman"/>
          <w:noProof/>
          <w:sz w:val="20"/>
          <w:szCs w:val="20"/>
          <w:vertAlign w:val="superscript"/>
        </w:rPr>
        <w:t>19</w:t>
      </w:r>
      <w:r>
        <w:rPr>
          <w:rFonts w:ascii="Times New Roman" w:hAnsi="Times New Roman" w:cs="Times New Roman"/>
          <w:sz w:val="20"/>
          <w:szCs w:val="20"/>
        </w:rPr>
        <w:fldChar w:fldCharType="end"/>
      </w:r>
      <w:r>
        <w:rPr>
          <w:rFonts w:ascii="Times New Roman" w:hAnsi="Times New Roman" w:cs="Times New Roman"/>
          <w:sz w:val="20"/>
          <w:szCs w:val="20"/>
        </w:rPr>
        <w:t>.</w:t>
      </w:r>
    </w:p>
    <w:p w14:paraId="3CD2BC5B" w14:textId="77777777" w:rsidR="00186A1E" w:rsidRDefault="00186A1E" w:rsidP="00186A1E">
      <w:pPr>
        <w:rPr>
          <w:rFonts w:ascii="Times New Roman" w:hAnsi="Times New Roman" w:cs="Times New Roman"/>
          <w:sz w:val="20"/>
          <w:szCs w:val="20"/>
        </w:rPr>
      </w:pPr>
      <w:r w:rsidRPr="00851E1E">
        <w:rPr>
          <w:rFonts w:ascii="Times New Roman" w:hAnsi="Times New Roman" w:cs="Times New Roman"/>
          <w:sz w:val="20"/>
          <w:szCs w:val="20"/>
        </w:rPr>
        <w:t xml:space="preserve">Initial feedback from </w:t>
      </w:r>
      <w:r>
        <w:rPr>
          <w:rFonts w:ascii="Times New Roman" w:hAnsi="Times New Roman" w:cs="Times New Roman"/>
          <w:sz w:val="20"/>
          <w:szCs w:val="20"/>
        </w:rPr>
        <w:t>clinicians suggested utility in providing absolute differences in mortality for those taking aspirin compared to those who did not. Estimates for all-cause mortality per 10,000 Australian men and women were calculated. The Australian age- and sex-specific mortality rates</w:t>
      </w:r>
      <w:r>
        <w:rPr>
          <w:rFonts w:ascii="Times New Roman" w:hAnsi="Times New Roman" w:cs="Times New Roman"/>
          <w:sz w:val="20"/>
          <w:szCs w:val="20"/>
        </w:rPr>
        <w:fldChar w:fldCharType="begin" w:fldLock="1"/>
      </w:r>
      <w:r>
        <w:rPr>
          <w:rFonts w:ascii="Times New Roman" w:hAnsi="Times New Roman" w:cs="Times New Roman"/>
          <w:sz w:val="20"/>
          <w:szCs w:val="20"/>
        </w:rPr>
        <w:instrText>ADDIN CSL_CITATION {"citationItems":[{"id":"ITEM-1","itemData":{"URL":"https://www.aihw.gov.au/reports/life-expectancy-death/grim-books/contents/general-record-of-incidence-of-mortality-grim-books","accessed":{"date-parts":[["2022","1","28"]]},"id":"ITEM-1","issued":{"date-parts":[["0"]]},"title":"General Record of Incidence of Mortality (GRIM) books, Data visualisation - Australian Institute of Health and Welfare","type":"webpage"},"uris":["http://www.mendeley.com/documents/?uuid=303680d4-3caa-3a72-b5de-a3d152575baf"]}],"mendeley":{"formattedCitation":"&lt;sup&gt;14&lt;/sup&gt;","plainTextFormattedCitation":"14","previouslyFormattedCitation":"&lt;sup&gt;14&lt;/sup&gt;"},"properties":{"noteIndex":0},"schema":"https://github.com/citation-style-language/schema/raw/master/csl-citation.json"}</w:instrText>
      </w:r>
      <w:r>
        <w:rPr>
          <w:rFonts w:ascii="Times New Roman" w:hAnsi="Times New Roman" w:cs="Times New Roman"/>
          <w:sz w:val="20"/>
          <w:szCs w:val="20"/>
        </w:rPr>
        <w:fldChar w:fldCharType="separate"/>
      </w:r>
      <w:r w:rsidRPr="003D39F2">
        <w:rPr>
          <w:rFonts w:ascii="Times New Roman" w:hAnsi="Times New Roman" w:cs="Times New Roman"/>
          <w:noProof/>
          <w:sz w:val="20"/>
          <w:szCs w:val="20"/>
          <w:vertAlign w:val="superscript"/>
        </w:rPr>
        <w:t>14</w:t>
      </w:r>
      <w:r>
        <w:rPr>
          <w:rFonts w:ascii="Times New Roman" w:hAnsi="Times New Roman" w:cs="Times New Roman"/>
          <w:sz w:val="20"/>
          <w:szCs w:val="20"/>
        </w:rPr>
        <w:fldChar w:fldCharType="end"/>
      </w:r>
      <w:r>
        <w:rPr>
          <w:rFonts w:ascii="Times New Roman" w:hAnsi="Times New Roman" w:cs="Times New Roman"/>
          <w:sz w:val="20"/>
          <w:szCs w:val="20"/>
        </w:rPr>
        <w:t xml:space="preserve"> were converted to a 10-year cumulative risk of mortality as a baseline. The 10-year risk of mortality for those who take aspirin for five years was then calculated using absolute risk reductions reported by Cuzick et al</w:t>
      </w:r>
      <w:r>
        <w:rPr>
          <w:rFonts w:ascii="Times New Roman" w:hAnsi="Times New Roman" w:cs="Times New Roman"/>
          <w:sz w:val="20"/>
          <w:szCs w:val="20"/>
        </w:rPr>
        <w:fldChar w:fldCharType="begin" w:fldLock="1"/>
      </w:r>
      <w:r>
        <w:rPr>
          <w:rFonts w:ascii="Times New Roman" w:hAnsi="Times New Roman" w:cs="Times New Roman"/>
          <w:sz w:val="20"/>
          <w:szCs w:val="20"/>
        </w:rPr>
        <w:instrText>ADDIN CSL_CITATION {"citationItems":[{"id":"ITEM-1","itemData":{"DOI":"10.1093/annonc/mdu225","ISSN":"15698041","abstract":"Background: Accumulating evidence supports an effect of aspirin in reducing overall cancer incidence and mortality in the general population. We reviewed current data and assessed the benefits and harms of prophylactic use of aspirin in the general population. Methods: The effect of aspirin for site-specific cancer incidence and mortality, cardiovascular events was collated from the most recent systematic reviews. Studies identified through systematic Medline search provided data regarding harmful effects of aspirin and baseline rates of harms like gastrointestinal bleeding and peptic ulcer. Results: The effects of aspirin on cancer are not apparent until at least 3 years after the start of use, and some benefits are sustained for several years after cessation in long-term users. No differences between low and standard doses of aspirin are observed, but there were no direct comparisons. Higher doses do not appear to confer additional benefit but increase toxicities. Excess bleeding is the most important harm associated with aspirin use, and its risk and fatality rate increases with age. For average-risk individuals aged 50-65 years taking aspirin for 10 years, there would be a relative reduction of between 7% (women) and 9% (men) in the number of cancer, myocardial infarction or stroke events over a 15-year period and an overall 4% relative reduction in all deaths over a 20-year period. Conclusions: Prophylactic aspirin use for a minimum of 5 years at doses between 75 and 325 mg/day appears to have favourable benefit-harm profile; longer use is likely to have greater benefits. Further research is needed to determine the optimum dose and duration of use, to identify individuals at increased risk of bleeding, and to test effectiveness of Helicobacter pylori screening-eradication before starting aspirin prophylaxis.","author":[{"dropping-particle":"","family":"Cuzick","given":"Jack","non-dropping-particle":"","parse-names":false,"suffix":""},{"dropping-particle":"","family":"Thorat","given":"M. A.","non-dropping-particle":"","parse-names":false,"suffix":""},{"dropping-particle":"","family":"Bosetti","given":"C.","non-dropping-particle":"","parse-names":false,"suffix":""},{"dropping-particle":"","family":"Brown","given":"P. H.","non-dropping-particle":"","parse-names":false,"suffix":""},{"dropping-particle":"","family":"Burn","given":"J.","non-dropping-particle":"","parse-names":false,"suffix":""},{"dropping-particle":"","family":"Cook","given":"N. R.","non-dropping-particle":"","parse-names":false,"suffix":""},{"dropping-particle":"","family":"Ford","given":"L. G.","non-dropping-particle":"","parse-names":false,"suffix":""},{"dropping-particle":"","family":"Jacobs","given":"E. J.","non-dropping-particle":"","parse-names":false,"suffix":""},{"dropping-particle":"","family":"Jankowski","given":"J. A.","non-dropping-particle":"","parse-names":false,"suffix":""},{"dropping-particle":"","family":"Vecchia","given":"C.","non-dropping-particle":"La","parse-names":false,"suffix":""},{"dropping-particle":"","family":"Law","given":"M.","non-dropping-particle":"","parse-names":false,"suffix":""},{"dropping-particle":"","family":"Meyskens","given":"F.","non-dropping-particle":"","parse-names":false,"suffix":""},{"dropping-particle":"","family":"Rothwell","given":"P. M.","non-dropping-particle":"","parse-names":false,"suffix":""},{"dropping-particle":"","family":"Senn","given":"H. J.","non-dropping-particle":"","parse-names":false,"suffix":""},{"dropping-particle":"","family":"Umar","given":"A.","non-dropping-particle":"","parse-names":false,"suffix":""}],"container-title":"Annals of Oncology","id":"ITEM-1","issue":"1","issued":{"date-parts":[["2015","1","1"]]},"page":"47-57","publisher":"Oxford University Press","title":"Estimates of benefits and harms of prophylactic use of aspirin in the general population","type":"article-journal","volume":"26"},"uris":["http://www.mendeley.com/documents/?uuid=4cafabfd-8621-3630-959a-3587e4e7fda7"]}],"mendeley":{"formattedCitation":"&lt;sup&gt;18&lt;/sup&gt;","plainTextFormattedCitation":"18","previouslyFormattedCitation":"&lt;sup&gt;18&lt;/sup&gt;"},"properties":{"noteIndex":0},"schema":"https://github.com/citation-style-language/schema/raw/master/csl-citation.json"}</w:instrText>
      </w:r>
      <w:r>
        <w:rPr>
          <w:rFonts w:ascii="Times New Roman" w:hAnsi="Times New Roman" w:cs="Times New Roman"/>
          <w:sz w:val="20"/>
          <w:szCs w:val="20"/>
        </w:rPr>
        <w:fldChar w:fldCharType="separate"/>
      </w:r>
      <w:r w:rsidRPr="00020066">
        <w:rPr>
          <w:rFonts w:ascii="Times New Roman" w:hAnsi="Times New Roman" w:cs="Times New Roman"/>
          <w:noProof/>
          <w:sz w:val="20"/>
          <w:szCs w:val="20"/>
          <w:vertAlign w:val="superscript"/>
        </w:rPr>
        <w:t>18</w:t>
      </w:r>
      <w:r>
        <w:rPr>
          <w:rFonts w:ascii="Times New Roman" w:hAnsi="Times New Roman" w:cs="Times New Roman"/>
          <w:sz w:val="20"/>
          <w:szCs w:val="20"/>
        </w:rPr>
        <w:fldChar w:fldCharType="end"/>
      </w:r>
      <w:r>
        <w:rPr>
          <w:rFonts w:ascii="Times New Roman" w:hAnsi="Times New Roman" w:cs="Times New Roman"/>
          <w:sz w:val="20"/>
          <w:szCs w:val="20"/>
        </w:rPr>
        <w:t>. Australian age- and sex-specific population figures</w:t>
      </w:r>
      <w:r>
        <w:rPr>
          <w:rFonts w:ascii="Times New Roman" w:hAnsi="Times New Roman" w:cs="Times New Roman"/>
          <w:sz w:val="20"/>
          <w:szCs w:val="20"/>
        </w:rPr>
        <w:fldChar w:fldCharType="begin" w:fldLock="1"/>
      </w:r>
      <w:r>
        <w:rPr>
          <w:rFonts w:ascii="Times New Roman" w:hAnsi="Times New Roman" w:cs="Times New Roman"/>
          <w:sz w:val="20"/>
          <w:szCs w:val="20"/>
        </w:rPr>
        <w:instrText>ADDIN CSL_CITATION {"citationItems":[{"id":"ITEM-1","itemData":{"URL":"https://www.abs.gov.au/statistics/people/population/population-projections-australia/latest-release","accessed":{"date-parts":[["2022","1","28"]]},"id":"ITEM-1","issued":{"date-parts":[["0"]]},"title":"Population Projections, Australia, 2017 (base) - 2066 | Australian Bureau of Statistics","type":"webpage"},"uris":["http://www.mendeley.com/documents/?uuid=c3d3429c-e5e9-3a13-8a5e-16f9b1a9d02d"]}],"mendeley":{"formattedCitation":"&lt;sup&gt;19&lt;/sup&gt;","plainTextFormattedCitation":"19","previouslyFormattedCitation":"&lt;sup&gt;19&lt;/sup&gt;"},"properties":{"noteIndex":0},"schema":"https://github.com/citation-style-language/schema/raw/master/csl-citation.json"}</w:instrText>
      </w:r>
      <w:r>
        <w:rPr>
          <w:rFonts w:ascii="Times New Roman" w:hAnsi="Times New Roman" w:cs="Times New Roman"/>
          <w:sz w:val="20"/>
          <w:szCs w:val="20"/>
        </w:rPr>
        <w:fldChar w:fldCharType="separate"/>
      </w:r>
      <w:r w:rsidRPr="00000631">
        <w:rPr>
          <w:rFonts w:ascii="Times New Roman" w:hAnsi="Times New Roman" w:cs="Times New Roman"/>
          <w:noProof/>
          <w:sz w:val="20"/>
          <w:szCs w:val="20"/>
          <w:vertAlign w:val="superscript"/>
        </w:rPr>
        <w:t>19</w:t>
      </w:r>
      <w:r>
        <w:rPr>
          <w:rFonts w:ascii="Times New Roman" w:hAnsi="Times New Roman" w:cs="Times New Roman"/>
          <w:sz w:val="20"/>
          <w:szCs w:val="20"/>
        </w:rPr>
        <w:fldChar w:fldCharType="end"/>
      </w:r>
      <w:r>
        <w:rPr>
          <w:rFonts w:ascii="Times New Roman" w:hAnsi="Times New Roman" w:cs="Times New Roman"/>
          <w:sz w:val="20"/>
          <w:szCs w:val="20"/>
        </w:rPr>
        <w:t xml:space="preserve"> were then applied to these absolute risks to determine absolute all-cause mortality numbers over ten years.</w:t>
      </w:r>
    </w:p>
    <w:p w14:paraId="0EB6FCA5" w14:textId="382C8508" w:rsidR="00B304F2" w:rsidRPr="00F876B2" w:rsidRDefault="00186A1E" w:rsidP="00C727E9">
      <w:pPr>
        <w:widowControl w:val="0"/>
        <w:spacing w:before="119" w:after="0" w:line="240" w:lineRule="auto"/>
        <w:ind w:right="16"/>
        <w:rPr>
          <w:rFonts w:cstheme="minorHAnsi"/>
          <w:spacing w:val="-1"/>
        </w:rPr>
      </w:pPr>
      <w:r>
        <w:rPr>
          <w:rFonts w:cstheme="minorHAnsi"/>
          <w:spacing w:val="-1"/>
        </w:rPr>
        <w:br w:type="page"/>
      </w:r>
    </w:p>
    <w:bookmarkEnd w:id="0"/>
    <w:p w14:paraId="3A08C19F" w14:textId="4F8054C5" w:rsidR="00B304F2" w:rsidRDefault="00B304F2" w:rsidP="00F876B2">
      <w:pPr>
        <w:rPr>
          <w:rFonts w:ascii="Times New Roman" w:hAnsi="Times New Roman" w:cs="Times New Roman"/>
          <w:i/>
          <w:iCs/>
          <w:color w:val="44546A" w:themeColor="text2"/>
        </w:rPr>
      </w:pPr>
      <w:r>
        <w:rPr>
          <w:noProof/>
          <w:lang w:eastAsia="en-AU"/>
        </w:rPr>
        <w:lastRenderedPageBreak/>
        <w:drawing>
          <wp:inline distT="0" distB="0" distL="0" distR="0" wp14:anchorId="6F8CC719" wp14:editId="270179C2">
            <wp:extent cx="5262113" cy="4022369"/>
            <wp:effectExtent l="0" t="0" r="0" b="0"/>
            <wp:docPr id="18" name="Picture 18" descr="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Text&#10;&#10;Description automatically generated with medium confidence"/>
                    <pic:cNvPicPr/>
                  </pic:nvPicPr>
                  <pic:blipFill rotWithShape="1">
                    <a:blip r:embed="rId9"/>
                    <a:srcRect t="1168"/>
                    <a:stretch/>
                  </pic:blipFill>
                  <pic:spPr bwMode="auto">
                    <a:xfrm>
                      <a:off x="0" y="0"/>
                      <a:ext cx="5280968" cy="4036782"/>
                    </a:xfrm>
                    <a:prstGeom prst="rect">
                      <a:avLst/>
                    </a:prstGeom>
                    <a:ln>
                      <a:noFill/>
                    </a:ln>
                    <a:extLst>
                      <a:ext uri="{53640926-AAD7-44D8-BBD7-CCE9431645EC}">
                        <a14:shadowObscured xmlns:a14="http://schemas.microsoft.com/office/drawing/2010/main"/>
                      </a:ext>
                    </a:extLst>
                  </pic:spPr>
                </pic:pic>
              </a:graphicData>
            </a:graphic>
          </wp:inline>
        </w:drawing>
      </w:r>
    </w:p>
    <w:p w14:paraId="7ACCF972" w14:textId="1EF86730" w:rsidR="00955DEF" w:rsidRPr="00186A1E" w:rsidRDefault="00B304F2" w:rsidP="00186A1E">
      <w:pPr>
        <w:spacing w:line="240" w:lineRule="auto"/>
        <w:rPr>
          <w:rFonts w:ascii="Times New Roman" w:hAnsi="Times New Roman" w:cs="Times New Roman"/>
          <w:i/>
          <w:iCs/>
          <w:color w:val="44546A" w:themeColor="text2"/>
        </w:rPr>
      </w:pPr>
      <w:r>
        <w:rPr>
          <w:noProof/>
          <w:lang w:eastAsia="en-AU"/>
        </w:rPr>
        <w:drawing>
          <wp:inline distT="0" distB="0" distL="0" distR="0" wp14:anchorId="6776813C" wp14:editId="7EA8DDA4">
            <wp:extent cx="5261610" cy="4059007"/>
            <wp:effectExtent l="0" t="0" r="0" b="0"/>
            <wp:docPr id="19" name="Picture 19"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Diagram&#10;&#10;Description automatically generated"/>
                    <pic:cNvPicPr/>
                  </pic:nvPicPr>
                  <pic:blipFill>
                    <a:blip r:embed="rId10"/>
                    <a:stretch>
                      <a:fillRect/>
                    </a:stretch>
                  </pic:blipFill>
                  <pic:spPr>
                    <a:xfrm>
                      <a:off x="0" y="0"/>
                      <a:ext cx="5314993" cy="4100189"/>
                    </a:xfrm>
                    <a:prstGeom prst="rect">
                      <a:avLst/>
                    </a:prstGeom>
                  </pic:spPr>
                </pic:pic>
              </a:graphicData>
            </a:graphic>
          </wp:inline>
        </w:drawing>
      </w:r>
      <w:r w:rsidR="00955DEF" w:rsidRPr="00E449E2">
        <w:rPr>
          <w:rStyle w:val="Heading4Char"/>
        </w:rPr>
        <w:t xml:space="preserve">Supplementary file </w:t>
      </w:r>
      <w:r w:rsidR="00DD4393">
        <w:rPr>
          <w:rStyle w:val="Heading4Char"/>
        </w:rPr>
        <w:t>C.</w:t>
      </w:r>
      <w:r w:rsidR="00955DEF" w:rsidRPr="00E449E2">
        <w:rPr>
          <w:rStyle w:val="Heading4Char"/>
        </w:rPr>
        <w:t xml:space="preserve"> </w:t>
      </w:r>
      <w:r w:rsidR="008010EF">
        <w:rPr>
          <w:rStyle w:val="Heading4Char"/>
        </w:rPr>
        <w:t>First iteration</w:t>
      </w:r>
      <w:r w:rsidR="00955DEF" w:rsidRPr="00E449E2">
        <w:rPr>
          <w:rStyle w:val="Heading4Char"/>
        </w:rPr>
        <w:t xml:space="preserve"> </w:t>
      </w:r>
      <w:r w:rsidR="008010EF">
        <w:rPr>
          <w:rStyle w:val="Heading4Char"/>
        </w:rPr>
        <w:t xml:space="preserve">of the </w:t>
      </w:r>
      <w:r w:rsidR="00955DEF" w:rsidRPr="00E449E2">
        <w:rPr>
          <w:rStyle w:val="Heading4Char"/>
        </w:rPr>
        <w:t>tri-fold female decision aid before consumer focus group feedback 1st draft, including only feedback from the steering group members.</w:t>
      </w:r>
    </w:p>
    <w:p w14:paraId="0D9A94E9" w14:textId="72CD338D" w:rsidR="00955DEF" w:rsidRDefault="00955DEF" w:rsidP="00CF5A8A">
      <w:pPr>
        <w:spacing w:line="240" w:lineRule="auto"/>
        <w:rPr>
          <w:rFonts w:ascii="Times New Roman" w:hAnsi="Times New Roman" w:cs="Times New Roman"/>
          <w:i/>
          <w:iCs/>
          <w:color w:val="44546A" w:themeColor="text2"/>
        </w:rPr>
      </w:pPr>
      <w:r>
        <w:rPr>
          <w:noProof/>
          <w:lang w:eastAsia="en-AU"/>
        </w:rPr>
        <w:lastRenderedPageBreak/>
        <w:drawing>
          <wp:inline distT="0" distB="0" distL="0" distR="0" wp14:anchorId="180CDB92" wp14:editId="5545968F">
            <wp:extent cx="5193102" cy="3996951"/>
            <wp:effectExtent l="0" t="0" r="7620" b="381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217479" cy="4015713"/>
                    </a:xfrm>
                    <a:prstGeom prst="rect">
                      <a:avLst/>
                    </a:prstGeom>
                  </pic:spPr>
                </pic:pic>
              </a:graphicData>
            </a:graphic>
          </wp:inline>
        </w:drawing>
      </w:r>
    </w:p>
    <w:p w14:paraId="74F5003C" w14:textId="18F9631D" w:rsidR="00955DEF" w:rsidRPr="00C727E9" w:rsidRDefault="00955DEF" w:rsidP="00CF5A8A">
      <w:pPr>
        <w:spacing w:line="240" w:lineRule="auto"/>
        <w:rPr>
          <w:rFonts w:asciiTheme="majorHAnsi" w:eastAsiaTheme="majorEastAsia" w:hAnsiTheme="majorHAnsi" w:cstheme="majorBidi"/>
          <w:i/>
          <w:iCs/>
          <w:color w:val="2F5496" w:themeColor="accent1" w:themeShade="BF"/>
          <w:lang w:val="en-US"/>
        </w:rPr>
      </w:pPr>
      <w:r>
        <w:rPr>
          <w:noProof/>
          <w:lang w:eastAsia="en-AU"/>
        </w:rPr>
        <w:drawing>
          <wp:inline distT="0" distB="0" distL="0" distR="0" wp14:anchorId="6308008D" wp14:editId="37C80C77">
            <wp:extent cx="5211632" cy="4028536"/>
            <wp:effectExtent l="0" t="0" r="825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240137" cy="4050570"/>
                    </a:xfrm>
                    <a:prstGeom prst="rect">
                      <a:avLst/>
                    </a:prstGeom>
                  </pic:spPr>
                </pic:pic>
              </a:graphicData>
            </a:graphic>
          </wp:inline>
        </w:drawing>
      </w:r>
      <w:r>
        <w:rPr>
          <w:rFonts w:ascii="Times New Roman" w:hAnsi="Times New Roman" w:cs="Times New Roman"/>
          <w:i/>
          <w:iCs/>
          <w:color w:val="44546A" w:themeColor="text2"/>
        </w:rPr>
        <w:br/>
      </w:r>
      <w:r w:rsidRPr="00E449E2">
        <w:rPr>
          <w:rStyle w:val="Heading4Char"/>
        </w:rPr>
        <w:t xml:space="preserve">Supplementary file </w:t>
      </w:r>
      <w:r w:rsidR="00DD4393">
        <w:rPr>
          <w:rStyle w:val="Heading4Char"/>
        </w:rPr>
        <w:t>D</w:t>
      </w:r>
      <w:r w:rsidRPr="00E449E2">
        <w:rPr>
          <w:rStyle w:val="Heading4Char"/>
        </w:rPr>
        <w:t xml:space="preserve">. </w:t>
      </w:r>
      <w:r w:rsidR="008010EF">
        <w:rPr>
          <w:rStyle w:val="Heading4Char"/>
        </w:rPr>
        <w:t>First iteration of t</w:t>
      </w:r>
      <w:r w:rsidRPr="00E449E2">
        <w:rPr>
          <w:rStyle w:val="Heading4Char"/>
        </w:rPr>
        <w:t>he tri-fold male decision aid before consumer focus group feedback, including only feedback from the steering group members.</w:t>
      </w:r>
    </w:p>
    <w:p w14:paraId="26EDD12A" w14:textId="03C8F58E" w:rsidR="001D0EB0" w:rsidRDefault="001D0EB0" w:rsidP="00CF5A8A">
      <w:pPr>
        <w:spacing w:line="240" w:lineRule="auto"/>
      </w:pPr>
      <w:r w:rsidRPr="002342EF">
        <w:rPr>
          <w:noProof/>
          <w:lang w:eastAsia="en-AU"/>
        </w:rPr>
        <w:lastRenderedPageBreak/>
        <w:drawing>
          <wp:inline distT="0" distB="0" distL="0" distR="0" wp14:anchorId="24DC788C" wp14:editId="39095087">
            <wp:extent cx="5405932" cy="3841709"/>
            <wp:effectExtent l="0" t="0" r="4445" b="698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a:srcRect r="981"/>
                    <a:stretch/>
                  </pic:blipFill>
                  <pic:spPr bwMode="auto">
                    <a:xfrm>
                      <a:off x="0" y="0"/>
                      <a:ext cx="5411096" cy="3845378"/>
                    </a:xfrm>
                    <a:prstGeom prst="rect">
                      <a:avLst/>
                    </a:prstGeom>
                    <a:ln>
                      <a:noFill/>
                    </a:ln>
                    <a:extLst>
                      <a:ext uri="{53640926-AAD7-44D8-BBD7-CCE9431645EC}">
                        <a14:shadowObscured xmlns:a14="http://schemas.microsoft.com/office/drawing/2010/main"/>
                      </a:ext>
                    </a:extLst>
                  </pic:spPr>
                </pic:pic>
              </a:graphicData>
            </a:graphic>
          </wp:inline>
        </w:drawing>
      </w:r>
    </w:p>
    <w:p w14:paraId="14961CF3" w14:textId="5AB27215" w:rsidR="00E449E2" w:rsidRDefault="001D0EB0" w:rsidP="00955DEF">
      <w:pPr>
        <w:rPr>
          <w:rStyle w:val="Heading4Char"/>
        </w:rPr>
      </w:pPr>
      <w:r w:rsidRPr="002342EF">
        <w:rPr>
          <w:noProof/>
          <w:lang w:eastAsia="en-AU"/>
        </w:rPr>
        <w:drawing>
          <wp:inline distT="0" distB="0" distL="0" distR="0" wp14:anchorId="35631154" wp14:editId="349C8587">
            <wp:extent cx="5405755" cy="3841233"/>
            <wp:effectExtent l="0" t="0" r="4445" b="698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419907" cy="3851289"/>
                    </a:xfrm>
                    <a:prstGeom prst="rect">
                      <a:avLst/>
                    </a:prstGeom>
                  </pic:spPr>
                </pic:pic>
              </a:graphicData>
            </a:graphic>
          </wp:inline>
        </w:drawing>
      </w:r>
    </w:p>
    <w:p w14:paraId="58E87904" w14:textId="370D629A" w:rsidR="003B3252" w:rsidRPr="00E449E2" w:rsidRDefault="0001359D" w:rsidP="00E449E2">
      <w:pPr>
        <w:pStyle w:val="Heading3"/>
        <w:spacing w:line="240" w:lineRule="auto"/>
        <w:rPr>
          <w:rStyle w:val="Heading4Char"/>
          <w:sz w:val="22"/>
          <w:szCs w:val="22"/>
        </w:rPr>
      </w:pPr>
      <w:r w:rsidRPr="00E449E2">
        <w:rPr>
          <w:rStyle w:val="Heading4Char"/>
          <w:sz w:val="22"/>
          <w:szCs w:val="22"/>
        </w:rPr>
        <w:t xml:space="preserve">Supplementary file </w:t>
      </w:r>
      <w:r w:rsidR="00DD4393">
        <w:rPr>
          <w:rStyle w:val="Heading4Char"/>
          <w:sz w:val="22"/>
          <w:szCs w:val="22"/>
        </w:rPr>
        <w:t>D</w:t>
      </w:r>
      <w:r w:rsidR="001D0EB0" w:rsidRPr="00E449E2">
        <w:rPr>
          <w:rStyle w:val="Heading4Char"/>
          <w:sz w:val="22"/>
          <w:szCs w:val="22"/>
        </w:rPr>
        <w:t xml:space="preserve">. </w:t>
      </w:r>
      <w:r w:rsidR="008010EF">
        <w:rPr>
          <w:rStyle w:val="Heading4Char"/>
          <w:sz w:val="22"/>
          <w:szCs w:val="22"/>
        </w:rPr>
        <w:t>Second iteration of t</w:t>
      </w:r>
      <w:r w:rsidR="001D0EB0" w:rsidRPr="00E449E2">
        <w:rPr>
          <w:rStyle w:val="Heading4Char"/>
          <w:sz w:val="22"/>
          <w:szCs w:val="22"/>
        </w:rPr>
        <w:t xml:space="preserve">he </w:t>
      </w:r>
      <w:r w:rsidR="003B3252" w:rsidRPr="00E449E2">
        <w:rPr>
          <w:rStyle w:val="Heading4Char"/>
          <w:sz w:val="22"/>
          <w:szCs w:val="22"/>
        </w:rPr>
        <w:t xml:space="preserve">tri-fold </w:t>
      </w:r>
      <w:r w:rsidR="001D0EB0" w:rsidRPr="00E449E2">
        <w:rPr>
          <w:rStyle w:val="Heading4Char"/>
          <w:sz w:val="22"/>
          <w:szCs w:val="22"/>
        </w:rPr>
        <w:t>female decision aid before consumer focus group feedback.</w:t>
      </w:r>
    </w:p>
    <w:p w14:paraId="167CBDF2" w14:textId="4857CB06" w:rsidR="003B3252" w:rsidRDefault="003B3252">
      <w:pPr>
        <w:autoSpaceDE/>
        <w:autoSpaceDN/>
        <w:adjustRightInd/>
        <w:spacing w:after="160" w:line="259" w:lineRule="auto"/>
        <w:rPr>
          <w:i/>
          <w:iCs/>
        </w:rPr>
      </w:pPr>
      <w:r>
        <w:rPr>
          <w:i/>
          <w:iCs/>
        </w:rPr>
        <w:br w:type="page"/>
      </w:r>
    </w:p>
    <w:p w14:paraId="26AF0499" w14:textId="0BF5B676" w:rsidR="00E449E2" w:rsidRDefault="003B3252" w:rsidP="003B3252">
      <w:pPr>
        <w:rPr>
          <w:rStyle w:val="Heading4Char"/>
        </w:rPr>
      </w:pPr>
      <w:r>
        <w:rPr>
          <w:noProof/>
          <w:lang w:eastAsia="en-AU"/>
        </w:rPr>
        <w:lastRenderedPageBreak/>
        <w:drawing>
          <wp:inline distT="0" distB="0" distL="0" distR="0" wp14:anchorId="01C896EE" wp14:editId="5ACEA5FD">
            <wp:extent cx="5731510" cy="4044950"/>
            <wp:effectExtent l="0" t="0" r="254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731510" cy="4044950"/>
                    </a:xfrm>
                    <a:prstGeom prst="rect">
                      <a:avLst/>
                    </a:prstGeom>
                  </pic:spPr>
                </pic:pic>
              </a:graphicData>
            </a:graphic>
          </wp:inline>
        </w:drawing>
      </w:r>
      <w:r>
        <w:br/>
      </w:r>
      <w:r>
        <w:rPr>
          <w:noProof/>
          <w:lang w:eastAsia="en-AU"/>
        </w:rPr>
        <w:drawing>
          <wp:inline distT="0" distB="0" distL="0" distR="0" wp14:anchorId="1BDCB36F" wp14:editId="10E63AB9">
            <wp:extent cx="5731510" cy="4055110"/>
            <wp:effectExtent l="0" t="0" r="2540" b="254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731510" cy="4055110"/>
                    </a:xfrm>
                    <a:prstGeom prst="rect">
                      <a:avLst/>
                    </a:prstGeom>
                  </pic:spPr>
                </pic:pic>
              </a:graphicData>
            </a:graphic>
          </wp:inline>
        </w:drawing>
      </w:r>
    </w:p>
    <w:p w14:paraId="2196614E" w14:textId="2C1B2F01" w:rsidR="003B3252" w:rsidRPr="00E449E2" w:rsidRDefault="0001359D" w:rsidP="00E449E2">
      <w:pPr>
        <w:pStyle w:val="Heading3"/>
        <w:spacing w:line="240" w:lineRule="auto"/>
        <w:rPr>
          <w:rStyle w:val="Heading4Char"/>
          <w:i w:val="0"/>
          <w:iCs w:val="0"/>
          <w:sz w:val="22"/>
          <w:szCs w:val="22"/>
        </w:rPr>
      </w:pPr>
      <w:r w:rsidRPr="00E449E2">
        <w:rPr>
          <w:rStyle w:val="Heading4Char"/>
          <w:sz w:val="22"/>
          <w:szCs w:val="22"/>
        </w:rPr>
        <w:t xml:space="preserve">Supplementary file </w:t>
      </w:r>
      <w:r w:rsidR="00B438AD">
        <w:rPr>
          <w:rStyle w:val="Heading4Char"/>
          <w:sz w:val="22"/>
          <w:szCs w:val="22"/>
        </w:rPr>
        <w:t>E</w:t>
      </w:r>
      <w:r w:rsidR="003B3252" w:rsidRPr="00E449E2">
        <w:rPr>
          <w:rStyle w:val="Heading4Char"/>
          <w:sz w:val="22"/>
          <w:szCs w:val="22"/>
        </w:rPr>
        <w:t xml:space="preserve">. </w:t>
      </w:r>
      <w:r w:rsidR="008010EF">
        <w:rPr>
          <w:rStyle w:val="Heading4Char"/>
          <w:sz w:val="22"/>
          <w:szCs w:val="22"/>
        </w:rPr>
        <w:t>Second iteration of t</w:t>
      </w:r>
      <w:r w:rsidR="003B3252" w:rsidRPr="00E449E2">
        <w:rPr>
          <w:rStyle w:val="Heading4Char"/>
          <w:sz w:val="22"/>
          <w:szCs w:val="22"/>
        </w:rPr>
        <w:t>he tri-fold male decision aid before consumer focus group feedback.</w:t>
      </w:r>
    </w:p>
    <w:p w14:paraId="0E6F0C2C" w14:textId="5AE9A3D1" w:rsidR="001D0EB0" w:rsidRPr="003B3252" w:rsidRDefault="001D0EB0" w:rsidP="001D0EB0"/>
    <w:p w14:paraId="69776D16" w14:textId="1EE0C9ED" w:rsidR="001D0EB0" w:rsidRPr="002342EF" w:rsidRDefault="001D0EB0" w:rsidP="001D0EB0">
      <w:r w:rsidRPr="002342EF">
        <w:rPr>
          <w:noProof/>
          <w:lang w:eastAsia="en-AU"/>
        </w:rPr>
        <w:lastRenderedPageBreak/>
        <w:drawing>
          <wp:inline distT="0" distB="0" distL="0" distR="0" wp14:anchorId="73BB66DA" wp14:editId="368746E6">
            <wp:extent cx="5581650" cy="3947244"/>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597205" cy="3958244"/>
                    </a:xfrm>
                    <a:prstGeom prst="rect">
                      <a:avLst/>
                    </a:prstGeom>
                  </pic:spPr>
                </pic:pic>
              </a:graphicData>
            </a:graphic>
          </wp:inline>
        </w:drawing>
      </w:r>
    </w:p>
    <w:p w14:paraId="543251F2" w14:textId="451227A1" w:rsidR="00B438AD" w:rsidRPr="00B438AD" w:rsidRDefault="001D0EB0" w:rsidP="00B438AD">
      <w:pPr>
        <w:pStyle w:val="Heading3"/>
        <w:spacing w:line="240" w:lineRule="auto"/>
        <w:rPr>
          <w:rStyle w:val="Heading4Char"/>
          <w:sz w:val="22"/>
          <w:szCs w:val="22"/>
        </w:rPr>
      </w:pPr>
      <w:r w:rsidRPr="002342EF">
        <w:rPr>
          <w:noProof/>
          <w:lang w:eastAsia="en-AU"/>
        </w:rPr>
        <w:drawing>
          <wp:inline distT="0" distB="0" distL="0" distR="0" wp14:anchorId="1560C5FA" wp14:editId="0F22BD8C">
            <wp:extent cx="5581816" cy="3945582"/>
            <wp:effectExtent l="0" t="0" r="0" b="508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581816" cy="3945582"/>
                    </a:xfrm>
                    <a:prstGeom prst="rect">
                      <a:avLst/>
                    </a:prstGeom>
                  </pic:spPr>
                </pic:pic>
              </a:graphicData>
            </a:graphic>
          </wp:inline>
        </w:drawing>
      </w:r>
      <w:r w:rsidR="00B438AD">
        <w:rPr>
          <w:rStyle w:val="Heading4Char"/>
        </w:rPr>
        <w:br/>
      </w:r>
      <w:r w:rsidR="00B438AD" w:rsidRPr="00B438AD">
        <w:rPr>
          <w:rStyle w:val="Heading4Char"/>
          <w:sz w:val="22"/>
          <w:szCs w:val="22"/>
        </w:rPr>
        <w:t xml:space="preserve">Supplementary file </w:t>
      </w:r>
      <w:r w:rsidR="00B438AD">
        <w:rPr>
          <w:rStyle w:val="Heading4Char"/>
          <w:sz w:val="22"/>
          <w:szCs w:val="22"/>
        </w:rPr>
        <w:t>F</w:t>
      </w:r>
      <w:r w:rsidR="00B438AD" w:rsidRPr="00B438AD">
        <w:rPr>
          <w:rStyle w:val="Heading4Char"/>
          <w:sz w:val="22"/>
          <w:szCs w:val="22"/>
        </w:rPr>
        <w:t>. Final version of the tri-fold female decision aid after incorporating results from focus groups.</w:t>
      </w:r>
    </w:p>
    <w:p w14:paraId="06882AB0" w14:textId="297E8A9B" w:rsidR="008010EF" w:rsidRDefault="008010EF" w:rsidP="00E449E2">
      <w:pPr>
        <w:rPr>
          <w:rStyle w:val="Heading4Char"/>
        </w:rPr>
      </w:pPr>
    </w:p>
    <w:p w14:paraId="2B1E6DE3" w14:textId="7CF4530A" w:rsidR="003B69C8" w:rsidRDefault="003B3252" w:rsidP="001D0EB0">
      <w:pPr>
        <w:rPr>
          <w:noProof/>
        </w:rPr>
      </w:pPr>
      <w:r>
        <w:rPr>
          <w:noProof/>
          <w:lang w:eastAsia="en-AU"/>
        </w:rPr>
        <w:lastRenderedPageBreak/>
        <w:drawing>
          <wp:inline distT="0" distB="0" distL="0" distR="0" wp14:anchorId="5E37BBAA" wp14:editId="1C3907B2">
            <wp:extent cx="5731510" cy="4051300"/>
            <wp:effectExtent l="0" t="0" r="2540" b="635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5731510" cy="4051300"/>
                    </a:xfrm>
                    <a:prstGeom prst="rect">
                      <a:avLst/>
                    </a:prstGeom>
                  </pic:spPr>
                </pic:pic>
              </a:graphicData>
            </a:graphic>
          </wp:inline>
        </w:drawing>
      </w:r>
    </w:p>
    <w:p w14:paraId="08D6BE86" w14:textId="09C9834F" w:rsidR="002E1DED" w:rsidRPr="006A6B8F" w:rsidRDefault="00204E02" w:rsidP="006A6B8F">
      <w:pPr>
        <w:spacing w:line="240" w:lineRule="auto"/>
        <w:rPr>
          <w:rFonts w:asciiTheme="majorHAnsi" w:eastAsiaTheme="majorEastAsia" w:hAnsiTheme="majorHAnsi" w:cstheme="majorBidi"/>
          <w:i/>
          <w:iCs/>
          <w:color w:val="2F5496" w:themeColor="accent1" w:themeShade="BF"/>
          <w:lang w:val="en-US"/>
        </w:rPr>
      </w:pPr>
      <w:r>
        <w:rPr>
          <w:noProof/>
          <w:lang w:eastAsia="en-AU"/>
        </w:rPr>
        <w:drawing>
          <wp:inline distT="0" distB="0" distL="0" distR="0" wp14:anchorId="5ED3467C" wp14:editId="15AF1249">
            <wp:extent cx="5731510" cy="4048760"/>
            <wp:effectExtent l="0" t="0" r="2540" b="889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5731510" cy="4048760"/>
                    </a:xfrm>
                    <a:prstGeom prst="rect">
                      <a:avLst/>
                    </a:prstGeom>
                  </pic:spPr>
                </pic:pic>
              </a:graphicData>
            </a:graphic>
          </wp:inline>
        </w:drawing>
      </w:r>
      <w:r w:rsidR="0001359D" w:rsidRPr="00E449E2">
        <w:rPr>
          <w:rStyle w:val="Heading4Char"/>
        </w:rPr>
        <w:t xml:space="preserve">Supplementary file </w:t>
      </w:r>
      <w:r w:rsidR="00B438AD">
        <w:rPr>
          <w:rStyle w:val="Heading4Char"/>
        </w:rPr>
        <w:t>G</w:t>
      </w:r>
      <w:r w:rsidR="006E3B0A" w:rsidRPr="00E449E2">
        <w:rPr>
          <w:rStyle w:val="Heading4Char"/>
        </w:rPr>
        <w:t xml:space="preserve">. </w:t>
      </w:r>
      <w:r w:rsidR="008010EF">
        <w:rPr>
          <w:rStyle w:val="Heading4Char"/>
        </w:rPr>
        <w:t>Final version of the t</w:t>
      </w:r>
      <w:r w:rsidR="006E3B0A" w:rsidRPr="00E449E2">
        <w:rPr>
          <w:rStyle w:val="Heading4Char"/>
        </w:rPr>
        <w:t>ri-fold male decision aid after incorporating results from focus gro</w:t>
      </w:r>
      <w:r w:rsidR="006A6B8F">
        <w:rPr>
          <w:rStyle w:val="Heading4Char"/>
        </w:rPr>
        <w:t>up.</w:t>
      </w:r>
    </w:p>
    <w:sectPr w:rsidR="002E1DED" w:rsidRPr="006A6B8F" w:rsidSect="000E767A">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FA36B1D" w14:textId="77777777" w:rsidR="000D7D13" w:rsidRDefault="000D7D13" w:rsidP="006D439E">
      <w:pPr>
        <w:spacing w:after="0" w:line="240" w:lineRule="auto"/>
      </w:pPr>
      <w:r>
        <w:separator/>
      </w:r>
    </w:p>
  </w:endnote>
  <w:endnote w:type="continuationSeparator" w:id="0">
    <w:p w14:paraId="4BB913BA" w14:textId="77777777" w:rsidR="000D7D13" w:rsidRDefault="000D7D13" w:rsidP="006D43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B79299A" w14:textId="77777777" w:rsidR="000D7D13" w:rsidRDefault="000D7D13" w:rsidP="006D439E">
      <w:pPr>
        <w:spacing w:after="0" w:line="240" w:lineRule="auto"/>
      </w:pPr>
      <w:r>
        <w:separator/>
      </w:r>
    </w:p>
  </w:footnote>
  <w:footnote w:type="continuationSeparator" w:id="0">
    <w:p w14:paraId="623D8637" w14:textId="77777777" w:rsidR="000D7D13" w:rsidRDefault="000D7D13" w:rsidP="006D439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6FFFCB0" w14:textId="69D53F9F" w:rsidR="009A637C" w:rsidRPr="00CA60C8" w:rsidRDefault="009A637C">
    <w:pPr>
      <w:pStyle w:val="Header"/>
      <w:rPr>
        <w:sz w:val="18"/>
        <w:szCs w:val="18"/>
        <w:lang w:val="en-US"/>
      </w:rPr>
    </w:pPr>
    <w:r w:rsidRPr="00CA60C8">
      <w:rPr>
        <w:sz w:val="18"/>
        <w:szCs w:val="18"/>
        <w:lang w:val="en-US"/>
      </w:rPr>
      <w:t>Formatted for publication in Health Expectations</w:t>
    </w:r>
    <w:r w:rsidRPr="00CA60C8">
      <w:rPr>
        <w:sz w:val="18"/>
        <w:szCs w:val="18"/>
        <w:lang w:val="en-US"/>
      </w:rPr>
      <w:br/>
    </w:r>
    <w:hyperlink r:id="rId1" w:history="1">
      <w:r w:rsidRPr="00CA60C8">
        <w:rPr>
          <w:rStyle w:val="Hyperlink"/>
          <w:sz w:val="18"/>
          <w:szCs w:val="18"/>
          <w:lang w:val="en-US"/>
        </w:rPr>
        <w:t>https://onlinelibrary.wiley.com/page/journal/13697625/homepage/forauthors.html</w:t>
      </w:r>
    </w:hyperlink>
    <w:r w:rsidRPr="00CA60C8">
      <w:rPr>
        <w:sz w:val="18"/>
        <w:szCs w:val="18"/>
        <w:lang w:val="en-US"/>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2B5F0B"/>
    <w:multiLevelType w:val="multilevel"/>
    <w:tmpl w:val="001A460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10D160A7"/>
    <w:multiLevelType w:val="hybridMultilevel"/>
    <w:tmpl w:val="53F43D3E"/>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19836304"/>
    <w:multiLevelType w:val="multilevel"/>
    <w:tmpl w:val="96C23F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B985592"/>
    <w:multiLevelType w:val="hybridMultilevel"/>
    <w:tmpl w:val="4746D488"/>
    <w:lvl w:ilvl="0" w:tplc="B8182546">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D766D9E"/>
    <w:multiLevelType w:val="hybridMultilevel"/>
    <w:tmpl w:val="12EA01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5B70944"/>
    <w:multiLevelType w:val="hybridMultilevel"/>
    <w:tmpl w:val="01846FDA"/>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6" w15:restartNumberingAfterBreak="0">
    <w:nsid w:val="2D1C38CC"/>
    <w:multiLevelType w:val="multilevel"/>
    <w:tmpl w:val="311AFC50"/>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2E994DA1"/>
    <w:multiLevelType w:val="hybridMultilevel"/>
    <w:tmpl w:val="C63205C6"/>
    <w:lvl w:ilvl="0" w:tplc="0C09000B">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15:restartNumberingAfterBreak="0">
    <w:nsid w:val="4A3224C7"/>
    <w:multiLevelType w:val="hybridMultilevel"/>
    <w:tmpl w:val="0DE8F884"/>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15:restartNumberingAfterBreak="0">
    <w:nsid w:val="4F5949A4"/>
    <w:multiLevelType w:val="hybridMultilevel"/>
    <w:tmpl w:val="B31E21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8F872A5"/>
    <w:multiLevelType w:val="hybridMultilevel"/>
    <w:tmpl w:val="7C344B9E"/>
    <w:lvl w:ilvl="0" w:tplc="FFA29FA2">
      <w:start w:val="6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B161863"/>
    <w:multiLevelType w:val="hybridMultilevel"/>
    <w:tmpl w:val="7EB8FA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BB45E34"/>
    <w:multiLevelType w:val="hybridMultilevel"/>
    <w:tmpl w:val="6062FC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60833E71"/>
    <w:multiLevelType w:val="hybridMultilevel"/>
    <w:tmpl w:val="BAEA299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0DB788D"/>
    <w:multiLevelType w:val="multilevel"/>
    <w:tmpl w:val="F80475C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5" w15:restartNumberingAfterBreak="0">
    <w:nsid w:val="61427921"/>
    <w:multiLevelType w:val="hybridMultilevel"/>
    <w:tmpl w:val="6394C030"/>
    <w:lvl w:ilvl="0" w:tplc="04090001">
      <w:start w:val="1"/>
      <w:numFmt w:val="bullet"/>
      <w:lvlText w:val=""/>
      <w:lvlJc w:val="left"/>
      <w:pPr>
        <w:ind w:left="778" w:hanging="360"/>
      </w:pPr>
      <w:rPr>
        <w:rFonts w:ascii="Symbol" w:hAnsi="Symbol" w:hint="default"/>
      </w:rPr>
    </w:lvl>
    <w:lvl w:ilvl="1" w:tplc="04090003" w:tentative="1">
      <w:start w:val="1"/>
      <w:numFmt w:val="bullet"/>
      <w:lvlText w:val="o"/>
      <w:lvlJc w:val="left"/>
      <w:pPr>
        <w:ind w:left="1498" w:hanging="360"/>
      </w:pPr>
      <w:rPr>
        <w:rFonts w:ascii="Courier New" w:hAnsi="Courier New" w:cs="Courier New" w:hint="default"/>
      </w:rPr>
    </w:lvl>
    <w:lvl w:ilvl="2" w:tplc="04090005" w:tentative="1">
      <w:start w:val="1"/>
      <w:numFmt w:val="bullet"/>
      <w:lvlText w:val=""/>
      <w:lvlJc w:val="left"/>
      <w:pPr>
        <w:ind w:left="2218" w:hanging="360"/>
      </w:pPr>
      <w:rPr>
        <w:rFonts w:ascii="Wingdings" w:hAnsi="Wingdings" w:hint="default"/>
      </w:rPr>
    </w:lvl>
    <w:lvl w:ilvl="3" w:tplc="04090001" w:tentative="1">
      <w:start w:val="1"/>
      <w:numFmt w:val="bullet"/>
      <w:lvlText w:val=""/>
      <w:lvlJc w:val="left"/>
      <w:pPr>
        <w:ind w:left="2938" w:hanging="360"/>
      </w:pPr>
      <w:rPr>
        <w:rFonts w:ascii="Symbol" w:hAnsi="Symbol" w:hint="default"/>
      </w:rPr>
    </w:lvl>
    <w:lvl w:ilvl="4" w:tplc="04090003" w:tentative="1">
      <w:start w:val="1"/>
      <w:numFmt w:val="bullet"/>
      <w:lvlText w:val="o"/>
      <w:lvlJc w:val="left"/>
      <w:pPr>
        <w:ind w:left="3658" w:hanging="360"/>
      </w:pPr>
      <w:rPr>
        <w:rFonts w:ascii="Courier New" w:hAnsi="Courier New" w:cs="Courier New" w:hint="default"/>
      </w:rPr>
    </w:lvl>
    <w:lvl w:ilvl="5" w:tplc="04090005" w:tentative="1">
      <w:start w:val="1"/>
      <w:numFmt w:val="bullet"/>
      <w:lvlText w:val=""/>
      <w:lvlJc w:val="left"/>
      <w:pPr>
        <w:ind w:left="4378" w:hanging="360"/>
      </w:pPr>
      <w:rPr>
        <w:rFonts w:ascii="Wingdings" w:hAnsi="Wingdings" w:hint="default"/>
      </w:rPr>
    </w:lvl>
    <w:lvl w:ilvl="6" w:tplc="04090001" w:tentative="1">
      <w:start w:val="1"/>
      <w:numFmt w:val="bullet"/>
      <w:lvlText w:val=""/>
      <w:lvlJc w:val="left"/>
      <w:pPr>
        <w:ind w:left="5098" w:hanging="360"/>
      </w:pPr>
      <w:rPr>
        <w:rFonts w:ascii="Symbol" w:hAnsi="Symbol" w:hint="default"/>
      </w:rPr>
    </w:lvl>
    <w:lvl w:ilvl="7" w:tplc="04090003" w:tentative="1">
      <w:start w:val="1"/>
      <w:numFmt w:val="bullet"/>
      <w:lvlText w:val="o"/>
      <w:lvlJc w:val="left"/>
      <w:pPr>
        <w:ind w:left="5818" w:hanging="360"/>
      </w:pPr>
      <w:rPr>
        <w:rFonts w:ascii="Courier New" w:hAnsi="Courier New" w:cs="Courier New" w:hint="default"/>
      </w:rPr>
    </w:lvl>
    <w:lvl w:ilvl="8" w:tplc="04090005" w:tentative="1">
      <w:start w:val="1"/>
      <w:numFmt w:val="bullet"/>
      <w:lvlText w:val=""/>
      <w:lvlJc w:val="left"/>
      <w:pPr>
        <w:ind w:left="6538" w:hanging="360"/>
      </w:pPr>
      <w:rPr>
        <w:rFonts w:ascii="Wingdings" w:hAnsi="Wingdings" w:hint="default"/>
      </w:rPr>
    </w:lvl>
  </w:abstractNum>
  <w:abstractNum w:abstractNumId="16" w15:restartNumberingAfterBreak="0">
    <w:nsid w:val="6E737902"/>
    <w:multiLevelType w:val="hybridMultilevel"/>
    <w:tmpl w:val="AC82858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EB26FAC"/>
    <w:multiLevelType w:val="multilevel"/>
    <w:tmpl w:val="AD7619AA"/>
    <w:lvl w:ilvl="0">
      <w:start w:val="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18" w15:restartNumberingAfterBreak="0">
    <w:nsid w:val="75550A6D"/>
    <w:multiLevelType w:val="hybridMultilevel"/>
    <w:tmpl w:val="01846FDA"/>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9" w15:restartNumberingAfterBreak="0">
    <w:nsid w:val="77572250"/>
    <w:multiLevelType w:val="multilevel"/>
    <w:tmpl w:val="162631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8E81BE5"/>
    <w:multiLevelType w:val="hybridMultilevel"/>
    <w:tmpl w:val="01846FDA"/>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20"/>
  </w:num>
  <w:num w:numId="2">
    <w:abstractNumId w:val="0"/>
  </w:num>
  <w:num w:numId="3">
    <w:abstractNumId w:val="14"/>
  </w:num>
  <w:num w:numId="4">
    <w:abstractNumId w:val="11"/>
  </w:num>
  <w:num w:numId="5">
    <w:abstractNumId w:val="3"/>
  </w:num>
  <w:num w:numId="6">
    <w:abstractNumId w:val="10"/>
  </w:num>
  <w:num w:numId="7">
    <w:abstractNumId w:val="16"/>
  </w:num>
  <w:num w:numId="8">
    <w:abstractNumId w:val="6"/>
  </w:num>
  <w:num w:numId="9">
    <w:abstractNumId w:val="15"/>
  </w:num>
  <w:num w:numId="10">
    <w:abstractNumId w:val="12"/>
  </w:num>
  <w:num w:numId="11">
    <w:abstractNumId w:val="9"/>
  </w:num>
  <w:num w:numId="12">
    <w:abstractNumId w:val="13"/>
  </w:num>
  <w:num w:numId="13">
    <w:abstractNumId w:val="4"/>
  </w:num>
  <w:num w:numId="14">
    <w:abstractNumId w:val="8"/>
  </w:num>
  <w:num w:numId="15">
    <w:abstractNumId w:val="7"/>
  </w:num>
  <w:num w:numId="16">
    <w:abstractNumId w:val="1"/>
  </w:num>
  <w:num w:numId="17">
    <w:abstractNumId w:val="17"/>
  </w:num>
  <w:num w:numId="18">
    <w:abstractNumId w:val="2"/>
  </w:num>
  <w:num w:numId="19">
    <w:abstractNumId w:val="18"/>
  </w:num>
  <w:num w:numId="20">
    <w:abstractNumId w:val="19"/>
  </w:num>
  <w:num w:numId="21">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42EF"/>
    <w:rsid w:val="000024F2"/>
    <w:rsid w:val="00004AEA"/>
    <w:rsid w:val="000128D5"/>
    <w:rsid w:val="0001359D"/>
    <w:rsid w:val="0001680B"/>
    <w:rsid w:val="0001688A"/>
    <w:rsid w:val="00020066"/>
    <w:rsid w:val="00030254"/>
    <w:rsid w:val="0003026F"/>
    <w:rsid w:val="00032692"/>
    <w:rsid w:val="00033C53"/>
    <w:rsid w:val="00041D89"/>
    <w:rsid w:val="00043448"/>
    <w:rsid w:val="00053FF2"/>
    <w:rsid w:val="0005606F"/>
    <w:rsid w:val="0005662C"/>
    <w:rsid w:val="00057C3F"/>
    <w:rsid w:val="000616D0"/>
    <w:rsid w:val="00061A68"/>
    <w:rsid w:val="00062705"/>
    <w:rsid w:val="000645D5"/>
    <w:rsid w:val="00067A33"/>
    <w:rsid w:val="00075F76"/>
    <w:rsid w:val="00081D82"/>
    <w:rsid w:val="0008511D"/>
    <w:rsid w:val="00086138"/>
    <w:rsid w:val="00086643"/>
    <w:rsid w:val="000902A4"/>
    <w:rsid w:val="00090A54"/>
    <w:rsid w:val="00092F5F"/>
    <w:rsid w:val="000A33EB"/>
    <w:rsid w:val="000A3D94"/>
    <w:rsid w:val="000A6C62"/>
    <w:rsid w:val="000B3952"/>
    <w:rsid w:val="000C4EA7"/>
    <w:rsid w:val="000C6D46"/>
    <w:rsid w:val="000D0D96"/>
    <w:rsid w:val="000D7D13"/>
    <w:rsid w:val="000E2B8D"/>
    <w:rsid w:val="000E41E8"/>
    <w:rsid w:val="000E767A"/>
    <w:rsid w:val="000F15F5"/>
    <w:rsid w:val="000F6E66"/>
    <w:rsid w:val="0010251A"/>
    <w:rsid w:val="001029B1"/>
    <w:rsid w:val="00103AD7"/>
    <w:rsid w:val="00105839"/>
    <w:rsid w:val="00105DD2"/>
    <w:rsid w:val="00112C18"/>
    <w:rsid w:val="0011602F"/>
    <w:rsid w:val="001202A5"/>
    <w:rsid w:val="0012072C"/>
    <w:rsid w:val="001236F7"/>
    <w:rsid w:val="001356D5"/>
    <w:rsid w:val="00140209"/>
    <w:rsid w:val="001417D2"/>
    <w:rsid w:val="00143A40"/>
    <w:rsid w:val="00144AC6"/>
    <w:rsid w:val="0014519B"/>
    <w:rsid w:val="0015026A"/>
    <w:rsid w:val="00153449"/>
    <w:rsid w:val="001564CB"/>
    <w:rsid w:val="00156579"/>
    <w:rsid w:val="00162212"/>
    <w:rsid w:val="00166E7F"/>
    <w:rsid w:val="00167D09"/>
    <w:rsid w:val="0018289D"/>
    <w:rsid w:val="0018592A"/>
    <w:rsid w:val="00186A1E"/>
    <w:rsid w:val="00186B21"/>
    <w:rsid w:val="00191A4B"/>
    <w:rsid w:val="00192D77"/>
    <w:rsid w:val="00193FE4"/>
    <w:rsid w:val="001A2DDA"/>
    <w:rsid w:val="001A4C08"/>
    <w:rsid w:val="001A5991"/>
    <w:rsid w:val="001A74EA"/>
    <w:rsid w:val="001C0221"/>
    <w:rsid w:val="001C03E4"/>
    <w:rsid w:val="001C49CB"/>
    <w:rsid w:val="001C5599"/>
    <w:rsid w:val="001D0EB0"/>
    <w:rsid w:val="001D3A94"/>
    <w:rsid w:val="001D5716"/>
    <w:rsid w:val="001E04ED"/>
    <w:rsid w:val="001E1039"/>
    <w:rsid w:val="001E349C"/>
    <w:rsid w:val="001E4F46"/>
    <w:rsid w:val="001E701F"/>
    <w:rsid w:val="001F0DE1"/>
    <w:rsid w:val="001F3CBF"/>
    <w:rsid w:val="00203732"/>
    <w:rsid w:val="00204E02"/>
    <w:rsid w:val="002055D2"/>
    <w:rsid w:val="0020684F"/>
    <w:rsid w:val="0021225D"/>
    <w:rsid w:val="002123CB"/>
    <w:rsid w:val="00215CE2"/>
    <w:rsid w:val="002234D3"/>
    <w:rsid w:val="0022491A"/>
    <w:rsid w:val="00226FF2"/>
    <w:rsid w:val="00230F08"/>
    <w:rsid w:val="002342EF"/>
    <w:rsid w:val="00237A7D"/>
    <w:rsid w:val="002409D3"/>
    <w:rsid w:val="00242501"/>
    <w:rsid w:val="00242E2F"/>
    <w:rsid w:val="002445A6"/>
    <w:rsid w:val="00245F43"/>
    <w:rsid w:val="0025418D"/>
    <w:rsid w:val="0026499D"/>
    <w:rsid w:val="0026748E"/>
    <w:rsid w:val="00271924"/>
    <w:rsid w:val="00273B95"/>
    <w:rsid w:val="00274278"/>
    <w:rsid w:val="00280626"/>
    <w:rsid w:val="00281DA9"/>
    <w:rsid w:val="002857F8"/>
    <w:rsid w:val="0029078E"/>
    <w:rsid w:val="002933E9"/>
    <w:rsid w:val="00297027"/>
    <w:rsid w:val="0029712D"/>
    <w:rsid w:val="002A0190"/>
    <w:rsid w:val="002A0EBE"/>
    <w:rsid w:val="002A19F9"/>
    <w:rsid w:val="002A29E4"/>
    <w:rsid w:val="002A3887"/>
    <w:rsid w:val="002B005F"/>
    <w:rsid w:val="002B15D4"/>
    <w:rsid w:val="002B2210"/>
    <w:rsid w:val="002C0195"/>
    <w:rsid w:val="002C0590"/>
    <w:rsid w:val="002C078F"/>
    <w:rsid w:val="002C1B1C"/>
    <w:rsid w:val="002C4275"/>
    <w:rsid w:val="002C5D75"/>
    <w:rsid w:val="002D5A87"/>
    <w:rsid w:val="002E1DED"/>
    <w:rsid w:val="002F2F2F"/>
    <w:rsid w:val="002F6F7F"/>
    <w:rsid w:val="00301865"/>
    <w:rsid w:val="003058F2"/>
    <w:rsid w:val="00310184"/>
    <w:rsid w:val="00316DB4"/>
    <w:rsid w:val="00317D50"/>
    <w:rsid w:val="003215CA"/>
    <w:rsid w:val="00323777"/>
    <w:rsid w:val="00324A3A"/>
    <w:rsid w:val="00325C47"/>
    <w:rsid w:val="003345C5"/>
    <w:rsid w:val="00342C49"/>
    <w:rsid w:val="00343ABA"/>
    <w:rsid w:val="00344866"/>
    <w:rsid w:val="00346026"/>
    <w:rsid w:val="003467B0"/>
    <w:rsid w:val="003478C2"/>
    <w:rsid w:val="00357566"/>
    <w:rsid w:val="00367925"/>
    <w:rsid w:val="0038487D"/>
    <w:rsid w:val="003851B9"/>
    <w:rsid w:val="003877E2"/>
    <w:rsid w:val="00391A04"/>
    <w:rsid w:val="003943E6"/>
    <w:rsid w:val="003959FA"/>
    <w:rsid w:val="003A2E44"/>
    <w:rsid w:val="003A33C2"/>
    <w:rsid w:val="003A4D7B"/>
    <w:rsid w:val="003A68ED"/>
    <w:rsid w:val="003A762B"/>
    <w:rsid w:val="003A7BD0"/>
    <w:rsid w:val="003B3252"/>
    <w:rsid w:val="003B59D2"/>
    <w:rsid w:val="003B5E5C"/>
    <w:rsid w:val="003B69C8"/>
    <w:rsid w:val="003B6DFC"/>
    <w:rsid w:val="003C06C3"/>
    <w:rsid w:val="003C3A25"/>
    <w:rsid w:val="003C45E8"/>
    <w:rsid w:val="003C7BC0"/>
    <w:rsid w:val="003C7E2E"/>
    <w:rsid w:val="003D0B5A"/>
    <w:rsid w:val="003D369B"/>
    <w:rsid w:val="003D39F2"/>
    <w:rsid w:val="003E4383"/>
    <w:rsid w:val="003F00B2"/>
    <w:rsid w:val="003F4372"/>
    <w:rsid w:val="003F56FD"/>
    <w:rsid w:val="003F710A"/>
    <w:rsid w:val="004002A0"/>
    <w:rsid w:val="004015E8"/>
    <w:rsid w:val="0040574D"/>
    <w:rsid w:val="00405C96"/>
    <w:rsid w:val="00414D24"/>
    <w:rsid w:val="00425C0A"/>
    <w:rsid w:val="00426EE9"/>
    <w:rsid w:val="00427CB9"/>
    <w:rsid w:val="00430646"/>
    <w:rsid w:val="00433538"/>
    <w:rsid w:val="0043660F"/>
    <w:rsid w:val="0044325A"/>
    <w:rsid w:val="00444FFB"/>
    <w:rsid w:val="0044687E"/>
    <w:rsid w:val="00446973"/>
    <w:rsid w:val="00451F39"/>
    <w:rsid w:val="00454FFD"/>
    <w:rsid w:val="004611C6"/>
    <w:rsid w:val="004636C8"/>
    <w:rsid w:val="00466CF4"/>
    <w:rsid w:val="00490453"/>
    <w:rsid w:val="0049172F"/>
    <w:rsid w:val="00492CF4"/>
    <w:rsid w:val="00493730"/>
    <w:rsid w:val="004940F1"/>
    <w:rsid w:val="004A0361"/>
    <w:rsid w:val="004A574D"/>
    <w:rsid w:val="004A58F3"/>
    <w:rsid w:val="004B46F0"/>
    <w:rsid w:val="004B6241"/>
    <w:rsid w:val="004C0A6E"/>
    <w:rsid w:val="004C560F"/>
    <w:rsid w:val="004D07B9"/>
    <w:rsid w:val="004D2092"/>
    <w:rsid w:val="004D36CB"/>
    <w:rsid w:val="004D72A6"/>
    <w:rsid w:val="004E1321"/>
    <w:rsid w:val="004E52CE"/>
    <w:rsid w:val="004E6315"/>
    <w:rsid w:val="004F0914"/>
    <w:rsid w:val="004F1677"/>
    <w:rsid w:val="004F25FB"/>
    <w:rsid w:val="004F442E"/>
    <w:rsid w:val="004F4AA0"/>
    <w:rsid w:val="004F67DE"/>
    <w:rsid w:val="00501A7C"/>
    <w:rsid w:val="0050406A"/>
    <w:rsid w:val="00513EE6"/>
    <w:rsid w:val="005141F7"/>
    <w:rsid w:val="005147E4"/>
    <w:rsid w:val="00522BDE"/>
    <w:rsid w:val="00524FB9"/>
    <w:rsid w:val="00526AE8"/>
    <w:rsid w:val="00530A88"/>
    <w:rsid w:val="00531209"/>
    <w:rsid w:val="00532FC9"/>
    <w:rsid w:val="00533577"/>
    <w:rsid w:val="005374F5"/>
    <w:rsid w:val="005403C9"/>
    <w:rsid w:val="00540693"/>
    <w:rsid w:val="00542079"/>
    <w:rsid w:val="00543999"/>
    <w:rsid w:val="00547574"/>
    <w:rsid w:val="00547A71"/>
    <w:rsid w:val="0055039A"/>
    <w:rsid w:val="005554ED"/>
    <w:rsid w:val="005627A9"/>
    <w:rsid w:val="005636F3"/>
    <w:rsid w:val="00564410"/>
    <w:rsid w:val="00571279"/>
    <w:rsid w:val="00571415"/>
    <w:rsid w:val="00571F11"/>
    <w:rsid w:val="00575103"/>
    <w:rsid w:val="00581F50"/>
    <w:rsid w:val="005837F7"/>
    <w:rsid w:val="00583C46"/>
    <w:rsid w:val="00586933"/>
    <w:rsid w:val="005900D3"/>
    <w:rsid w:val="005A05D9"/>
    <w:rsid w:val="005A356A"/>
    <w:rsid w:val="005A62CB"/>
    <w:rsid w:val="005C0ADB"/>
    <w:rsid w:val="005C245A"/>
    <w:rsid w:val="005C24F7"/>
    <w:rsid w:val="005C3596"/>
    <w:rsid w:val="005C407F"/>
    <w:rsid w:val="005C64E2"/>
    <w:rsid w:val="005C673A"/>
    <w:rsid w:val="005C78CB"/>
    <w:rsid w:val="005C79AD"/>
    <w:rsid w:val="005D0CAE"/>
    <w:rsid w:val="005D1CC7"/>
    <w:rsid w:val="005D3066"/>
    <w:rsid w:val="005D3986"/>
    <w:rsid w:val="005D4EA7"/>
    <w:rsid w:val="005E26F4"/>
    <w:rsid w:val="005E3B4F"/>
    <w:rsid w:val="005E3CC2"/>
    <w:rsid w:val="005E4F63"/>
    <w:rsid w:val="005F109D"/>
    <w:rsid w:val="005F30C8"/>
    <w:rsid w:val="0061001C"/>
    <w:rsid w:val="00612D5C"/>
    <w:rsid w:val="006131F1"/>
    <w:rsid w:val="00613EC3"/>
    <w:rsid w:val="006143B1"/>
    <w:rsid w:val="00614B3E"/>
    <w:rsid w:val="00620D49"/>
    <w:rsid w:val="0062742E"/>
    <w:rsid w:val="00631B1A"/>
    <w:rsid w:val="00636CE6"/>
    <w:rsid w:val="00641376"/>
    <w:rsid w:val="00644295"/>
    <w:rsid w:val="00646DCA"/>
    <w:rsid w:val="00657A0D"/>
    <w:rsid w:val="00657AAE"/>
    <w:rsid w:val="00660881"/>
    <w:rsid w:val="00660D1B"/>
    <w:rsid w:val="00663D38"/>
    <w:rsid w:val="00664C92"/>
    <w:rsid w:val="0067232A"/>
    <w:rsid w:val="006810CC"/>
    <w:rsid w:val="00682E8C"/>
    <w:rsid w:val="006855DD"/>
    <w:rsid w:val="006943DF"/>
    <w:rsid w:val="0069592A"/>
    <w:rsid w:val="00695D0A"/>
    <w:rsid w:val="006A6B8F"/>
    <w:rsid w:val="006B1AB5"/>
    <w:rsid w:val="006B5F6A"/>
    <w:rsid w:val="006C1010"/>
    <w:rsid w:val="006C1A87"/>
    <w:rsid w:val="006C36B9"/>
    <w:rsid w:val="006C569C"/>
    <w:rsid w:val="006C6F12"/>
    <w:rsid w:val="006D2F35"/>
    <w:rsid w:val="006D439E"/>
    <w:rsid w:val="006D4EAB"/>
    <w:rsid w:val="006E1174"/>
    <w:rsid w:val="006E3675"/>
    <w:rsid w:val="006E3B0A"/>
    <w:rsid w:val="006E61DE"/>
    <w:rsid w:val="006E7BA7"/>
    <w:rsid w:val="006F460E"/>
    <w:rsid w:val="007014C5"/>
    <w:rsid w:val="00702708"/>
    <w:rsid w:val="00707FBA"/>
    <w:rsid w:val="00714020"/>
    <w:rsid w:val="00720997"/>
    <w:rsid w:val="007241F7"/>
    <w:rsid w:val="00725EFA"/>
    <w:rsid w:val="00731013"/>
    <w:rsid w:val="0074034E"/>
    <w:rsid w:val="007450AF"/>
    <w:rsid w:val="00746156"/>
    <w:rsid w:val="00747ED3"/>
    <w:rsid w:val="007506D5"/>
    <w:rsid w:val="00750F02"/>
    <w:rsid w:val="00763E9C"/>
    <w:rsid w:val="00764827"/>
    <w:rsid w:val="00774BD6"/>
    <w:rsid w:val="007802E1"/>
    <w:rsid w:val="007910D5"/>
    <w:rsid w:val="0079252D"/>
    <w:rsid w:val="00793761"/>
    <w:rsid w:val="00796D2A"/>
    <w:rsid w:val="007A0FEF"/>
    <w:rsid w:val="007A1DAF"/>
    <w:rsid w:val="007A31BD"/>
    <w:rsid w:val="007A32F8"/>
    <w:rsid w:val="007A7A22"/>
    <w:rsid w:val="007B15A5"/>
    <w:rsid w:val="007B39F3"/>
    <w:rsid w:val="007B7C26"/>
    <w:rsid w:val="007C063C"/>
    <w:rsid w:val="007C6EFF"/>
    <w:rsid w:val="007D3ABB"/>
    <w:rsid w:val="007D4604"/>
    <w:rsid w:val="007E153A"/>
    <w:rsid w:val="007E16C6"/>
    <w:rsid w:val="007E4739"/>
    <w:rsid w:val="007E7679"/>
    <w:rsid w:val="007F01CB"/>
    <w:rsid w:val="007F0EF7"/>
    <w:rsid w:val="007F1363"/>
    <w:rsid w:val="007F4E60"/>
    <w:rsid w:val="007F5704"/>
    <w:rsid w:val="008010EF"/>
    <w:rsid w:val="00804374"/>
    <w:rsid w:val="00811B8D"/>
    <w:rsid w:val="00812CF5"/>
    <w:rsid w:val="00815798"/>
    <w:rsid w:val="0082123E"/>
    <w:rsid w:val="008248FB"/>
    <w:rsid w:val="00827F56"/>
    <w:rsid w:val="008312CD"/>
    <w:rsid w:val="00834286"/>
    <w:rsid w:val="00834A02"/>
    <w:rsid w:val="00842222"/>
    <w:rsid w:val="00846293"/>
    <w:rsid w:val="00855BD6"/>
    <w:rsid w:val="00860E6B"/>
    <w:rsid w:val="00861FE3"/>
    <w:rsid w:val="00864857"/>
    <w:rsid w:val="008667E7"/>
    <w:rsid w:val="00866818"/>
    <w:rsid w:val="00877055"/>
    <w:rsid w:val="008802E2"/>
    <w:rsid w:val="00880C4C"/>
    <w:rsid w:val="008826B1"/>
    <w:rsid w:val="0088309D"/>
    <w:rsid w:val="00886DBC"/>
    <w:rsid w:val="0089769A"/>
    <w:rsid w:val="008A786A"/>
    <w:rsid w:val="008B1A33"/>
    <w:rsid w:val="008B5395"/>
    <w:rsid w:val="008C1342"/>
    <w:rsid w:val="008C5687"/>
    <w:rsid w:val="008D0F3A"/>
    <w:rsid w:val="008D162A"/>
    <w:rsid w:val="008D283E"/>
    <w:rsid w:val="008D4582"/>
    <w:rsid w:val="008D68C0"/>
    <w:rsid w:val="008D74B9"/>
    <w:rsid w:val="008E022B"/>
    <w:rsid w:val="008E09C9"/>
    <w:rsid w:val="008E141A"/>
    <w:rsid w:val="008E5127"/>
    <w:rsid w:val="008F5705"/>
    <w:rsid w:val="008F5A0A"/>
    <w:rsid w:val="008F69E3"/>
    <w:rsid w:val="009042A7"/>
    <w:rsid w:val="00904FBB"/>
    <w:rsid w:val="00906CB4"/>
    <w:rsid w:val="00911677"/>
    <w:rsid w:val="00911A58"/>
    <w:rsid w:val="009128C6"/>
    <w:rsid w:val="00912EB5"/>
    <w:rsid w:val="009131E2"/>
    <w:rsid w:val="00921377"/>
    <w:rsid w:val="00921672"/>
    <w:rsid w:val="009225FF"/>
    <w:rsid w:val="00922EC4"/>
    <w:rsid w:val="00924220"/>
    <w:rsid w:val="00924C34"/>
    <w:rsid w:val="00926835"/>
    <w:rsid w:val="00933CB0"/>
    <w:rsid w:val="00933FB9"/>
    <w:rsid w:val="00942C55"/>
    <w:rsid w:val="00951E17"/>
    <w:rsid w:val="00953176"/>
    <w:rsid w:val="00954879"/>
    <w:rsid w:val="009554A0"/>
    <w:rsid w:val="00955DEF"/>
    <w:rsid w:val="00965719"/>
    <w:rsid w:val="00966963"/>
    <w:rsid w:val="009759FC"/>
    <w:rsid w:val="0098435F"/>
    <w:rsid w:val="00984632"/>
    <w:rsid w:val="00995844"/>
    <w:rsid w:val="00997780"/>
    <w:rsid w:val="009A637C"/>
    <w:rsid w:val="009B6C7D"/>
    <w:rsid w:val="009B71D5"/>
    <w:rsid w:val="009B7B52"/>
    <w:rsid w:val="009B7F4F"/>
    <w:rsid w:val="009C0D8E"/>
    <w:rsid w:val="009D624F"/>
    <w:rsid w:val="009D7DF2"/>
    <w:rsid w:val="009E3C61"/>
    <w:rsid w:val="009E5452"/>
    <w:rsid w:val="009E5BC9"/>
    <w:rsid w:val="009E70B1"/>
    <w:rsid w:val="009E7C0B"/>
    <w:rsid w:val="009F3EEB"/>
    <w:rsid w:val="009F591C"/>
    <w:rsid w:val="00A01073"/>
    <w:rsid w:val="00A032AB"/>
    <w:rsid w:val="00A079CE"/>
    <w:rsid w:val="00A23E0A"/>
    <w:rsid w:val="00A24E1F"/>
    <w:rsid w:val="00A40D46"/>
    <w:rsid w:val="00A463B2"/>
    <w:rsid w:val="00A467C4"/>
    <w:rsid w:val="00A543E5"/>
    <w:rsid w:val="00A56DD9"/>
    <w:rsid w:val="00A57D57"/>
    <w:rsid w:val="00A65945"/>
    <w:rsid w:val="00A7583F"/>
    <w:rsid w:val="00A82B3C"/>
    <w:rsid w:val="00A84B76"/>
    <w:rsid w:val="00A90522"/>
    <w:rsid w:val="00A949AA"/>
    <w:rsid w:val="00A952A2"/>
    <w:rsid w:val="00AA0D02"/>
    <w:rsid w:val="00AA19A9"/>
    <w:rsid w:val="00AA255E"/>
    <w:rsid w:val="00AA2CBE"/>
    <w:rsid w:val="00AA4ACE"/>
    <w:rsid w:val="00AB2931"/>
    <w:rsid w:val="00AB32A9"/>
    <w:rsid w:val="00AB48E4"/>
    <w:rsid w:val="00AB52DB"/>
    <w:rsid w:val="00AB7CAD"/>
    <w:rsid w:val="00AC0CE2"/>
    <w:rsid w:val="00AC1596"/>
    <w:rsid w:val="00AC6889"/>
    <w:rsid w:val="00AC6CC8"/>
    <w:rsid w:val="00AC761E"/>
    <w:rsid w:val="00AC7AD2"/>
    <w:rsid w:val="00AD063B"/>
    <w:rsid w:val="00AD0A9D"/>
    <w:rsid w:val="00AD3B5D"/>
    <w:rsid w:val="00AE15A7"/>
    <w:rsid w:val="00AE1FB6"/>
    <w:rsid w:val="00AE39DF"/>
    <w:rsid w:val="00AE4F7A"/>
    <w:rsid w:val="00AE5375"/>
    <w:rsid w:val="00AF046E"/>
    <w:rsid w:val="00AF2F65"/>
    <w:rsid w:val="00AF48F9"/>
    <w:rsid w:val="00AF4D73"/>
    <w:rsid w:val="00AF4F30"/>
    <w:rsid w:val="00B0109C"/>
    <w:rsid w:val="00B03D8F"/>
    <w:rsid w:val="00B06912"/>
    <w:rsid w:val="00B153B0"/>
    <w:rsid w:val="00B1617C"/>
    <w:rsid w:val="00B163E0"/>
    <w:rsid w:val="00B21CB0"/>
    <w:rsid w:val="00B21E2B"/>
    <w:rsid w:val="00B23FA3"/>
    <w:rsid w:val="00B30075"/>
    <w:rsid w:val="00B304F2"/>
    <w:rsid w:val="00B31357"/>
    <w:rsid w:val="00B31D41"/>
    <w:rsid w:val="00B34EAC"/>
    <w:rsid w:val="00B43688"/>
    <w:rsid w:val="00B438A0"/>
    <w:rsid w:val="00B438AD"/>
    <w:rsid w:val="00B44531"/>
    <w:rsid w:val="00B518A2"/>
    <w:rsid w:val="00B644A0"/>
    <w:rsid w:val="00B64D6B"/>
    <w:rsid w:val="00B7200D"/>
    <w:rsid w:val="00B73D10"/>
    <w:rsid w:val="00B76F88"/>
    <w:rsid w:val="00B814D8"/>
    <w:rsid w:val="00B84588"/>
    <w:rsid w:val="00B850BC"/>
    <w:rsid w:val="00B87170"/>
    <w:rsid w:val="00B90AB8"/>
    <w:rsid w:val="00B90B18"/>
    <w:rsid w:val="00B93954"/>
    <w:rsid w:val="00B95B3B"/>
    <w:rsid w:val="00BA4757"/>
    <w:rsid w:val="00BA51DB"/>
    <w:rsid w:val="00BB2DAA"/>
    <w:rsid w:val="00BB3B77"/>
    <w:rsid w:val="00BB7AC5"/>
    <w:rsid w:val="00BC46C5"/>
    <w:rsid w:val="00BC4D39"/>
    <w:rsid w:val="00BC79FB"/>
    <w:rsid w:val="00BD00E4"/>
    <w:rsid w:val="00BD2113"/>
    <w:rsid w:val="00BD46DC"/>
    <w:rsid w:val="00BE02D4"/>
    <w:rsid w:val="00BE255E"/>
    <w:rsid w:val="00BE2B9C"/>
    <w:rsid w:val="00BE51C9"/>
    <w:rsid w:val="00BF0A45"/>
    <w:rsid w:val="00BF32FF"/>
    <w:rsid w:val="00BF5D16"/>
    <w:rsid w:val="00C04A8C"/>
    <w:rsid w:val="00C208FE"/>
    <w:rsid w:val="00C2291A"/>
    <w:rsid w:val="00C323E5"/>
    <w:rsid w:val="00C331B9"/>
    <w:rsid w:val="00C34016"/>
    <w:rsid w:val="00C34DCC"/>
    <w:rsid w:val="00C450F3"/>
    <w:rsid w:val="00C458E6"/>
    <w:rsid w:val="00C4665A"/>
    <w:rsid w:val="00C51990"/>
    <w:rsid w:val="00C66830"/>
    <w:rsid w:val="00C721E7"/>
    <w:rsid w:val="00C727E9"/>
    <w:rsid w:val="00C730AA"/>
    <w:rsid w:val="00C738E1"/>
    <w:rsid w:val="00C76089"/>
    <w:rsid w:val="00C76495"/>
    <w:rsid w:val="00C941E1"/>
    <w:rsid w:val="00CA02DE"/>
    <w:rsid w:val="00CA20FE"/>
    <w:rsid w:val="00CA2FA8"/>
    <w:rsid w:val="00CA3537"/>
    <w:rsid w:val="00CA5F3E"/>
    <w:rsid w:val="00CA60C8"/>
    <w:rsid w:val="00CB0C75"/>
    <w:rsid w:val="00CB2016"/>
    <w:rsid w:val="00CB5A5E"/>
    <w:rsid w:val="00CB64EF"/>
    <w:rsid w:val="00CB7625"/>
    <w:rsid w:val="00CB7E18"/>
    <w:rsid w:val="00CC1A44"/>
    <w:rsid w:val="00CC1ACB"/>
    <w:rsid w:val="00CC3D31"/>
    <w:rsid w:val="00CD1EA7"/>
    <w:rsid w:val="00CD3B4D"/>
    <w:rsid w:val="00CD47F1"/>
    <w:rsid w:val="00CD511E"/>
    <w:rsid w:val="00CD608F"/>
    <w:rsid w:val="00CD75C5"/>
    <w:rsid w:val="00CE17A0"/>
    <w:rsid w:val="00CE4386"/>
    <w:rsid w:val="00CE4CB9"/>
    <w:rsid w:val="00CE5F6B"/>
    <w:rsid w:val="00CF5A8A"/>
    <w:rsid w:val="00CF722C"/>
    <w:rsid w:val="00CF788C"/>
    <w:rsid w:val="00D00875"/>
    <w:rsid w:val="00D1034F"/>
    <w:rsid w:val="00D11769"/>
    <w:rsid w:val="00D16DC8"/>
    <w:rsid w:val="00D17062"/>
    <w:rsid w:val="00D25990"/>
    <w:rsid w:val="00D30F0B"/>
    <w:rsid w:val="00D310A2"/>
    <w:rsid w:val="00D35744"/>
    <w:rsid w:val="00D3781B"/>
    <w:rsid w:val="00D40F48"/>
    <w:rsid w:val="00D449A3"/>
    <w:rsid w:val="00D45637"/>
    <w:rsid w:val="00D52BE8"/>
    <w:rsid w:val="00D536CD"/>
    <w:rsid w:val="00D55402"/>
    <w:rsid w:val="00D60B5E"/>
    <w:rsid w:val="00D62A6D"/>
    <w:rsid w:val="00D70653"/>
    <w:rsid w:val="00D73DC0"/>
    <w:rsid w:val="00D779A6"/>
    <w:rsid w:val="00D77A58"/>
    <w:rsid w:val="00D81D28"/>
    <w:rsid w:val="00D85AD5"/>
    <w:rsid w:val="00D874F6"/>
    <w:rsid w:val="00DA2902"/>
    <w:rsid w:val="00DA2CC9"/>
    <w:rsid w:val="00DA5FBF"/>
    <w:rsid w:val="00DA722E"/>
    <w:rsid w:val="00DA7991"/>
    <w:rsid w:val="00DA7B7C"/>
    <w:rsid w:val="00DB7733"/>
    <w:rsid w:val="00DB792A"/>
    <w:rsid w:val="00DC6153"/>
    <w:rsid w:val="00DC67F8"/>
    <w:rsid w:val="00DC7446"/>
    <w:rsid w:val="00DC772A"/>
    <w:rsid w:val="00DD0956"/>
    <w:rsid w:val="00DD0D72"/>
    <w:rsid w:val="00DD17C1"/>
    <w:rsid w:val="00DD4393"/>
    <w:rsid w:val="00DD57FC"/>
    <w:rsid w:val="00DE0F3C"/>
    <w:rsid w:val="00DE2B81"/>
    <w:rsid w:val="00DE2D41"/>
    <w:rsid w:val="00DE3F0A"/>
    <w:rsid w:val="00DF7D61"/>
    <w:rsid w:val="00E012A2"/>
    <w:rsid w:val="00E06DC2"/>
    <w:rsid w:val="00E100A4"/>
    <w:rsid w:val="00E16A29"/>
    <w:rsid w:val="00E17936"/>
    <w:rsid w:val="00E212A4"/>
    <w:rsid w:val="00E26A00"/>
    <w:rsid w:val="00E406C0"/>
    <w:rsid w:val="00E42484"/>
    <w:rsid w:val="00E43671"/>
    <w:rsid w:val="00E449E2"/>
    <w:rsid w:val="00E449F0"/>
    <w:rsid w:val="00E46CA1"/>
    <w:rsid w:val="00E56BCE"/>
    <w:rsid w:val="00E56FE8"/>
    <w:rsid w:val="00E6057D"/>
    <w:rsid w:val="00E6476F"/>
    <w:rsid w:val="00E739C4"/>
    <w:rsid w:val="00E75D99"/>
    <w:rsid w:val="00E80C63"/>
    <w:rsid w:val="00E85FE1"/>
    <w:rsid w:val="00EA345C"/>
    <w:rsid w:val="00EB007F"/>
    <w:rsid w:val="00EB2298"/>
    <w:rsid w:val="00EB5E3D"/>
    <w:rsid w:val="00EB6A87"/>
    <w:rsid w:val="00EB6D12"/>
    <w:rsid w:val="00EC04FB"/>
    <w:rsid w:val="00EC0585"/>
    <w:rsid w:val="00EC2788"/>
    <w:rsid w:val="00EC4DDD"/>
    <w:rsid w:val="00EC5331"/>
    <w:rsid w:val="00EC737B"/>
    <w:rsid w:val="00ED0FA0"/>
    <w:rsid w:val="00ED3ADB"/>
    <w:rsid w:val="00ED730E"/>
    <w:rsid w:val="00EE0BE9"/>
    <w:rsid w:val="00EE35AB"/>
    <w:rsid w:val="00EE63C7"/>
    <w:rsid w:val="00EE7ECE"/>
    <w:rsid w:val="00EE7F1F"/>
    <w:rsid w:val="00EF25E4"/>
    <w:rsid w:val="00EF79CD"/>
    <w:rsid w:val="00F1009F"/>
    <w:rsid w:val="00F14C35"/>
    <w:rsid w:val="00F1587F"/>
    <w:rsid w:val="00F17BCF"/>
    <w:rsid w:val="00F22E88"/>
    <w:rsid w:val="00F236CF"/>
    <w:rsid w:val="00F249FB"/>
    <w:rsid w:val="00F25D4D"/>
    <w:rsid w:val="00F30BA2"/>
    <w:rsid w:val="00F31EFC"/>
    <w:rsid w:val="00F3202E"/>
    <w:rsid w:val="00F35DAB"/>
    <w:rsid w:val="00F360DA"/>
    <w:rsid w:val="00F42D48"/>
    <w:rsid w:val="00F47519"/>
    <w:rsid w:val="00F5205F"/>
    <w:rsid w:val="00F60690"/>
    <w:rsid w:val="00F6106B"/>
    <w:rsid w:val="00F66302"/>
    <w:rsid w:val="00F772EC"/>
    <w:rsid w:val="00F80083"/>
    <w:rsid w:val="00F876B2"/>
    <w:rsid w:val="00F91639"/>
    <w:rsid w:val="00F932C8"/>
    <w:rsid w:val="00F932F8"/>
    <w:rsid w:val="00F936C4"/>
    <w:rsid w:val="00F95FCC"/>
    <w:rsid w:val="00FA6A63"/>
    <w:rsid w:val="00FB1404"/>
    <w:rsid w:val="00FB395F"/>
    <w:rsid w:val="00FB3E00"/>
    <w:rsid w:val="00FB421A"/>
    <w:rsid w:val="00FB4321"/>
    <w:rsid w:val="00FB5D83"/>
    <w:rsid w:val="00FB72A7"/>
    <w:rsid w:val="00FB78C7"/>
    <w:rsid w:val="00FB7CBF"/>
    <w:rsid w:val="00FD33AE"/>
    <w:rsid w:val="00FD3B08"/>
    <w:rsid w:val="00FD404E"/>
    <w:rsid w:val="00FD46C3"/>
    <w:rsid w:val="00FE0A5A"/>
    <w:rsid w:val="00FE7DF6"/>
    <w:rsid w:val="00FF04D2"/>
    <w:rsid w:val="00FF55E7"/>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322C934E"/>
  <w15:chartTrackingRefBased/>
  <w15:docId w15:val="{F7D368D3-17FC-48C5-A5B9-8853BC99D6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62212"/>
    <w:pPr>
      <w:autoSpaceDE w:val="0"/>
      <w:autoSpaceDN w:val="0"/>
      <w:adjustRightInd w:val="0"/>
      <w:spacing w:after="120" w:line="360" w:lineRule="auto"/>
    </w:pPr>
    <w:rPr>
      <w:rFonts w:ascii="Arial" w:hAnsi="Arial" w:cs="Arial"/>
    </w:rPr>
  </w:style>
  <w:style w:type="paragraph" w:styleId="Heading1">
    <w:name w:val="heading 1"/>
    <w:basedOn w:val="Normal"/>
    <w:next w:val="Normal"/>
    <w:link w:val="Heading1Char"/>
    <w:uiPriority w:val="9"/>
    <w:qFormat/>
    <w:rsid w:val="003058F2"/>
    <w:pPr>
      <w:keepNext/>
      <w:keepLines/>
      <w:autoSpaceDE/>
      <w:autoSpaceDN/>
      <w:adjustRightInd/>
      <w:spacing w:before="240" w:after="0" w:line="259" w:lineRule="auto"/>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3058F2"/>
    <w:pPr>
      <w:keepNext/>
      <w:keepLines/>
      <w:autoSpaceDE/>
      <w:autoSpaceDN/>
      <w:adjustRightInd/>
      <w:spacing w:before="40" w:after="0" w:line="259" w:lineRule="auto"/>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864857"/>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unhideWhenUsed/>
    <w:qFormat/>
    <w:rsid w:val="003A4D7B"/>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unhideWhenUsed/>
    <w:qFormat/>
    <w:rsid w:val="00E449E2"/>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058F2"/>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3058F2"/>
    <w:rPr>
      <w:rFonts w:asciiTheme="majorHAnsi" w:eastAsiaTheme="majorEastAsia" w:hAnsiTheme="majorHAnsi" w:cstheme="majorBidi"/>
      <w:color w:val="2F5496" w:themeColor="accent1" w:themeShade="BF"/>
      <w:sz w:val="26"/>
      <w:szCs w:val="26"/>
    </w:rPr>
  </w:style>
  <w:style w:type="paragraph" w:customStyle="1" w:styleId="Body">
    <w:name w:val="Body"/>
    <w:rsid w:val="003058F2"/>
    <w:pPr>
      <w:pBdr>
        <w:top w:val="nil"/>
        <w:left w:val="nil"/>
        <w:bottom w:val="nil"/>
        <w:right w:val="nil"/>
        <w:between w:val="nil"/>
        <w:bar w:val="nil"/>
      </w:pBdr>
      <w:spacing w:after="0" w:line="240" w:lineRule="auto"/>
    </w:pPr>
    <w:rPr>
      <w:rFonts w:ascii="Arial" w:eastAsia="Arial Unicode MS" w:hAnsi="Arial" w:cs="Arial Unicode MS"/>
      <w:color w:val="000000"/>
      <w:sz w:val="20"/>
      <w:szCs w:val="20"/>
      <w:u w:color="000000"/>
      <w:bdr w:val="nil"/>
      <w:lang w:val="en-GB"/>
    </w:rPr>
  </w:style>
  <w:style w:type="character" w:styleId="Hyperlink">
    <w:name w:val="Hyperlink"/>
    <w:basedOn w:val="DefaultParagraphFont"/>
    <w:uiPriority w:val="99"/>
    <w:unhideWhenUsed/>
    <w:rsid w:val="003058F2"/>
    <w:rPr>
      <w:color w:val="0563C1" w:themeColor="hyperlink"/>
      <w:u w:val="single"/>
    </w:rPr>
  </w:style>
  <w:style w:type="character" w:customStyle="1" w:styleId="UnresolvedMention1">
    <w:name w:val="Unresolved Mention1"/>
    <w:basedOn w:val="DefaultParagraphFont"/>
    <w:uiPriority w:val="99"/>
    <w:semiHidden/>
    <w:unhideWhenUsed/>
    <w:rsid w:val="003058F2"/>
    <w:rPr>
      <w:color w:val="605E5C"/>
      <w:shd w:val="clear" w:color="auto" w:fill="E1DFDD"/>
    </w:rPr>
  </w:style>
  <w:style w:type="paragraph" w:styleId="ListParagraph">
    <w:name w:val="List Paragraph"/>
    <w:basedOn w:val="Normal"/>
    <w:uiPriority w:val="34"/>
    <w:qFormat/>
    <w:rsid w:val="00D25990"/>
    <w:pPr>
      <w:autoSpaceDE/>
      <w:autoSpaceDN/>
      <w:adjustRightInd/>
      <w:spacing w:after="160" w:line="259" w:lineRule="auto"/>
      <w:ind w:left="720"/>
      <w:contextualSpacing/>
    </w:pPr>
    <w:rPr>
      <w:rFonts w:asciiTheme="minorHAnsi" w:hAnsiTheme="minorHAnsi" w:cstheme="minorBidi"/>
    </w:rPr>
  </w:style>
  <w:style w:type="paragraph" w:styleId="Caption">
    <w:name w:val="caption"/>
    <w:basedOn w:val="Normal"/>
    <w:next w:val="Normal"/>
    <w:uiPriority w:val="35"/>
    <w:unhideWhenUsed/>
    <w:qFormat/>
    <w:rsid w:val="00812CF5"/>
    <w:pPr>
      <w:autoSpaceDE/>
      <w:autoSpaceDN/>
      <w:adjustRightInd/>
      <w:spacing w:after="200" w:line="240" w:lineRule="auto"/>
    </w:pPr>
    <w:rPr>
      <w:rFonts w:asciiTheme="minorHAnsi" w:hAnsiTheme="minorHAnsi" w:cstheme="minorBidi"/>
      <w:i/>
      <w:iCs/>
      <w:color w:val="44546A" w:themeColor="text2"/>
      <w:sz w:val="18"/>
      <w:szCs w:val="18"/>
    </w:rPr>
  </w:style>
  <w:style w:type="table" w:styleId="GridTable4">
    <w:name w:val="Grid Table 4"/>
    <w:basedOn w:val="TableNormal"/>
    <w:uiPriority w:val="49"/>
    <w:rsid w:val="00812CF5"/>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eGrid">
    <w:name w:val="Table Grid"/>
    <w:basedOn w:val="TableNormal"/>
    <w:uiPriority w:val="39"/>
    <w:rsid w:val="00664C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664C92"/>
    <w:rPr>
      <w:sz w:val="16"/>
      <w:szCs w:val="16"/>
    </w:rPr>
  </w:style>
  <w:style w:type="paragraph" w:styleId="CommentText">
    <w:name w:val="annotation text"/>
    <w:basedOn w:val="Normal"/>
    <w:link w:val="CommentTextChar"/>
    <w:uiPriority w:val="99"/>
    <w:unhideWhenUsed/>
    <w:rsid w:val="00664C92"/>
    <w:pPr>
      <w:autoSpaceDE/>
      <w:autoSpaceDN/>
      <w:adjustRightInd/>
      <w:spacing w:after="160" w:line="240" w:lineRule="auto"/>
    </w:pPr>
    <w:rPr>
      <w:rFonts w:asciiTheme="minorHAnsi" w:hAnsiTheme="minorHAnsi" w:cstheme="minorBidi"/>
      <w:sz w:val="20"/>
      <w:szCs w:val="20"/>
    </w:rPr>
  </w:style>
  <w:style w:type="character" w:customStyle="1" w:styleId="CommentTextChar">
    <w:name w:val="Comment Text Char"/>
    <w:basedOn w:val="DefaultParagraphFont"/>
    <w:link w:val="CommentText"/>
    <w:uiPriority w:val="99"/>
    <w:rsid w:val="00664C92"/>
    <w:rPr>
      <w:sz w:val="20"/>
      <w:szCs w:val="20"/>
    </w:rPr>
  </w:style>
  <w:style w:type="paragraph" w:styleId="CommentSubject">
    <w:name w:val="annotation subject"/>
    <w:basedOn w:val="CommentText"/>
    <w:next w:val="CommentText"/>
    <w:link w:val="CommentSubjectChar"/>
    <w:uiPriority w:val="99"/>
    <w:semiHidden/>
    <w:unhideWhenUsed/>
    <w:rsid w:val="00664C92"/>
    <w:rPr>
      <w:b/>
      <w:bCs/>
    </w:rPr>
  </w:style>
  <w:style w:type="character" w:customStyle="1" w:styleId="CommentSubjectChar">
    <w:name w:val="Comment Subject Char"/>
    <w:basedOn w:val="CommentTextChar"/>
    <w:link w:val="CommentSubject"/>
    <w:uiPriority w:val="99"/>
    <w:semiHidden/>
    <w:rsid w:val="00664C92"/>
    <w:rPr>
      <w:b/>
      <w:bCs/>
      <w:sz w:val="20"/>
      <w:szCs w:val="20"/>
    </w:rPr>
  </w:style>
  <w:style w:type="paragraph" w:styleId="BalloonText">
    <w:name w:val="Balloon Text"/>
    <w:basedOn w:val="Normal"/>
    <w:link w:val="BalloonTextChar"/>
    <w:uiPriority w:val="99"/>
    <w:semiHidden/>
    <w:unhideWhenUsed/>
    <w:rsid w:val="00664C92"/>
    <w:pPr>
      <w:autoSpaceDE/>
      <w:autoSpaceDN/>
      <w:adjustRightInd/>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64C92"/>
    <w:rPr>
      <w:rFonts w:ascii="Segoe UI" w:hAnsi="Segoe UI" w:cs="Segoe UI"/>
      <w:sz w:val="18"/>
      <w:szCs w:val="18"/>
    </w:rPr>
  </w:style>
  <w:style w:type="table" w:styleId="ListTable3">
    <w:name w:val="List Table 3"/>
    <w:basedOn w:val="TableNormal"/>
    <w:uiPriority w:val="48"/>
    <w:rsid w:val="00860E6B"/>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GridTable1Light">
    <w:name w:val="Grid Table 1 Light"/>
    <w:basedOn w:val="TableNormal"/>
    <w:uiPriority w:val="46"/>
    <w:rsid w:val="00860E6B"/>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customStyle="1" w:styleId="Heading3Char">
    <w:name w:val="Heading 3 Char"/>
    <w:basedOn w:val="DefaultParagraphFont"/>
    <w:link w:val="Heading3"/>
    <w:uiPriority w:val="9"/>
    <w:rsid w:val="00864857"/>
    <w:rPr>
      <w:rFonts w:asciiTheme="majorHAnsi" w:eastAsiaTheme="majorEastAsia" w:hAnsiTheme="majorHAnsi" w:cstheme="majorBidi"/>
      <w:color w:val="1F3763" w:themeColor="accent1" w:themeShade="7F"/>
      <w:sz w:val="24"/>
      <w:szCs w:val="24"/>
      <w:lang w:val="en-US"/>
    </w:rPr>
  </w:style>
  <w:style w:type="character" w:customStyle="1" w:styleId="None">
    <w:name w:val="None"/>
    <w:rsid w:val="000E767A"/>
  </w:style>
  <w:style w:type="character" w:styleId="FollowedHyperlink">
    <w:name w:val="FollowedHyperlink"/>
    <w:basedOn w:val="DefaultParagraphFont"/>
    <w:uiPriority w:val="99"/>
    <w:semiHidden/>
    <w:unhideWhenUsed/>
    <w:rsid w:val="003A4D7B"/>
    <w:rPr>
      <w:color w:val="954F72" w:themeColor="followedHyperlink"/>
      <w:u w:val="single"/>
    </w:rPr>
  </w:style>
  <w:style w:type="character" w:customStyle="1" w:styleId="Heading4Char">
    <w:name w:val="Heading 4 Char"/>
    <w:basedOn w:val="DefaultParagraphFont"/>
    <w:link w:val="Heading4"/>
    <w:uiPriority w:val="9"/>
    <w:rsid w:val="003A4D7B"/>
    <w:rPr>
      <w:rFonts w:asciiTheme="majorHAnsi" w:eastAsiaTheme="majorEastAsia" w:hAnsiTheme="majorHAnsi" w:cstheme="majorBidi"/>
      <w:i/>
      <w:iCs/>
      <w:color w:val="2F5496" w:themeColor="accent1" w:themeShade="BF"/>
      <w:lang w:val="en-US"/>
    </w:rPr>
  </w:style>
  <w:style w:type="character" w:customStyle="1" w:styleId="nlmstring-name">
    <w:name w:val="nlm_string-name"/>
    <w:basedOn w:val="DefaultParagraphFont"/>
    <w:rsid w:val="00750F02"/>
  </w:style>
  <w:style w:type="character" w:customStyle="1" w:styleId="nlmgiven-names">
    <w:name w:val="nlm_given-names"/>
    <w:basedOn w:val="DefaultParagraphFont"/>
    <w:rsid w:val="00750F02"/>
  </w:style>
  <w:style w:type="character" w:customStyle="1" w:styleId="nlmarticle-title">
    <w:name w:val="nlm_article-title"/>
    <w:basedOn w:val="DefaultParagraphFont"/>
    <w:rsid w:val="00750F02"/>
  </w:style>
  <w:style w:type="character" w:customStyle="1" w:styleId="nlmfpage">
    <w:name w:val="nlm_fpage"/>
    <w:basedOn w:val="DefaultParagraphFont"/>
    <w:rsid w:val="00750F02"/>
  </w:style>
  <w:style w:type="character" w:customStyle="1" w:styleId="nlmyear">
    <w:name w:val="nlm_year"/>
    <w:basedOn w:val="DefaultParagraphFont"/>
    <w:rsid w:val="00750F02"/>
  </w:style>
  <w:style w:type="character" w:customStyle="1" w:styleId="nlmsupplement">
    <w:name w:val="nlm_supplement"/>
    <w:basedOn w:val="DefaultParagraphFont"/>
    <w:rsid w:val="00750F02"/>
  </w:style>
  <w:style w:type="paragraph" w:styleId="NoSpacing">
    <w:name w:val="No Spacing"/>
    <w:uiPriority w:val="1"/>
    <w:qFormat/>
    <w:rsid w:val="00DB7733"/>
    <w:pPr>
      <w:autoSpaceDE w:val="0"/>
      <w:autoSpaceDN w:val="0"/>
      <w:adjustRightInd w:val="0"/>
      <w:spacing w:after="0" w:line="240" w:lineRule="auto"/>
    </w:pPr>
    <w:rPr>
      <w:rFonts w:ascii="Arial" w:hAnsi="Arial" w:cs="Arial"/>
    </w:rPr>
  </w:style>
  <w:style w:type="paragraph" w:customStyle="1" w:styleId="Default">
    <w:name w:val="Default"/>
    <w:rsid w:val="0001359D"/>
    <w:pPr>
      <w:autoSpaceDE w:val="0"/>
      <w:autoSpaceDN w:val="0"/>
      <w:adjustRightInd w:val="0"/>
      <w:spacing w:after="0" w:line="240" w:lineRule="auto"/>
    </w:pPr>
    <w:rPr>
      <w:rFonts w:ascii="Cambria" w:hAnsi="Cambria" w:cs="Cambria"/>
      <w:color w:val="000000"/>
      <w:sz w:val="24"/>
      <w:szCs w:val="24"/>
    </w:rPr>
  </w:style>
  <w:style w:type="character" w:customStyle="1" w:styleId="Heading5Char">
    <w:name w:val="Heading 5 Char"/>
    <w:basedOn w:val="DefaultParagraphFont"/>
    <w:link w:val="Heading5"/>
    <w:uiPriority w:val="9"/>
    <w:rsid w:val="00E449E2"/>
    <w:rPr>
      <w:rFonts w:asciiTheme="majorHAnsi" w:eastAsiaTheme="majorEastAsia" w:hAnsiTheme="majorHAnsi" w:cstheme="majorBidi"/>
      <w:color w:val="2F5496" w:themeColor="accent1" w:themeShade="BF"/>
    </w:rPr>
  </w:style>
  <w:style w:type="paragraph" w:styleId="Header">
    <w:name w:val="header"/>
    <w:basedOn w:val="Normal"/>
    <w:link w:val="HeaderChar"/>
    <w:uiPriority w:val="99"/>
    <w:unhideWhenUsed/>
    <w:rsid w:val="006D439E"/>
    <w:pPr>
      <w:tabs>
        <w:tab w:val="center" w:pos="4680"/>
        <w:tab w:val="right" w:pos="9360"/>
      </w:tabs>
      <w:spacing w:after="0" w:line="240" w:lineRule="auto"/>
    </w:pPr>
  </w:style>
  <w:style w:type="character" w:customStyle="1" w:styleId="HeaderChar">
    <w:name w:val="Header Char"/>
    <w:basedOn w:val="DefaultParagraphFont"/>
    <w:link w:val="Header"/>
    <w:uiPriority w:val="99"/>
    <w:rsid w:val="006D439E"/>
    <w:rPr>
      <w:rFonts w:ascii="Arial" w:hAnsi="Arial" w:cs="Arial"/>
    </w:rPr>
  </w:style>
  <w:style w:type="paragraph" w:styleId="Footer">
    <w:name w:val="footer"/>
    <w:basedOn w:val="Normal"/>
    <w:link w:val="FooterChar"/>
    <w:uiPriority w:val="99"/>
    <w:unhideWhenUsed/>
    <w:rsid w:val="006D439E"/>
    <w:pPr>
      <w:tabs>
        <w:tab w:val="center" w:pos="4680"/>
        <w:tab w:val="right" w:pos="9360"/>
      </w:tabs>
      <w:spacing w:after="0" w:line="240" w:lineRule="auto"/>
    </w:pPr>
  </w:style>
  <w:style w:type="character" w:customStyle="1" w:styleId="FooterChar">
    <w:name w:val="Footer Char"/>
    <w:basedOn w:val="DefaultParagraphFont"/>
    <w:link w:val="Footer"/>
    <w:uiPriority w:val="99"/>
    <w:rsid w:val="006D439E"/>
    <w:rPr>
      <w:rFonts w:ascii="Arial" w:hAnsi="Arial" w:cs="Arial"/>
    </w:rPr>
  </w:style>
  <w:style w:type="character" w:customStyle="1" w:styleId="UnresolvedMention2">
    <w:name w:val="Unresolved Mention2"/>
    <w:basedOn w:val="DefaultParagraphFont"/>
    <w:uiPriority w:val="99"/>
    <w:semiHidden/>
    <w:unhideWhenUsed/>
    <w:rsid w:val="00CA60C8"/>
    <w:rPr>
      <w:color w:val="605E5C"/>
      <w:shd w:val="clear" w:color="auto" w:fill="E1DFDD"/>
    </w:rPr>
  </w:style>
  <w:style w:type="character" w:styleId="Strong">
    <w:name w:val="Strong"/>
    <w:basedOn w:val="DefaultParagraphFont"/>
    <w:uiPriority w:val="22"/>
    <w:qFormat/>
    <w:rsid w:val="0026748E"/>
    <w:rPr>
      <w:b/>
      <w:bCs/>
    </w:rPr>
  </w:style>
  <w:style w:type="character" w:styleId="SubtleEmphasis">
    <w:name w:val="Subtle Emphasis"/>
    <w:basedOn w:val="DefaultParagraphFont"/>
    <w:uiPriority w:val="19"/>
    <w:qFormat/>
    <w:rsid w:val="00DD4393"/>
    <w:rPr>
      <w:i/>
      <w:iCs/>
      <w:color w:val="404040" w:themeColor="text1" w:themeTint="BF"/>
    </w:rPr>
  </w:style>
  <w:style w:type="character" w:customStyle="1" w:styleId="identifier">
    <w:name w:val="identifier"/>
    <w:basedOn w:val="DefaultParagraphFont"/>
    <w:rsid w:val="0010251A"/>
  </w:style>
  <w:style w:type="character" w:customStyle="1" w:styleId="id-label">
    <w:name w:val="id-label"/>
    <w:basedOn w:val="DefaultParagraphFont"/>
    <w:rsid w:val="0010251A"/>
  </w:style>
  <w:style w:type="character" w:styleId="UnresolvedMention">
    <w:name w:val="Unresolved Mention"/>
    <w:basedOn w:val="DefaultParagraphFont"/>
    <w:uiPriority w:val="99"/>
    <w:semiHidden/>
    <w:unhideWhenUsed/>
    <w:rsid w:val="009D624F"/>
    <w:rPr>
      <w:color w:val="605E5C"/>
      <w:shd w:val="clear" w:color="auto" w:fill="E1DFDD"/>
    </w:rPr>
  </w:style>
  <w:style w:type="paragraph" w:styleId="Revision">
    <w:name w:val="Revision"/>
    <w:hidden/>
    <w:uiPriority w:val="99"/>
    <w:semiHidden/>
    <w:rsid w:val="000024F2"/>
    <w:pPr>
      <w:spacing w:after="0" w:line="240" w:lineRule="auto"/>
    </w:pPr>
    <w:rPr>
      <w:rFonts w:ascii="Arial"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2453794">
      <w:bodyDiv w:val="1"/>
      <w:marLeft w:val="0"/>
      <w:marRight w:val="0"/>
      <w:marTop w:val="0"/>
      <w:marBottom w:val="0"/>
      <w:divBdr>
        <w:top w:val="none" w:sz="0" w:space="0" w:color="auto"/>
        <w:left w:val="none" w:sz="0" w:space="0" w:color="auto"/>
        <w:bottom w:val="none" w:sz="0" w:space="0" w:color="auto"/>
        <w:right w:val="none" w:sz="0" w:space="0" w:color="auto"/>
      </w:divBdr>
    </w:div>
    <w:div w:id="196898370">
      <w:bodyDiv w:val="1"/>
      <w:marLeft w:val="0"/>
      <w:marRight w:val="0"/>
      <w:marTop w:val="0"/>
      <w:marBottom w:val="0"/>
      <w:divBdr>
        <w:top w:val="none" w:sz="0" w:space="0" w:color="auto"/>
        <w:left w:val="none" w:sz="0" w:space="0" w:color="auto"/>
        <w:bottom w:val="none" w:sz="0" w:space="0" w:color="auto"/>
        <w:right w:val="none" w:sz="0" w:space="0" w:color="auto"/>
      </w:divBdr>
    </w:div>
    <w:div w:id="652222155">
      <w:bodyDiv w:val="1"/>
      <w:marLeft w:val="0"/>
      <w:marRight w:val="0"/>
      <w:marTop w:val="0"/>
      <w:marBottom w:val="0"/>
      <w:divBdr>
        <w:top w:val="none" w:sz="0" w:space="0" w:color="auto"/>
        <w:left w:val="none" w:sz="0" w:space="0" w:color="auto"/>
        <w:bottom w:val="none" w:sz="0" w:space="0" w:color="auto"/>
        <w:right w:val="none" w:sz="0" w:space="0" w:color="auto"/>
      </w:divBdr>
    </w:div>
    <w:div w:id="718866067">
      <w:bodyDiv w:val="1"/>
      <w:marLeft w:val="0"/>
      <w:marRight w:val="0"/>
      <w:marTop w:val="0"/>
      <w:marBottom w:val="0"/>
      <w:divBdr>
        <w:top w:val="none" w:sz="0" w:space="0" w:color="auto"/>
        <w:left w:val="none" w:sz="0" w:space="0" w:color="auto"/>
        <w:bottom w:val="none" w:sz="0" w:space="0" w:color="auto"/>
        <w:right w:val="none" w:sz="0" w:space="0" w:color="auto"/>
      </w:divBdr>
    </w:div>
    <w:div w:id="778984612">
      <w:bodyDiv w:val="1"/>
      <w:marLeft w:val="0"/>
      <w:marRight w:val="0"/>
      <w:marTop w:val="0"/>
      <w:marBottom w:val="0"/>
      <w:divBdr>
        <w:top w:val="none" w:sz="0" w:space="0" w:color="auto"/>
        <w:left w:val="none" w:sz="0" w:space="0" w:color="auto"/>
        <w:bottom w:val="none" w:sz="0" w:space="0" w:color="auto"/>
        <w:right w:val="none" w:sz="0" w:space="0" w:color="auto"/>
      </w:divBdr>
    </w:div>
    <w:div w:id="947010525">
      <w:bodyDiv w:val="1"/>
      <w:marLeft w:val="0"/>
      <w:marRight w:val="0"/>
      <w:marTop w:val="0"/>
      <w:marBottom w:val="0"/>
      <w:divBdr>
        <w:top w:val="none" w:sz="0" w:space="0" w:color="auto"/>
        <w:left w:val="none" w:sz="0" w:space="0" w:color="auto"/>
        <w:bottom w:val="none" w:sz="0" w:space="0" w:color="auto"/>
        <w:right w:val="none" w:sz="0" w:space="0" w:color="auto"/>
      </w:divBdr>
    </w:div>
    <w:div w:id="1197893006">
      <w:bodyDiv w:val="1"/>
      <w:marLeft w:val="0"/>
      <w:marRight w:val="0"/>
      <w:marTop w:val="0"/>
      <w:marBottom w:val="0"/>
      <w:divBdr>
        <w:top w:val="none" w:sz="0" w:space="0" w:color="auto"/>
        <w:left w:val="none" w:sz="0" w:space="0" w:color="auto"/>
        <w:bottom w:val="none" w:sz="0" w:space="0" w:color="auto"/>
        <w:right w:val="none" w:sz="0" w:space="0" w:color="auto"/>
      </w:divBdr>
    </w:div>
    <w:div w:id="1388724980">
      <w:bodyDiv w:val="1"/>
      <w:marLeft w:val="0"/>
      <w:marRight w:val="0"/>
      <w:marTop w:val="0"/>
      <w:marBottom w:val="0"/>
      <w:divBdr>
        <w:top w:val="none" w:sz="0" w:space="0" w:color="auto"/>
        <w:left w:val="none" w:sz="0" w:space="0" w:color="auto"/>
        <w:bottom w:val="none" w:sz="0" w:space="0" w:color="auto"/>
        <w:right w:val="none" w:sz="0" w:space="0" w:color="auto"/>
      </w:divBdr>
    </w:div>
    <w:div w:id="1395354979">
      <w:bodyDiv w:val="1"/>
      <w:marLeft w:val="0"/>
      <w:marRight w:val="0"/>
      <w:marTop w:val="0"/>
      <w:marBottom w:val="0"/>
      <w:divBdr>
        <w:top w:val="none" w:sz="0" w:space="0" w:color="auto"/>
        <w:left w:val="none" w:sz="0" w:space="0" w:color="auto"/>
        <w:bottom w:val="none" w:sz="0" w:space="0" w:color="auto"/>
        <w:right w:val="none" w:sz="0" w:space="0" w:color="auto"/>
      </w:divBdr>
    </w:div>
    <w:div w:id="1595555655">
      <w:bodyDiv w:val="1"/>
      <w:marLeft w:val="0"/>
      <w:marRight w:val="0"/>
      <w:marTop w:val="0"/>
      <w:marBottom w:val="0"/>
      <w:divBdr>
        <w:top w:val="none" w:sz="0" w:space="0" w:color="auto"/>
        <w:left w:val="none" w:sz="0" w:space="0" w:color="auto"/>
        <w:bottom w:val="none" w:sz="0" w:space="0" w:color="auto"/>
        <w:right w:val="none" w:sz="0" w:space="0" w:color="auto"/>
      </w:divBdr>
    </w:div>
    <w:div w:id="17718997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5.png"/><Relationship Id="rId18" Type="http://schemas.openxmlformats.org/officeDocument/2006/relationships/image" Target="media/image10.png"/><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image" Target="media/image9.png"/><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image" Target="media/image7.png"/><Relationship Id="rId10" Type="http://schemas.openxmlformats.org/officeDocument/2006/relationships/image" Target="media/image2.png"/><Relationship Id="rId19" Type="http://schemas.openxmlformats.org/officeDocument/2006/relationships/image" Target="media/image11.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hyperlink" Target="https://onlinelibrary.wiley.com/page/journal/13697625/homepage/forauthors.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A78E31-7899-4DD1-AD4C-1748A4C72B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TotalTime>
  <Pages>8</Pages>
  <Words>4249</Words>
  <Characters>24220</Characters>
  <Application>Microsoft Office Word</Application>
  <DocSecurity>0</DocSecurity>
  <Lines>201</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28413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Shakira Milton</dc:creator>
  <cp:keywords/>
  <dc:description/>
  <cp:lastModifiedBy>Shakira Milton</cp:lastModifiedBy>
  <cp:revision>4</cp:revision>
  <dcterms:created xsi:type="dcterms:W3CDTF">2022-03-08T01:45:00Z</dcterms:created>
  <dcterms:modified xsi:type="dcterms:W3CDTF">2022-03-08T04:38:00Z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b78eb136-8719-325e-833f-49cc4a8df511</vt:lpwstr>
  </property>
  <property fmtid="{D5CDD505-2E9C-101B-9397-08002B2CF9AE}" pid="4" name="Mendeley Citation Style_1">
    <vt:lpwstr>http://www.zotero.org/styles/american-medical-association</vt:lpwstr>
  </property>
  <property fmtid="{D5CDD505-2E9C-101B-9397-08002B2CF9AE}" pid="5" name="Mendeley Recent Style Id 0_1">
    <vt:lpwstr>http://www.zotero.org/styles/american-medical-association</vt:lpwstr>
  </property>
  <property fmtid="{D5CDD505-2E9C-101B-9397-08002B2CF9AE}" pid="6" name="Mendeley Recent Style Name 0_1">
    <vt:lpwstr>American Medical Association 11th edition</vt:lpwstr>
  </property>
  <property fmtid="{D5CDD505-2E9C-101B-9397-08002B2CF9AE}" pid="7" name="Mendeley Recent Style Id 1_1">
    <vt:lpwstr>http://www.zotero.org/styles/american-political-science-association</vt:lpwstr>
  </property>
  <property fmtid="{D5CDD505-2E9C-101B-9397-08002B2CF9AE}" pid="8" name="Mendeley Recent Style Name 1_1">
    <vt:lpwstr>American Political Science Association</vt:lpwstr>
  </property>
  <property fmtid="{D5CDD505-2E9C-101B-9397-08002B2CF9AE}" pid="9" name="Mendeley Recent Style Id 2_1">
    <vt:lpwstr>http://www.zotero.org/styles/apa</vt:lpwstr>
  </property>
  <property fmtid="{D5CDD505-2E9C-101B-9397-08002B2CF9AE}" pid="10" name="Mendeley Recent Style Name 2_1">
    <vt:lpwstr>American Psychological Association 7th edition</vt:lpwstr>
  </property>
  <property fmtid="{D5CDD505-2E9C-101B-9397-08002B2CF9AE}" pid="11" name="Mendeley Recent Style Id 3_1">
    <vt:lpwstr>http://www.zotero.org/styles/american-sociological-association</vt:lpwstr>
  </property>
  <property fmtid="{D5CDD505-2E9C-101B-9397-08002B2CF9AE}" pid="12" name="Mendeley Recent Style Name 3_1">
    <vt:lpwstr>American Sociological Association 6th edition</vt:lpwstr>
  </property>
  <property fmtid="{D5CDD505-2E9C-101B-9397-08002B2CF9AE}" pid="13" name="Mendeley Recent Style Id 4_1">
    <vt:lpwstr>http://www.zotero.org/styles/chicago-author-date</vt:lpwstr>
  </property>
  <property fmtid="{D5CDD505-2E9C-101B-9397-08002B2CF9AE}" pid="14" name="Mendeley Recent Style Name 4_1">
    <vt:lpwstr>Chicago Manual of Style 17th edition (author-date)</vt:lpwstr>
  </property>
  <property fmtid="{D5CDD505-2E9C-101B-9397-08002B2CF9AE}" pid="15" name="Mendeley Recent Style Id 5_1">
    <vt:lpwstr>http://www.zotero.org/styles/harvard-cite-them-right</vt:lpwstr>
  </property>
  <property fmtid="{D5CDD505-2E9C-101B-9397-08002B2CF9AE}" pid="16" name="Mendeley Recent Style Name 5_1">
    <vt:lpwstr>Cite Them Right 10th edition - Harvard</vt:lpwstr>
  </property>
  <property fmtid="{D5CDD505-2E9C-101B-9397-08002B2CF9AE}" pid="17" name="Mendeley Recent Style Id 6_1">
    <vt:lpwstr>http://www.zotero.org/styles/ieee</vt:lpwstr>
  </property>
  <property fmtid="{D5CDD505-2E9C-101B-9397-08002B2CF9AE}" pid="18" name="Mendeley Recent Style Name 6_1">
    <vt:lpwstr>IEEE</vt:lpwstr>
  </property>
  <property fmtid="{D5CDD505-2E9C-101B-9397-08002B2CF9AE}" pid="19" name="Mendeley Recent Style Id 7_1">
    <vt:lpwstr>http://www.zotero.org/styles/modern-humanities-research-association</vt:lpwstr>
  </property>
  <property fmtid="{D5CDD505-2E9C-101B-9397-08002B2CF9AE}" pid="20" name="Mendeley Recent Style Name 7_1">
    <vt:lpwstr>Modern Humanities Research Association 3rd edition (note with bibliography)</vt:lpwstr>
  </property>
  <property fmtid="{D5CDD505-2E9C-101B-9397-08002B2CF9AE}" pid="21" name="Mendeley Recent Style Id 8_1">
    <vt:lpwstr>http://www.zotero.org/styles/modern-language-association</vt:lpwstr>
  </property>
  <property fmtid="{D5CDD505-2E9C-101B-9397-08002B2CF9AE}" pid="22" name="Mendeley Recent Style Name 8_1">
    <vt:lpwstr>Modern Language Association 8th edition</vt:lpwstr>
  </property>
  <property fmtid="{D5CDD505-2E9C-101B-9397-08002B2CF9AE}" pid="23" name="Mendeley Recent Style Id 9_1">
    <vt:lpwstr>http://www.zotero.org/styles/vancouver</vt:lpwstr>
  </property>
  <property fmtid="{D5CDD505-2E9C-101B-9397-08002B2CF9AE}" pid="24" name="Mendeley Recent Style Name 9_1">
    <vt:lpwstr>Vancouver</vt:lpwstr>
  </property>
</Properties>
</file>