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1105C" w14:textId="77777777" w:rsidR="00B557BB" w:rsidRPr="00E7554B" w:rsidRDefault="00B557BB" w:rsidP="00B557BB">
      <w:pPr>
        <w:pStyle w:val="Heading2"/>
        <w:spacing w:line="360" w:lineRule="auto"/>
        <w:contextualSpacing/>
        <w:rPr>
          <w:rFonts w:ascii="Times" w:hAnsi="Times"/>
          <w:b/>
          <w:bCs w:val="0"/>
          <w:color w:val="000000" w:themeColor="text1"/>
          <w:sz w:val="24"/>
          <w:szCs w:val="24"/>
        </w:rPr>
      </w:pPr>
      <w:bookmarkStart w:id="0" w:name="_Toc75567107"/>
      <w:bookmarkStart w:id="1" w:name="_Toc84133688"/>
      <w:r w:rsidRPr="005B4A1D">
        <w:rPr>
          <w:rFonts w:ascii="Times" w:hAnsi="Times"/>
          <w:b/>
          <w:bCs w:val="0"/>
          <w:color w:val="000000" w:themeColor="text1"/>
          <w:sz w:val="24"/>
          <w:szCs w:val="24"/>
        </w:rPr>
        <w:t>Appendix</w:t>
      </w:r>
      <w:bookmarkEnd w:id="0"/>
      <w:bookmarkEnd w:id="1"/>
    </w:p>
    <w:p w14:paraId="7D1D501E" w14:textId="77777777" w:rsidR="00B557BB" w:rsidRPr="00CB08D2" w:rsidRDefault="00B557BB" w:rsidP="00B557BB">
      <w:pPr>
        <w:pStyle w:val="NormalWeb"/>
        <w:spacing w:before="0" w:beforeAutospacing="0" w:after="0" w:afterAutospacing="0"/>
        <w:contextualSpacing/>
        <w:jc w:val="center"/>
        <w:rPr>
          <w:rFonts w:ascii="Times" w:hAnsi="Times"/>
          <w:b/>
          <w:bCs w:val="0"/>
          <w:i/>
          <w:iCs w:val="0"/>
          <w:sz w:val="20"/>
          <w:szCs w:val="20"/>
        </w:rPr>
      </w:pPr>
      <w:r w:rsidRPr="00CB08D2">
        <w:rPr>
          <w:rFonts w:ascii="Times" w:hAnsi="Times"/>
          <w:sz w:val="20"/>
          <w:szCs w:val="21"/>
        </w:rPr>
        <w:t>Table A.</w:t>
      </w:r>
      <w:r w:rsidRPr="00CB08D2">
        <w:rPr>
          <w:rFonts w:ascii="Times" w:hAnsi="Times"/>
          <w:i/>
          <w:iCs w:val="0"/>
          <w:sz w:val="20"/>
          <w:szCs w:val="21"/>
        </w:rPr>
        <w:fldChar w:fldCharType="begin"/>
      </w:r>
      <w:r w:rsidRPr="00CB08D2">
        <w:rPr>
          <w:rFonts w:ascii="Times" w:hAnsi="Times"/>
          <w:sz w:val="20"/>
          <w:szCs w:val="21"/>
        </w:rPr>
        <w:instrText xml:space="preserve"> SEQ Table_3.A. \* ARABIC </w:instrText>
      </w:r>
      <w:r w:rsidRPr="00CB08D2">
        <w:rPr>
          <w:rFonts w:ascii="Times" w:hAnsi="Times"/>
          <w:i/>
          <w:iCs w:val="0"/>
          <w:sz w:val="20"/>
          <w:szCs w:val="21"/>
        </w:rPr>
        <w:fldChar w:fldCharType="separate"/>
      </w:r>
      <w:r w:rsidRPr="00CB08D2">
        <w:rPr>
          <w:rFonts w:ascii="Times" w:hAnsi="Times"/>
          <w:noProof/>
          <w:sz w:val="20"/>
          <w:szCs w:val="21"/>
        </w:rPr>
        <w:t>1</w:t>
      </w:r>
      <w:r w:rsidRPr="00CB08D2">
        <w:rPr>
          <w:rFonts w:ascii="Times" w:hAnsi="Times"/>
          <w:i/>
          <w:iCs w:val="0"/>
          <w:sz w:val="20"/>
          <w:szCs w:val="21"/>
        </w:rPr>
        <w:fldChar w:fldCharType="end"/>
      </w:r>
      <w:r w:rsidRPr="00CB08D2">
        <w:rPr>
          <w:rFonts w:ascii="Times" w:hAnsi="Times"/>
          <w:sz w:val="20"/>
          <w:szCs w:val="21"/>
          <w:lang w:val="en-GB"/>
        </w:rPr>
        <w:t xml:space="preserve"> Description of the control variables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5"/>
        <w:gridCol w:w="6501"/>
      </w:tblGrid>
      <w:tr w:rsidR="00B557BB" w:rsidRPr="008B6E47" w14:paraId="6339C4AE" w14:textId="77777777" w:rsidTr="0031123F">
        <w:trPr>
          <w:tblHeader/>
        </w:trPr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</w:tcPr>
          <w:p w14:paraId="68977FAA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Variable </w:t>
            </w:r>
          </w:p>
        </w:tc>
        <w:tc>
          <w:tcPr>
            <w:tcW w:w="6501" w:type="dxa"/>
            <w:tcBorders>
              <w:top w:val="single" w:sz="4" w:space="0" w:color="auto"/>
              <w:bottom w:val="single" w:sz="4" w:space="0" w:color="auto"/>
            </w:tcBorders>
          </w:tcPr>
          <w:p w14:paraId="170984D6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Description and measurement </w:t>
            </w:r>
          </w:p>
        </w:tc>
      </w:tr>
      <w:tr w:rsidR="00B557BB" w:rsidRPr="00507243" w14:paraId="0CC29B1E" w14:textId="77777777" w:rsidTr="0031123F">
        <w:tc>
          <w:tcPr>
            <w:tcW w:w="9026" w:type="dxa"/>
            <w:gridSpan w:val="2"/>
          </w:tcPr>
          <w:p w14:paraId="3A3B373B" w14:textId="77777777" w:rsidR="00B557BB" w:rsidRPr="00507243" w:rsidRDefault="00B557BB" w:rsidP="0031123F">
            <w:pPr>
              <w:contextualSpacing/>
              <w:jc w:val="both"/>
              <w:rPr>
                <w:rFonts w:ascii="Times" w:hAnsi="Times"/>
                <w:i/>
                <w:iCs w:val="0"/>
                <w:sz w:val="20"/>
                <w:szCs w:val="20"/>
              </w:rPr>
            </w:pPr>
            <w:r w:rsidRPr="00507243">
              <w:rPr>
                <w:rFonts w:ascii="Times" w:hAnsi="Times"/>
                <w:i/>
                <w:sz w:val="20"/>
                <w:szCs w:val="20"/>
              </w:rPr>
              <w:t>Head’s characteristics</w:t>
            </w:r>
          </w:p>
        </w:tc>
      </w:tr>
      <w:tr w:rsidR="00B557BB" w:rsidRPr="008B6E47" w14:paraId="7EFF8A88" w14:textId="77777777" w:rsidTr="0031123F">
        <w:tc>
          <w:tcPr>
            <w:tcW w:w="2525" w:type="dxa"/>
            <w:vAlign w:val="bottom"/>
          </w:tcPr>
          <w:p w14:paraId="20C588B8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Age </w:t>
            </w:r>
          </w:p>
        </w:tc>
        <w:tc>
          <w:tcPr>
            <w:tcW w:w="6501" w:type="dxa"/>
            <w:vAlign w:val="bottom"/>
          </w:tcPr>
          <w:p w14:paraId="551AC4DF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Age in years</w:t>
            </w:r>
          </w:p>
        </w:tc>
      </w:tr>
      <w:tr w:rsidR="00B557BB" w:rsidRPr="008B6E47" w14:paraId="45A29774" w14:textId="77777777" w:rsidTr="0031123F">
        <w:tc>
          <w:tcPr>
            <w:tcW w:w="2525" w:type="dxa"/>
            <w:vAlign w:val="bottom"/>
          </w:tcPr>
          <w:p w14:paraId="2C727659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Age squared/100 </w:t>
            </w:r>
          </w:p>
        </w:tc>
        <w:tc>
          <w:tcPr>
            <w:tcW w:w="6501" w:type="dxa"/>
            <w:vAlign w:val="bottom"/>
          </w:tcPr>
          <w:p w14:paraId="3E330062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Age squared divided by 100</w:t>
            </w:r>
          </w:p>
        </w:tc>
      </w:tr>
      <w:tr w:rsidR="00B557BB" w:rsidRPr="008B6E47" w14:paraId="2A9BC8BA" w14:textId="77777777" w:rsidTr="0031123F">
        <w:tc>
          <w:tcPr>
            <w:tcW w:w="2525" w:type="dxa"/>
            <w:vAlign w:val="bottom"/>
          </w:tcPr>
          <w:p w14:paraId="09990D8B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Female gender</w:t>
            </w:r>
          </w:p>
        </w:tc>
        <w:tc>
          <w:tcPr>
            <w:tcW w:w="6501" w:type="dxa"/>
            <w:vAlign w:val="bottom"/>
          </w:tcPr>
          <w:p w14:paraId="4FA93D26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Dummy: 1=female, 0=male</w:t>
            </w:r>
          </w:p>
        </w:tc>
      </w:tr>
      <w:tr w:rsidR="00B557BB" w:rsidRPr="008B6E47" w14:paraId="643BA12A" w14:textId="77777777" w:rsidTr="0031123F">
        <w:tc>
          <w:tcPr>
            <w:tcW w:w="2525" w:type="dxa"/>
            <w:vAlign w:val="bottom"/>
          </w:tcPr>
          <w:p w14:paraId="35704CF4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Married</w:t>
            </w:r>
          </w:p>
        </w:tc>
        <w:tc>
          <w:tcPr>
            <w:tcW w:w="6501" w:type="dxa"/>
            <w:vAlign w:val="bottom"/>
          </w:tcPr>
          <w:p w14:paraId="30450E20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Dummy: 1=married/consensual union, 0=unmarried</w:t>
            </w:r>
          </w:p>
        </w:tc>
      </w:tr>
      <w:tr w:rsidR="00B557BB" w:rsidRPr="008B6E47" w14:paraId="073FE5C2" w14:textId="77777777" w:rsidTr="0031123F">
        <w:tc>
          <w:tcPr>
            <w:tcW w:w="2525" w:type="dxa"/>
            <w:vAlign w:val="bottom"/>
          </w:tcPr>
          <w:p w14:paraId="5EA2A34B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Christian religion</w:t>
            </w:r>
          </w:p>
        </w:tc>
        <w:tc>
          <w:tcPr>
            <w:tcW w:w="6501" w:type="dxa"/>
            <w:vAlign w:val="bottom"/>
          </w:tcPr>
          <w:p w14:paraId="205F68B0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Dummy: 1=Christian, 0=others</w:t>
            </w:r>
          </w:p>
        </w:tc>
      </w:tr>
      <w:tr w:rsidR="00B557BB" w:rsidRPr="008B6E47" w14:paraId="755890A6" w14:textId="77777777" w:rsidTr="0031123F">
        <w:tc>
          <w:tcPr>
            <w:tcW w:w="2525" w:type="dxa"/>
            <w:vAlign w:val="bottom"/>
          </w:tcPr>
          <w:p w14:paraId="395DF155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Education</w:t>
            </w:r>
          </w:p>
        </w:tc>
        <w:tc>
          <w:tcPr>
            <w:tcW w:w="6501" w:type="dxa"/>
            <w:vAlign w:val="bottom"/>
          </w:tcPr>
          <w:p w14:paraId="64002A03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0=none, 1=basic, 2=secondary, 3=tertiary</w:t>
            </w:r>
          </w:p>
        </w:tc>
      </w:tr>
      <w:tr w:rsidR="00B557BB" w:rsidRPr="00507243" w14:paraId="0BC7FF4E" w14:textId="77777777" w:rsidTr="0031123F">
        <w:tc>
          <w:tcPr>
            <w:tcW w:w="9026" w:type="dxa"/>
            <w:gridSpan w:val="2"/>
            <w:vAlign w:val="bottom"/>
          </w:tcPr>
          <w:p w14:paraId="61B22F28" w14:textId="77777777" w:rsidR="00B557BB" w:rsidRPr="00507243" w:rsidRDefault="00B557BB" w:rsidP="0031123F">
            <w:pPr>
              <w:contextualSpacing/>
              <w:jc w:val="both"/>
              <w:rPr>
                <w:rFonts w:ascii="Times" w:hAnsi="Times"/>
                <w:i/>
                <w:iCs w:val="0"/>
                <w:sz w:val="20"/>
                <w:szCs w:val="20"/>
              </w:rPr>
            </w:pPr>
            <w:r w:rsidRPr="00507243">
              <w:rPr>
                <w:rFonts w:ascii="Times" w:hAnsi="Times"/>
                <w:i/>
                <w:sz w:val="20"/>
                <w:szCs w:val="20"/>
              </w:rPr>
              <w:t>Household characteristics</w:t>
            </w:r>
          </w:p>
        </w:tc>
      </w:tr>
      <w:tr w:rsidR="00B557BB" w:rsidRPr="00507243" w14:paraId="218F6265" w14:textId="77777777" w:rsidTr="0031123F">
        <w:tc>
          <w:tcPr>
            <w:tcW w:w="2525" w:type="dxa"/>
            <w:vAlign w:val="bottom"/>
          </w:tcPr>
          <w:p w14:paraId="129A0AC9" w14:textId="77777777" w:rsidR="00B557BB" w:rsidRPr="00507243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507243">
              <w:rPr>
                <w:rFonts w:ascii="Times" w:hAnsi="Times"/>
                <w:sz w:val="20"/>
                <w:szCs w:val="20"/>
              </w:rPr>
              <w:t xml:space="preserve">Family size </w:t>
            </w:r>
          </w:p>
        </w:tc>
        <w:tc>
          <w:tcPr>
            <w:tcW w:w="6501" w:type="dxa"/>
            <w:vAlign w:val="bottom"/>
          </w:tcPr>
          <w:p w14:paraId="3A9C8461" w14:textId="77777777" w:rsidR="00B557BB" w:rsidRPr="00507243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507243">
              <w:rPr>
                <w:rFonts w:ascii="Times" w:hAnsi="Times"/>
                <w:sz w:val="20"/>
                <w:szCs w:val="20"/>
              </w:rPr>
              <w:t>Number of household members</w:t>
            </w:r>
          </w:p>
        </w:tc>
      </w:tr>
      <w:tr w:rsidR="00B557BB" w:rsidRPr="008B6E47" w14:paraId="2180DD9C" w14:textId="77777777" w:rsidTr="0031123F">
        <w:tc>
          <w:tcPr>
            <w:tcW w:w="2525" w:type="dxa"/>
            <w:vAlign w:val="bottom"/>
          </w:tcPr>
          <w:p w14:paraId="14BE786A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Children under 18</w:t>
            </w:r>
          </w:p>
        </w:tc>
        <w:tc>
          <w:tcPr>
            <w:tcW w:w="6501" w:type="dxa"/>
            <w:vAlign w:val="center"/>
          </w:tcPr>
          <w:p w14:paraId="6A1E2511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Proportion of children under 18 years</w:t>
            </w:r>
          </w:p>
        </w:tc>
      </w:tr>
      <w:tr w:rsidR="00B557BB" w:rsidRPr="008B6E47" w14:paraId="30342086" w14:textId="77777777" w:rsidTr="0031123F">
        <w:tc>
          <w:tcPr>
            <w:tcW w:w="2525" w:type="dxa"/>
            <w:vAlign w:val="bottom"/>
          </w:tcPr>
          <w:p w14:paraId="67C27ABE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Adults 60 plus </w:t>
            </w:r>
          </w:p>
        </w:tc>
        <w:tc>
          <w:tcPr>
            <w:tcW w:w="6501" w:type="dxa"/>
          </w:tcPr>
          <w:p w14:paraId="2AEBB965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Proportion of elderly aged 60 plus</w:t>
            </w:r>
          </w:p>
        </w:tc>
      </w:tr>
      <w:tr w:rsidR="00B557BB" w:rsidRPr="008B6E47" w14:paraId="4F3F7DF7" w14:textId="77777777" w:rsidTr="0031123F">
        <w:tc>
          <w:tcPr>
            <w:tcW w:w="2525" w:type="dxa"/>
            <w:vAlign w:val="bottom"/>
          </w:tcPr>
          <w:p w14:paraId="5AD07D6F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Medical care usage </w:t>
            </w:r>
          </w:p>
          <w:p w14:paraId="0B68F37A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6501" w:type="dxa"/>
            <w:vAlign w:val="bottom"/>
          </w:tcPr>
          <w:p w14:paraId="5451553A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Percentage of household members who sought medical care in the two weeks preceding the survey</w:t>
            </w:r>
          </w:p>
        </w:tc>
      </w:tr>
      <w:tr w:rsidR="00B557BB" w:rsidRPr="008B6E47" w14:paraId="669AE004" w14:textId="77777777" w:rsidTr="0031123F">
        <w:tc>
          <w:tcPr>
            <w:tcW w:w="2525" w:type="dxa"/>
            <w:vAlign w:val="bottom"/>
          </w:tcPr>
          <w:p w14:paraId="51D05C26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 xml:space="preserve">Remittance receipt </w:t>
            </w:r>
          </w:p>
        </w:tc>
        <w:tc>
          <w:tcPr>
            <w:tcW w:w="6501" w:type="dxa"/>
            <w:vAlign w:val="bottom"/>
          </w:tcPr>
          <w:p w14:paraId="416BFB77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Dummy: 1=household receives internal remittance</w:t>
            </w:r>
            <w:r>
              <w:rPr>
                <w:rFonts w:ascii="Times" w:hAnsi="Times"/>
                <w:sz w:val="20"/>
                <w:szCs w:val="20"/>
                <w:lang w:val="en-GB"/>
              </w:rPr>
              <w:t>,</w:t>
            </w:r>
            <w:r w:rsidRPr="008B6E47">
              <w:rPr>
                <w:rFonts w:ascii="Times" w:hAnsi="Times"/>
                <w:sz w:val="20"/>
                <w:szCs w:val="20"/>
              </w:rPr>
              <w:t xml:space="preserve"> otherwise 0.  </w:t>
            </w:r>
          </w:p>
        </w:tc>
      </w:tr>
      <w:tr w:rsidR="00B557BB" w:rsidRPr="008B6E47" w14:paraId="0B47C73A" w14:textId="77777777" w:rsidTr="0031123F">
        <w:tc>
          <w:tcPr>
            <w:tcW w:w="2525" w:type="dxa"/>
            <w:vAlign w:val="bottom"/>
          </w:tcPr>
          <w:p w14:paraId="5E90E6D9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Consumption/capita</w:t>
            </w:r>
          </w:p>
        </w:tc>
        <w:tc>
          <w:tcPr>
            <w:tcW w:w="6501" w:type="dxa"/>
            <w:vAlign w:val="bottom"/>
          </w:tcPr>
          <w:p w14:paraId="77F4F429" w14:textId="77777777" w:rsidR="00B557BB" w:rsidRPr="008B6E47" w:rsidRDefault="00B557BB" w:rsidP="0031123F">
            <w:pPr>
              <w:contextualSpacing/>
              <w:jc w:val="both"/>
              <w:rPr>
                <w:rFonts w:ascii="Times" w:hAnsi="Times"/>
                <w:sz w:val="20"/>
                <w:szCs w:val="20"/>
              </w:rPr>
            </w:pPr>
            <w:r w:rsidRPr="008B6E47">
              <w:rPr>
                <w:rFonts w:ascii="Times" w:hAnsi="Times"/>
                <w:sz w:val="20"/>
                <w:szCs w:val="20"/>
              </w:rPr>
              <w:t>Total annual real household expenditure per capita</w:t>
            </w:r>
          </w:p>
        </w:tc>
      </w:tr>
    </w:tbl>
    <w:p w14:paraId="5BB2B923" w14:textId="77777777" w:rsidR="00B557BB" w:rsidRPr="0045299A" w:rsidRDefault="00B557BB" w:rsidP="00B557BB">
      <w:pPr>
        <w:spacing w:line="360" w:lineRule="auto"/>
        <w:contextualSpacing/>
        <w:jc w:val="both"/>
        <w:rPr>
          <w:rFonts w:ascii="Times" w:hAnsi="Times"/>
          <w:sz w:val="20"/>
          <w:szCs w:val="20"/>
        </w:rPr>
      </w:pPr>
      <w:r w:rsidRPr="008B6E47">
        <w:rPr>
          <w:rFonts w:ascii="Times" w:hAnsi="Times"/>
          <w:i/>
          <w:sz w:val="20"/>
          <w:szCs w:val="20"/>
        </w:rPr>
        <w:t xml:space="preserve">Notes: </w:t>
      </w:r>
      <w:r w:rsidRPr="008B6E47">
        <w:rPr>
          <w:rFonts w:ascii="Times" w:hAnsi="Times"/>
          <w:sz w:val="20"/>
          <w:szCs w:val="20"/>
        </w:rPr>
        <w:t xml:space="preserve">Region and cluster fixed effects were included in all estimations. </w:t>
      </w:r>
    </w:p>
    <w:p w14:paraId="624CFFE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7BB"/>
    <w:rsid w:val="00755780"/>
    <w:rsid w:val="00B5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5CED7"/>
  <w15:chartTrackingRefBased/>
  <w15:docId w15:val="{F28C19C2-5AB6-4F3D-A974-06EB8B6D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7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57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bCs/>
      <w:iCs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57BB"/>
    <w:rPr>
      <w:rFonts w:asciiTheme="majorHAnsi" w:eastAsiaTheme="majorEastAsia" w:hAnsiTheme="majorHAnsi" w:cstheme="majorBidi"/>
      <w:bCs/>
      <w:iCs/>
      <w:color w:val="2F5496" w:themeColor="accent1" w:themeShade="BF"/>
      <w:sz w:val="26"/>
      <w:szCs w:val="26"/>
      <w:lang/>
    </w:rPr>
  </w:style>
  <w:style w:type="table" w:styleId="TableGrid">
    <w:name w:val="Table Grid"/>
    <w:basedOn w:val="TableNormal"/>
    <w:uiPriority w:val="39"/>
    <w:rsid w:val="00B557BB"/>
    <w:pPr>
      <w:spacing w:after="0" w:line="240" w:lineRule="auto"/>
    </w:pPr>
    <w:rPr>
      <w:rFonts w:ascii="Times" w:hAnsi="Times" w:cs="Times New Roman (Headings CS)"/>
      <w:bCs/>
      <w:iCs/>
      <w:color w:val="000000" w:themeColor="text1"/>
      <w:sz w:val="24"/>
      <w:szCs w:val="24"/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557BB"/>
    <w:pPr>
      <w:spacing w:before="100" w:beforeAutospacing="1" w:after="100" w:afterAutospacing="1"/>
    </w:pPr>
    <w:rPr>
      <w:bCs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>Springer Nature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2022-10-05T08:11:00Z</dcterms:created>
  <dcterms:modified xsi:type="dcterms:W3CDTF">2022-10-05T08:11:00Z</dcterms:modified>
</cp:coreProperties>
</file>