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Supplement Tables</w:t>
      </w:r>
    </w:p>
    <w:tbl>
      <w:tblPr>
        <w:tblStyle w:val="2"/>
        <w:tblW w:w="4997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1361"/>
        <w:gridCol w:w="1346"/>
        <w:gridCol w:w="1697"/>
        <w:gridCol w:w="1057"/>
        <w:gridCol w:w="126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tcBorders>
              <w:bottom w:val="single" w:color="auto" w:sz="4" w:space="0"/>
            </w:tcBorders>
            <w:shd w:val="clear" w:color="auto" w:fill="9CC2E5" w:themeFill="accent1" w:themeFillTint="9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Name</w:t>
            </w:r>
          </w:p>
        </w:tc>
        <w:tc>
          <w:tcPr>
            <w:tcW w:w="798" w:type="pct"/>
            <w:tcBorders>
              <w:bottom w:val="single" w:color="auto" w:sz="4" w:space="0"/>
            </w:tcBorders>
            <w:shd w:val="clear" w:color="auto" w:fill="9CC2E5" w:themeFill="accent1" w:themeFillTint="9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Species</w:t>
            </w:r>
          </w:p>
        </w:tc>
        <w:tc>
          <w:tcPr>
            <w:tcW w:w="790" w:type="pct"/>
            <w:tcBorders>
              <w:bottom w:val="single" w:color="auto" w:sz="4" w:space="0"/>
            </w:tcBorders>
            <w:shd w:val="clear" w:color="auto" w:fill="9CC2E5" w:themeFill="accent1" w:themeFillTint="9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Company</w:t>
            </w:r>
          </w:p>
        </w:tc>
        <w:tc>
          <w:tcPr>
            <w:tcW w:w="996" w:type="pct"/>
            <w:tcBorders>
              <w:bottom w:val="single" w:color="auto" w:sz="4" w:space="0"/>
            </w:tcBorders>
            <w:shd w:val="clear" w:color="auto" w:fill="9CC2E5" w:themeFill="accent1" w:themeFillTint="9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Number</w:t>
            </w:r>
          </w:p>
        </w:tc>
        <w:tc>
          <w:tcPr>
            <w:tcW w:w="620" w:type="pct"/>
            <w:tcBorders>
              <w:bottom w:val="single" w:color="auto" w:sz="4" w:space="0"/>
            </w:tcBorders>
            <w:shd w:val="clear" w:color="auto" w:fill="9CC2E5" w:themeFill="accent1" w:themeFillTint="9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Dilution rate</w:t>
            </w:r>
          </w:p>
        </w:tc>
        <w:tc>
          <w:tcPr>
            <w:tcW w:w="744" w:type="pct"/>
            <w:tcBorders>
              <w:bottom w:val="single" w:color="auto" w:sz="4" w:space="0"/>
            </w:tcBorders>
            <w:shd w:val="clear" w:color="auto" w:fill="9CC2E5" w:themeFill="accent1" w:themeFillTint="9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Molecular size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 w:val="24"/>
                <w:szCs w:val="24"/>
              </w:rPr>
              <w:t>β-actin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66009-1-Ig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1:5000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42kDa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 w:val="24"/>
                <w:szCs w:val="24"/>
                <w:lang w:val="en-US" w:eastAsia="zh-CN"/>
              </w:rPr>
              <w:t>GAPDH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abcam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  <w:t>ab8245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微软雅黑" w:cs="Times New Roman"/>
                <w:sz w:val="24"/>
                <w:szCs w:val="24"/>
                <w:lang w:val="en-US" w:eastAsia="zh-CN"/>
              </w:rPr>
              <w:t>:</w:t>
            </w:r>
            <w:r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  <w:t>25/37</w:t>
            </w: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CD81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/>
              <w:ind w:left="0" w:right="0"/>
              <w:jc w:val="center"/>
              <w:outlineLvl w:val="4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66866-1-Ig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1:2000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22kDa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HSP70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/>
              <w:ind w:left="0" w:right="0"/>
              <w:jc w:val="center"/>
              <w:outlineLvl w:val="4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66183-1-Ig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1:2000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70kDa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TSG101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Rabbit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Proteintech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/>
              <w:ind w:left="0" w:right="0"/>
              <w:jc w:val="center"/>
              <w:outlineLvl w:val="4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14497-1-AP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1:2000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46kDa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MMP2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abcam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/>
              <w:ind w:left="0" w:right="0"/>
              <w:jc w:val="center"/>
              <w:outlineLvl w:val="4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ab92536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1:200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72/74kDa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MMP3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abcam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/>
              <w:ind w:left="0" w:right="0"/>
              <w:jc w:val="center"/>
              <w:outlineLvl w:val="4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Ab52915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1:200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50kDa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MMP9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Servicebio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4"/>
                <w:szCs w:val="24"/>
                <w:u w:val="none"/>
                <w:lang w:val="en-US" w:eastAsia="zh-CN" w:bidi="ar"/>
              </w:rPr>
              <w:t>GB12132-1</w:t>
            </w:r>
          </w:p>
        </w:tc>
        <w:tc>
          <w:tcPr>
            <w:tcW w:w="620" w:type="pct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1:100</w:t>
            </w:r>
            <w:r>
              <w:rPr>
                <w:rFonts w:hint="eastAsia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37kDa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MMP11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abcam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/>
              <w:ind w:left="0" w:right="0"/>
              <w:jc w:val="center"/>
              <w:outlineLvl w:val="4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ab236510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1:500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60kDa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4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MMP14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abcam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/>
              <w:ind w:left="0" w:right="0"/>
              <w:jc w:val="center"/>
              <w:outlineLvl w:val="4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ab51074</w:t>
            </w:r>
          </w:p>
        </w:tc>
        <w:tc>
          <w:tcPr>
            <w:tcW w:w="62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1:500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Cs/>
                <w:color w:val="000000"/>
                <w:sz w:val="24"/>
                <w:szCs w:val="24"/>
                <w:lang w:val="en-US" w:eastAsia="zh-CN"/>
              </w:rPr>
              <w:t>56kDa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848" w:type="pct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 w:val="24"/>
                <w:szCs w:val="24"/>
              </w:rPr>
              <w:t>HRP Goat Anti-Rabbit IgG (H+L)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ABclonal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AS014</w:t>
            </w:r>
          </w:p>
        </w:tc>
        <w:tc>
          <w:tcPr>
            <w:tcW w:w="1365" w:type="pct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1:5000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848" w:type="pct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Cs/>
                <w:sz w:val="24"/>
                <w:szCs w:val="24"/>
              </w:rPr>
              <w:t>HRP Goat Anti-Mouse IgG (H+L)</w:t>
            </w:r>
          </w:p>
        </w:tc>
        <w:tc>
          <w:tcPr>
            <w:tcW w:w="790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ABclonal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AS003</w:t>
            </w:r>
          </w:p>
        </w:tc>
        <w:tc>
          <w:tcPr>
            <w:tcW w:w="1365" w:type="pct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>1:5000</w:t>
            </w:r>
          </w:p>
        </w:tc>
      </w:tr>
    </w:tbl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 Table 1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detailed information of antibodies.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1728"/>
        <w:gridCol w:w="1728"/>
        <w:gridCol w:w="1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kern w:val="0"/>
                <w:sz w:val="24"/>
                <w:szCs w:val="24"/>
                <w:lang w:val="en-US" w:eastAsia="zh-CN" w:bidi="ar"/>
              </w:rPr>
              <w:t>Characteristic</w:t>
            </w:r>
          </w:p>
        </w:tc>
        <w:tc>
          <w:tcPr>
            <w:tcW w:w="1728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kern w:val="0"/>
                <w:sz w:val="24"/>
                <w:szCs w:val="24"/>
                <w:lang w:val="en-US" w:eastAsia="zh-CN" w:bidi="ar"/>
              </w:rPr>
              <w:t>Low expression of SNHG16</w:t>
            </w:r>
          </w:p>
        </w:tc>
        <w:tc>
          <w:tcPr>
            <w:tcW w:w="1728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kern w:val="0"/>
                <w:sz w:val="24"/>
                <w:szCs w:val="24"/>
                <w:lang w:val="en-US" w:eastAsia="zh-CN" w:bidi="ar"/>
              </w:rPr>
              <w:t>High expression of SNHG16</w:t>
            </w:r>
          </w:p>
        </w:tc>
        <w:tc>
          <w:tcPr>
            <w:tcW w:w="1016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 stage, n (%)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48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127 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9.1%)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(10.8%)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(14.8%)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(7.8%)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(13.7%)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(1.1%)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(2.4%)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 stage, n (%)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(49.2%)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(49.2%)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 (0.4%)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(1.2%)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 stage, n (%)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89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(48.2%)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92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(50.4%)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 (0.7%)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 (0.7%)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Age, meidan (IQR)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61 (53, 69)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61 (51, 69)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0.462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 Table 2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Baseline data of overall survivals of HCC patients from TCGA database with low and high SNHG16 expression.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tbl>
      <w:tblPr>
        <w:tblStyle w:val="2"/>
        <w:tblW w:w="49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2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CLINICAL SAMPLES(N=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 AT DIAGNOSIS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&gt;=60 years 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(58.1%)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&lt;60 years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(41.9%)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(29.7%)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(50.0%)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(14.9%)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(56.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MX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TNM STAGE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Ⅰ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.7%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Ⅱ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Ⅲ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Ⅳ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 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Baseline data table of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Lnc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SNHG16 expression in clinical HCC and para-HCC tissues.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1728"/>
        <w:gridCol w:w="2083"/>
        <w:gridCol w:w="9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kern w:val="0"/>
                <w:sz w:val="24"/>
                <w:szCs w:val="24"/>
                <w:lang w:val="en-US" w:eastAsia="zh-CN" w:bidi="ar"/>
              </w:rPr>
              <w:t>Characteristic</w:t>
            </w:r>
          </w:p>
        </w:tc>
        <w:tc>
          <w:tcPr>
            <w:tcW w:w="1728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kern w:val="0"/>
                <w:sz w:val="24"/>
                <w:szCs w:val="24"/>
                <w:lang w:val="en-US" w:eastAsia="zh-CN" w:bidi="ar"/>
              </w:rPr>
              <w:t>Low expression of SNHG16</w:t>
            </w:r>
          </w:p>
        </w:tc>
        <w:tc>
          <w:tcPr>
            <w:tcW w:w="2083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kern w:val="0"/>
                <w:sz w:val="24"/>
                <w:szCs w:val="24"/>
                <w:lang w:val="en-US" w:eastAsia="zh-CN" w:bidi="ar"/>
              </w:rPr>
              <w:t>High expression of SNHG16</w:t>
            </w:r>
          </w:p>
        </w:tc>
        <w:tc>
          <w:tcPr>
            <w:tcW w:w="95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95B3D7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 stage, n (%)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&lt; 0.0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48.5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20.0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20.0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66.6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7.8%)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(13.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 stage, n (%)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0.62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(4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9.1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51.1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 stage, n (%)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87.9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12.1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11.1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%)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1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Age, meidan (IQR)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61 (53, 69)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(51, 69)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100" w:right="100" w:firstLine="0"/>
              <w:jc w:val="center"/>
              <w:rPr>
                <w:rFonts w:hint="default" w:ascii="Times New Roman" w:hAnsi="Times New Roman" w:eastAsia="ＭＳ 明朝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0.462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 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4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Baseline data of overall survivals of HCC patients from clinical samples with low and high SNHG16 expression.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tbl>
      <w:tblPr>
        <w:tblStyle w:val="2"/>
        <w:tblW w:w="915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374"/>
        <w:gridCol w:w="1994"/>
        <w:gridCol w:w="1331"/>
        <w:gridCol w:w="1768"/>
        <w:gridCol w:w="10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nude</w:t>
            </w:r>
          </w:p>
        </w:tc>
        <w:tc>
          <w:tcPr>
            <w:tcW w:w="13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Attribute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nude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Attribute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nude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Attribute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13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mRNA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CAST7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XLOC_013174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CTC-444N24.11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TXNDC5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MAPKAPK5-AS1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CTA-292E10.9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CTC-444N24.11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XLOC_013174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DNAJC3-AS1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hsa-mir-194-5P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CTB-89H12.4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MALAT1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LCMQ1OT1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hsa-mir-200b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OIP5-AS1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SNHG15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hsa-mir-23a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SNHG22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hsa-mir-942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RPL21P3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XLOC_01374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AC007036.5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ZNRD1-AS1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AC000120.7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LINC00641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CTC-459F4.3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GJA9-MYCBP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EIF3J-AS1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LINC00938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MEG3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FLJ41278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FLJ46284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XLOC_011428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OIP5-AS1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KCNA3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ZBED3-AS1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SNORD64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KCNQ1OT1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Attribute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Attribute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nude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Attribute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LINC00641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NPHP3-ACAD11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LOC284581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PCBP2-OT1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DLEU2L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MAGIZ-AS3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SNAI3-AS1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DLX6-AS1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MEF2C-AS1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SNORA67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FLJ37201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MGC27345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SOX2-OT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GJA9-MYCBP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THTPA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IPW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SNHG16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AC005154.6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KANSL1-AS1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ZNRD1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BOLA3-AS1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KCNIP4-IT1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C5orf56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KCNQ1OT1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RP1-148H17.1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GUSBP11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LINC00548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SNHG16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MIR4534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XLOC_006283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HMBOX1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RFPL1S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AC004951.6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KCNQ1OT1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RMST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AC092535.3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LY86-AS1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RP11-553L6.5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ASB16-AS1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MIR4697HG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KCNQ1OT1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CKMT2-AS1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RP11-582E3.6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LINC00662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PMS2P11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THUMPD3-AS1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AP001372.2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TUG1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CIorf132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KCNQ1OT1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AP001372.2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LINC00662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CIorf132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LncRNA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 Table 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The ceRNA analysis of MMPs attributive table.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tbl>
      <w:tblPr>
        <w:tblStyle w:val="2"/>
        <w:tblW w:w="880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696"/>
        <w:gridCol w:w="1390"/>
        <w:gridCol w:w="1867"/>
        <w:gridCol w:w="1723"/>
        <w:gridCol w:w="1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#node1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node2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#node1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node2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#node1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CTB-89H12.4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LCMQ1OT1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OIP5-AS1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hsa-mir-200a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RPL21P3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AC007036.5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AC000120.7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GJA9-MYCBP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MALAT1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MEG3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XLOC_011428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OIP5-AS1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ZBED3-AS1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SNORD64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XLOC_013174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CTC-444N24.11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TXNDC5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MAPKAPK5-AS1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CTA-292E10.9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hsa-mir-103a-1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CTC-444N24.11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XLOC_013174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DNAJC3-AS1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KCNIP4-IT1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RP11-553L6.5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BOLA3-AS1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hsa-mir-206b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C5orf56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hsa-mir-207b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SNHG15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RP1-148H17.1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GUSBP11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hsa-mir-208b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SNHG22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SNHG16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hsa-mir-209b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XLOC_006283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HMBOX1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XLOC_01374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AC004951.6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KCNQ1OT1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ZNRD1-AS1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AC092535.3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LY86-AS1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CTC-459F4.3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ASB16-AS1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MIR4697HG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EIF3J-AS1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CKMT2-AS1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RP11-582E3.6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FLJ41278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PMS2P11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THUMPD3-AS1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FLJ46284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TUG1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KCNA3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KCNQ1OT1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AP001372.2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KCNQ1OT1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LINC00662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CIorf132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LINC00641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NPHP3-ACAD11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CASC7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LOC284581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PCBP2-OT1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DLEU2L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MAGIZ-AS3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SNAI3-AS1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DLX6-AS1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MEF2C-AS1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SNORA67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FLJ37201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MGC27345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SOX2-OT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GJA9-MYCBP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THTPA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IPW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SNHG16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AC005154.6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KANSL1-AS1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RMST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RFPL1S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MIR4534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 Table 6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information of MMPs ceRNA analysis.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tbl>
      <w:tblPr>
        <w:tblStyle w:val="2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6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Name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9CC2E5" w:themeFill="accent1" w:themeFillTint="9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Sequences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942-3p-R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CTCAACTGGTGTCGTGGAGTCGGCAATTCAGTTGAGACTTCTCT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942-3p -F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ACACTCCAGCTGGGCACATGGCCGAAACAG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H-SNHG16-F1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CAAGCCCACTACCAGTCTCA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H-SNHG16-R1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CTCACAATCATGGCGGAAGG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SNHG16-U1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TAGATTTTCTCTTATCTGCTGCCATGTGAGATGTGGCTTTCACCTTCCGCCATGATTGTGAGGCCTTCCCAGCCATGTAGAACTGTAAGTCCAATAAACCTCTTTTGTAAATTAAAAAAAAAAAATCACTATTTAAGATACTAGGATGGATTGTGACTGTTGAGGAGTACTTACATATCCTACATTTGACTACATTATTTCCAAACCAAGTATTCCATCCAAAGGAACATACTGCTATCATAGAGACCAAGGAGGGACTGTTTAAGGTTGCCAAGGTGAAGCGAGCTGAGAGGCTTTGTCCTCGTGCCAGTAACTCTGAAATCTCTCTTAATTCCTGCTGTCCAGGCAGCAGAATGCCATGGTTTCCCCAAGTAGGTAGCTGCTTTAGCAGTTAAAGCCCAAATGTCTGTTCTGTTGATCAGAGGTCTCTGAATTTCTGAAGTGGTGTTTCGAA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SNHG16-U1-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Mut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TAGATGAAGAGATATCAGGTCGGTACACAGATGTGGCTTTCACCTTCCGCCATGATTGTGAGGCCTTCCCAGCCATGTAGAACTGTAAGTCCAATAAACCTCTTTTGTAAATTAAAAAAAAAAAATCACTATTTAAGATACTAGGATGGATTGTGACTGTTGAGGAGTACTTACATATCCTACATTTGACTACATTATTTCCAAACCAAGTATTCCATCCAAAGGAACATACTGCTATCATAGAGACCAAGGAGGGACTGTTTAAGGTTGCCAAGGTGAAGCGAGCTGAGAGGCTTTGTCCTCGTGCCAGTAACTCTGAAATCTCTCTTAATTCCTGCTGTCCAGGCAGCAGAATGCCATGGTTTCCCCAAGTAGGTAGCTGCTTTAGCAGTTAAAGCCCAAATGTCTGTTCTGTTGATCAGAGGTCTCTGAATTTCTGAAGTGGTGTTTCGAA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XbaI-SNHG16-U1-FP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TGCTCTAGATTTTCTCTTATCTGCTGCCATGTGAG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EcoRI-SNHG16-U1-RP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CGGAATTCGAAACACCACTTCAGAAATTCAGAGACC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XbaI-SNHG16-U1-FP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-Mut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TGCTCTAGATGAAGAGATATCAGGTCGGTACACAGATGTGGCTTTCACCTTCCGCC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PGL3-MCS-sq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GATGACGCCGGTGAACTT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 3' UTR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CCTGCTTTGGCAGTGCCATGTA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MMP9-U1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TCTAGACCTGCTTTGGCAGTGCCATGTAGAATTC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MMP9-U1-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Mut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TCTAGACGAGGAGACGCACTCGGTACAAGAATTC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XbaI-MMP9-U1-FP2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CTAGACCTGCTTTGGCAGTGCCATGTAG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EcoRI-MMP9-U1-RP2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AATTCTACATGGCACTGCCAAAGCAGG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XbaI-MMP9-U1-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FP2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CTAGACGAGGAGACGCACTCGGTACAAG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EcoRI-MMP9-U1-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AATTCTTGTACCGAGTGCGTCTCCTCG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 Table 7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Primer sequences and mutative sequences of distinct RNAs in the study.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20970" cy="6327775"/>
            <wp:effectExtent l="0" t="0" r="11430" b="9525"/>
            <wp:docPr id="1" name="图片 1" descr="Supplement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0970" cy="63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Supplement Figure 1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The identification, transfection and drug screened of TCs. (A) TCs identifications by transmitted electron microscope and immunofluorescence bio-markers: CD34, CD117 and PDGFR-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α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. (B, C) SNHG16 vectors transfected TCs compared with the negative control vectors. (D) Different concentrations of drug screened in TCs.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F12CB"/>
    <w:rsid w:val="0F800EF6"/>
    <w:rsid w:val="168E4C27"/>
    <w:rsid w:val="176147F4"/>
    <w:rsid w:val="1BB50F44"/>
    <w:rsid w:val="27363A51"/>
    <w:rsid w:val="329D719B"/>
    <w:rsid w:val="35BF12CB"/>
    <w:rsid w:val="388A3BD0"/>
    <w:rsid w:val="4A603A5C"/>
    <w:rsid w:val="50536752"/>
    <w:rsid w:val="577C564C"/>
    <w:rsid w:val="5AE46584"/>
    <w:rsid w:val="5F6E599E"/>
    <w:rsid w:val="711A3733"/>
    <w:rsid w:val="74877769"/>
    <w:rsid w:val="750E56A8"/>
    <w:rsid w:val="774D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ascii="等线" w:hAnsi="等线" w:eastAsia="等线" w:cs="等线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162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2022-04-14T02:28:00Z</dcterms:created>
  <dc:creator>^O^</dc:creator>
  <cp:lastModifiedBy>^O^</cp:lastModifiedBy>
  <dcterms:modified xsi:type="dcterms:W3CDTF">2022-05-27T08:59:31Z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0CF2BD3C3ECC4ED69AEBD1399059681F</vt:lpwstr>
  </property>
</Properties>
</file>