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4E196" w14:textId="454E3EAE" w:rsidR="002C4E81" w:rsidRPr="00D5506A" w:rsidRDefault="0045091B" w:rsidP="0045091B">
      <w:pPr>
        <w:pStyle w:val="Ttulo1"/>
        <w:spacing w:line="480" w:lineRule="auto"/>
        <w:rPr>
          <w:lang w:val="en-US"/>
        </w:rPr>
      </w:pPr>
      <w:r w:rsidRPr="00D5506A">
        <w:rPr>
          <w:lang w:val="en-US"/>
        </w:rPr>
        <w:t>Electronic Supplementary Material 1</w:t>
      </w:r>
    </w:p>
    <w:p w14:paraId="47B413BE" w14:textId="77777777" w:rsidR="0045091B" w:rsidRPr="00D5506A" w:rsidRDefault="0045091B" w:rsidP="00581A50">
      <w:pPr>
        <w:spacing w:line="480" w:lineRule="auto"/>
        <w:rPr>
          <w:lang w:val="en-US"/>
        </w:rPr>
      </w:pPr>
    </w:p>
    <w:p w14:paraId="422DC018" w14:textId="57C0EF0F" w:rsidR="000F40B4" w:rsidRPr="00D5506A" w:rsidRDefault="00123D77" w:rsidP="00123D77">
      <w:pPr>
        <w:spacing w:line="480" w:lineRule="auto"/>
        <w:jc w:val="center"/>
        <w:rPr>
          <w:b/>
          <w:bCs/>
          <w:lang w:val="en-US"/>
        </w:rPr>
      </w:pPr>
      <w:r w:rsidRPr="00D5506A">
        <w:rPr>
          <w:b/>
          <w:bCs/>
          <w:lang w:val="en-US"/>
        </w:rPr>
        <w:t>Impact on technological properties, sensory acceptance, bioactive compounds, and nutritional quality of blend pinto beans and red rice for novel cookies</w:t>
      </w:r>
    </w:p>
    <w:p w14:paraId="1FA000BF" w14:textId="77777777" w:rsidR="00123D77" w:rsidRPr="00D5506A" w:rsidRDefault="00123D77" w:rsidP="00581A50">
      <w:pPr>
        <w:spacing w:line="480" w:lineRule="auto"/>
        <w:rPr>
          <w:lang w:val="en-US"/>
        </w:rPr>
      </w:pPr>
    </w:p>
    <w:p w14:paraId="45F9B7E1" w14:textId="47A59AD8" w:rsidR="002C4E81" w:rsidRPr="00FF4EF5" w:rsidRDefault="002C4E81" w:rsidP="00581A50">
      <w:pPr>
        <w:spacing w:line="480" w:lineRule="auto"/>
      </w:pPr>
      <w:bookmarkStart w:id="0" w:name="_Hlk103764509"/>
      <w:bookmarkStart w:id="1" w:name="_Hlk103764486"/>
      <w:r w:rsidRPr="00FF4EF5">
        <w:t>Camila Soares de Magalhães</w:t>
      </w:r>
      <w:r w:rsidR="00123D77" w:rsidRPr="00FF4EF5">
        <w:t xml:space="preserve"> </w:t>
      </w:r>
      <w:r w:rsidRPr="00FF4EF5">
        <w:rPr>
          <w:color w:val="0000CC"/>
          <w:vertAlign w:val="superscript"/>
        </w:rPr>
        <w:t>1</w:t>
      </w:r>
      <w:r w:rsidRPr="00FF4EF5">
        <w:t>, Gleicyane de Almeida Marques</w:t>
      </w:r>
      <w:r w:rsidR="00123D77" w:rsidRPr="00FF4EF5">
        <w:t xml:space="preserve"> </w:t>
      </w:r>
      <w:r w:rsidR="00123D77" w:rsidRPr="00FF4EF5">
        <w:rPr>
          <w:color w:val="0000CC"/>
          <w:vertAlign w:val="superscript"/>
        </w:rPr>
        <w:t>1</w:t>
      </w:r>
      <w:r w:rsidRPr="00FF4EF5">
        <w:t>, Ronel Joel Bazán-Colque</w:t>
      </w:r>
      <w:r w:rsidR="00123D77" w:rsidRPr="00FF4EF5">
        <w:t xml:space="preserve"> </w:t>
      </w:r>
      <w:r w:rsidRPr="00FF4EF5">
        <w:rPr>
          <w:color w:val="0000CC"/>
          <w:vertAlign w:val="superscript"/>
        </w:rPr>
        <w:t>2</w:t>
      </w:r>
      <w:r w:rsidRPr="00FF4EF5">
        <w:t>, Erica Aguiar Moraes</w:t>
      </w:r>
      <w:r w:rsidR="00123D77" w:rsidRPr="00FF4EF5">
        <w:t xml:space="preserve"> </w:t>
      </w:r>
      <w:r w:rsidRPr="00FF4EF5">
        <w:rPr>
          <w:color w:val="0000CC"/>
          <w:vertAlign w:val="superscript"/>
        </w:rPr>
        <w:t>1</w:t>
      </w:r>
      <w:r w:rsidRPr="00FF4EF5">
        <w:t>, Erika Madeira Moreira da Silva</w:t>
      </w:r>
      <w:r w:rsidR="00123D77" w:rsidRPr="00FF4EF5">
        <w:t xml:space="preserve"> </w:t>
      </w:r>
      <w:r w:rsidRPr="00FF4EF5">
        <w:rPr>
          <w:color w:val="0000CC"/>
          <w:vertAlign w:val="superscript"/>
        </w:rPr>
        <w:t>1</w:t>
      </w:r>
      <w:r w:rsidR="009E0B63" w:rsidRPr="00FF4EF5">
        <w:rPr>
          <w:vertAlign w:val="superscript"/>
        </w:rPr>
        <w:t>,</w:t>
      </w:r>
      <w:r w:rsidR="009E0B63" w:rsidRPr="00FF4EF5">
        <w:t>*</w:t>
      </w:r>
      <w:r w:rsidRPr="00FF4EF5">
        <w:t>, José Luis Ramirez Ascheri</w:t>
      </w:r>
      <w:r w:rsidR="00123D77" w:rsidRPr="00FF4EF5">
        <w:t xml:space="preserve"> </w:t>
      </w:r>
      <w:r w:rsidRPr="00FF4EF5">
        <w:rPr>
          <w:color w:val="0000CC"/>
          <w:vertAlign w:val="superscript"/>
        </w:rPr>
        <w:t>3</w:t>
      </w:r>
      <w:r w:rsidRPr="00FF4EF5">
        <w:t xml:space="preserve"> </w:t>
      </w:r>
    </w:p>
    <w:bookmarkEnd w:id="0"/>
    <w:p w14:paraId="18101AAB" w14:textId="77777777" w:rsidR="002C4E81" w:rsidRPr="00FF4EF5" w:rsidRDefault="002C4E81" w:rsidP="00581A50">
      <w:pPr>
        <w:spacing w:line="480" w:lineRule="auto"/>
      </w:pPr>
    </w:p>
    <w:p w14:paraId="3CDBC320" w14:textId="77777777" w:rsidR="002C4E81" w:rsidRPr="00FF4EF5" w:rsidRDefault="002C4E81" w:rsidP="00581A50">
      <w:pPr>
        <w:spacing w:line="480" w:lineRule="auto"/>
        <w:ind w:left="142" w:hanging="142"/>
      </w:pPr>
      <w:r w:rsidRPr="00FF4EF5">
        <w:rPr>
          <w:color w:val="0000CC"/>
          <w:vertAlign w:val="superscript"/>
        </w:rPr>
        <w:t>1</w:t>
      </w:r>
      <w:r w:rsidRPr="00FF4EF5">
        <w:t xml:space="preserve"> Postgraduate Program in Nutrition and Health, Center of Health Sciences, Universidade Federal do Espírito Santo, Avenida Marechal Campos 1468, CEP 29040-090, Vitória, ES, Brazil.</w:t>
      </w:r>
    </w:p>
    <w:p w14:paraId="55D97485" w14:textId="77777777" w:rsidR="002C4E81" w:rsidRPr="00FF4EF5" w:rsidRDefault="002C4E81" w:rsidP="00581A50">
      <w:pPr>
        <w:spacing w:line="480" w:lineRule="auto"/>
        <w:ind w:left="142" w:hanging="142"/>
      </w:pPr>
      <w:r w:rsidRPr="00FF4EF5">
        <w:rPr>
          <w:color w:val="0000CC"/>
          <w:vertAlign w:val="superscript"/>
        </w:rPr>
        <w:t>2</w:t>
      </w:r>
      <w:r w:rsidRPr="00FF4EF5">
        <w:t xml:space="preserve"> Postgraduate Program in Food Science and Technology, Universidade Federal Rural do Rio de Janeiro, Rodovia BR 465, Km 07, CEP 23890-000, Seropédica, RJ, Brazil.</w:t>
      </w:r>
    </w:p>
    <w:p w14:paraId="1258009D" w14:textId="77777777" w:rsidR="002C4E81" w:rsidRPr="00D5506A" w:rsidRDefault="002C4E81" w:rsidP="00581A50">
      <w:pPr>
        <w:spacing w:line="480" w:lineRule="auto"/>
        <w:ind w:left="142" w:hanging="142"/>
        <w:rPr>
          <w:lang w:val="en-US"/>
        </w:rPr>
      </w:pPr>
      <w:r w:rsidRPr="00D5506A">
        <w:rPr>
          <w:color w:val="0000CC"/>
          <w:vertAlign w:val="superscript"/>
          <w:lang w:val="en-US"/>
        </w:rPr>
        <w:t>3</w:t>
      </w:r>
      <w:r w:rsidRPr="00D5506A">
        <w:rPr>
          <w:lang w:val="en-US"/>
        </w:rPr>
        <w:t xml:space="preserve"> Food Extrusion and Physical Properties Laboratory, Embrapa Food Technology, Avenida das Américas 29501, CEP 23020-470, Guaratiba, RJ, Brazil.</w:t>
      </w:r>
    </w:p>
    <w:p w14:paraId="551C48E5" w14:textId="77777777" w:rsidR="002C4E81" w:rsidRPr="00D5506A" w:rsidRDefault="002C4E81" w:rsidP="00581A50">
      <w:pPr>
        <w:spacing w:line="480" w:lineRule="auto"/>
        <w:rPr>
          <w:lang w:val="en-US"/>
        </w:rPr>
      </w:pPr>
    </w:p>
    <w:p w14:paraId="39256C6F" w14:textId="47448959" w:rsidR="002C4E81" w:rsidRPr="00D5506A" w:rsidRDefault="002C4E81" w:rsidP="00581A50">
      <w:pPr>
        <w:spacing w:line="480" w:lineRule="auto"/>
        <w:ind w:left="142" w:hanging="142"/>
        <w:rPr>
          <w:lang w:val="en-US"/>
        </w:rPr>
        <w:sectPr w:rsidR="002C4E81" w:rsidRPr="00D5506A" w:rsidSect="00FF4EF5">
          <w:footerReference w:type="default" r:id="rId7"/>
          <w:endnotePr>
            <w:numFmt w:val="decimal"/>
            <w:numStart w:val="0"/>
          </w:endnotePr>
          <w:pgSz w:w="11907" w:h="16840" w:code="9"/>
          <w:pgMar w:top="907" w:right="680" w:bottom="907" w:left="1247" w:header="720" w:footer="284" w:gutter="0"/>
          <w:lnNumType w:countBy="1" w:restart="continuous"/>
          <w:cols w:space="720"/>
          <w:docGrid w:linePitch="272"/>
        </w:sectPr>
      </w:pPr>
      <w:r w:rsidRPr="00D5506A">
        <w:rPr>
          <w:lang w:val="en-US"/>
        </w:rPr>
        <w:t>*</w:t>
      </w:r>
      <w:r w:rsidRPr="00D5506A">
        <w:rPr>
          <w:lang w:val="en-US"/>
        </w:rPr>
        <w:tab/>
        <w:t xml:space="preserve">Corresponding author: </w:t>
      </w:r>
      <w:bookmarkStart w:id="2" w:name="_Hlk104113732"/>
      <w:r w:rsidRPr="00D5506A">
        <w:rPr>
          <w:lang w:val="en-US"/>
        </w:rPr>
        <w:t xml:space="preserve">E-mail address: </w:t>
      </w:r>
      <w:bookmarkEnd w:id="2"/>
      <w:r w:rsidR="009E0B63" w:rsidRPr="00D5506A">
        <w:rPr>
          <w:color w:val="0000CC"/>
          <w:lang w:val="en-US"/>
        </w:rPr>
        <w:fldChar w:fldCharType="begin"/>
      </w:r>
      <w:r w:rsidR="009E0B63" w:rsidRPr="00D5506A">
        <w:rPr>
          <w:color w:val="0000CC"/>
          <w:lang w:val="en-US"/>
        </w:rPr>
        <w:instrText xml:space="preserve"> HYPERLINK "mailto:erika.m.silva@ufes.br" </w:instrText>
      </w:r>
      <w:r w:rsidR="009E0B63" w:rsidRPr="00D5506A">
        <w:rPr>
          <w:color w:val="0000CC"/>
          <w:lang w:val="en-US"/>
        </w:rPr>
        <w:fldChar w:fldCharType="separate"/>
      </w:r>
      <w:r w:rsidR="009E0B63" w:rsidRPr="00D5506A">
        <w:rPr>
          <w:rStyle w:val="Hyperlink"/>
          <w:color w:val="0000CC"/>
          <w:lang w:val="en-US"/>
        </w:rPr>
        <w:t>erika.m.silva@ufes.br</w:t>
      </w:r>
      <w:r w:rsidR="009E0B63" w:rsidRPr="00D5506A">
        <w:rPr>
          <w:color w:val="0000CC"/>
          <w:lang w:val="en-US"/>
        </w:rPr>
        <w:fldChar w:fldCharType="end"/>
      </w:r>
      <w:r w:rsidR="009E0B63" w:rsidRPr="00D5506A">
        <w:rPr>
          <w:lang w:val="en-US"/>
        </w:rPr>
        <w:t xml:space="preserve"> </w:t>
      </w:r>
      <w:r w:rsidR="009E0939" w:rsidRPr="00D5506A">
        <w:rPr>
          <w:lang w:val="en-US"/>
        </w:rPr>
        <w:t xml:space="preserve"> </w:t>
      </w:r>
      <w:r w:rsidRPr="00D5506A">
        <w:rPr>
          <w:lang w:val="en-US"/>
        </w:rPr>
        <w:t xml:space="preserve">   </w:t>
      </w:r>
    </w:p>
    <w:bookmarkEnd w:id="1"/>
    <w:p w14:paraId="13D6B15E" w14:textId="1BAB975E" w:rsidR="00D40EB4" w:rsidRPr="00D5506A" w:rsidRDefault="00D40EB4" w:rsidP="00D40EB4">
      <w:pPr>
        <w:pStyle w:val="Ttulo1"/>
        <w:spacing w:line="480" w:lineRule="auto"/>
        <w:jc w:val="left"/>
        <w:rPr>
          <w:lang w:val="en-US"/>
        </w:rPr>
      </w:pPr>
      <w:r w:rsidRPr="00D5506A">
        <w:rPr>
          <w:lang w:val="en-US"/>
        </w:rPr>
        <w:lastRenderedPageBreak/>
        <w:t>Materials and methods</w:t>
      </w:r>
    </w:p>
    <w:p w14:paraId="15587A83" w14:textId="77777777" w:rsidR="00691676" w:rsidRPr="00D5506A" w:rsidRDefault="00691676" w:rsidP="00691676">
      <w:pPr>
        <w:pStyle w:val="Ttulo2"/>
        <w:rPr>
          <w:lang w:val="en-US"/>
        </w:rPr>
      </w:pPr>
      <w:r w:rsidRPr="00D5506A">
        <w:rPr>
          <w:lang w:val="en-US"/>
        </w:rPr>
        <w:t>Sample preparation</w:t>
      </w:r>
    </w:p>
    <w:p w14:paraId="7E60A27E" w14:textId="69F299D8" w:rsidR="00691676" w:rsidRPr="00D5506A" w:rsidRDefault="00691676" w:rsidP="00691676">
      <w:pPr>
        <w:spacing w:line="480" w:lineRule="auto"/>
        <w:rPr>
          <w:lang w:val="en-US"/>
        </w:rPr>
      </w:pPr>
      <w:r w:rsidRPr="00D5506A">
        <w:rPr>
          <w:lang w:val="en-US"/>
        </w:rPr>
        <w:t>Pinto beans (</w:t>
      </w:r>
      <w:r w:rsidRPr="00D5506A">
        <w:rPr>
          <w:i/>
          <w:iCs/>
          <w:lang w:val="en-US"/>
        </w:rPr>
        <w:t>Phaseolus vulgaris</w:t>
      </w:r>
      <w:r w:rsidRPr="00D5506A">
        <w:rPr>
          <w:lang w:val="en-US"/>
        </w:rPr>
        <w:t xml:space="preserve"> L.) BRS Cometa and red rice (</w:t>
      </w:r>
      <w:r w:rsidRPr="00D5506A">
        <w:rPr>
          <w:i/>
          <w:iCs/>
          <w:lang w:val="en-US"/>
        </w:rPr>
        <w:t>Oryza sativa</w:t>
      </w:r>
      <w:r w:rsidRPr="00D5506A">
        <w:rPr>
          <w:lang w:val="en-US"/>
        </w:rPr>
        <w:t xml:space="preserve"> L.) were used and were kindly provided by the Brazilian Agricultural Research Corporation (Embrapa). Pinto beans were soaked in water in a proportion of 1:5 (w/v) of water for about 12 h. The beans were drained and the beans were cooked in a pressure cooker for 30 min at a ratio of 1:2 (w/v) of water. The drained beans were distributed in trays and placed in a kiln with air circulation (Tecnal TE-394/2, São Paulo, Brazil) at 60 °C for 19 h. On the other hand, red rice grains were cooked with a ratio of 1:1.25 (w/v) of water for 30 minutes. After being cooked, rice was distributed in trays and placed in a kiln with air circulation at 70 °C for 5 h. Pinto beans and red rice, raw and processed, dried were milled separately using a rotor mill (Tecnal TE-651/2, São Paulo, Brazil) with a 2 mm mesh screen. The flours obtained were nominated pinto bean flour (</w:t>
      </w:r>
      <m:oMath>
        <m:r>
          <w:rPr>
            <w:rFonts w:ascii="Cambria Math" w:hAnsi="Cambria Math"/>
            <w:lang w:val="en-US"/>
          </w:rPr>
          <m:t>PBF</m:t>
        </m:r>
      </m:oMath>
      <w:r w:rsidRPr="00D5506A">
        <w:rPr>
          <w:lang w:val="en-US"/>
        </w:rPr>
        <w:t>) and red rice flour (</w:t>
      </w:r>
      <m:oMath>
        <m:r>
          <w:rPr>
            <w:rFonts w:ascii="Cambria Math" w:hAnsi="Cambria Math"/>
            <w:lang w:val="en-US"/>
          </w:rPr>
          <m:t>RRF</m:t>
        </m:r>
      </m:oMath>
      <w:r w:rsidRPr="00D5506A">
        <w:rPr>
          <w:lang w:val="en-US"/>
        </w:rPr>
        <w:t>), both raw and processed. All flours were packaged and stored in a glass container under refrigeration conditions (5 °C) until further use.</w:t>
      </w:r>
    </w:p>
    <w:p w14:paraId="47254587" w14:textId="77777777" w:rsidR="00691676" w:rsidRPr="00D5506A" w:rsidRDefault="00691676" w:rsidP="00691676">
      <w:pPr>
        <w:pStyle w:val="Ttulo2"/>
        <w:rPr>
          <w:lang w:val="en-US"/>
        </w:rPr>
      </w:pPr>
      <w:r w:rsidRPr="00D5506A">
        <w:rPr>
          <w:lang w:val="en-US"/>
        </w:rPr>
        <w:t>Electrophoresis of raw and processed flours</w:t>
      </w:r>
    </w:p>
    <w:p w14:paraId="1E7CEFA1" w14:textId="1250B2D7" w:rsidR="00691676" w:rsidRPr="00D5506A" w:rsidRDefault="00691676" w:rsidP="00691676">
      <w:pPr>
        <w:spacing w:line="480" w:lineRule="auto"/>
        <w:rPr>
          <w:lang w:val="en-US"/>
        </w:rPr>
      </w:pPr>
      <w:r w:rsidRPr="00D5506A">
        <w:rPr>
          <w:lang w:val="en-US"/>
        </w:rPr>
        <w:t xml:space="preserve">Electrophoresis of protein in a polyacrylamide gel, in the presence of sodium dodecyl sulfate (SDS/PAGE), was conducted according to the method proposed by Laemmli </w:t>
      </w:r>
      <w:r w:rsidRPr="00D5506A">
        <w:rPr>
          <w:lang w:val="en-US"/>
        </w:rPr>
        <w:fldChar w:fldCharType="begin" w:fldLock="1"/>
      </w:r>
      <w:r w:rsidR="00917B88" w:rsidRPr="00D5506A">
        <w:rPr>
          <w:lang w:val="en-US"/>
        </w:rPr>
        <w:instrText>ADDIN CSL_CITATION {"citationItems":[{"id":"ITEM-1","itemData":{"DOI":"10.1038/227680a0","ISSN":"1476-4687","abstract":"Using an improved method of gel electrophoresis, many hitherto unknown proteins have been found in bacteriophage T4 and some of these have been identified with specific gene products. Four major components of the head are cleaved during the process of assembly, apparently after the precursor proteins have assembled into some large intermediate structure.","author":[{"dropping-particle":"","family":"LAEMMLI","given":"U. K.","non-dropping-particle":"","parse-names":false,"suffix":""}],"container-title":"Nature 1970 227:5259","id":"ITEM-1","issue":"5259","issued":{"date-parts":[["1970"]]},"page":"680-685","publisher":"Nature Publishing Group","title":"Cleavage of Structural Proteins during the Assembly of the Head of Bacteriophage T4","type":"article-journal","volume":"227"},"uris":["http://www.mendeley.com/documents/?uuid=e947ffb1-87fa-3a3d-b897-4e288a698c06"]}],"mendeley":{"formattedCitation":"[1]","plainTextFormattedCitation":"[1]","previouslyFormattedCitation":"[1]"},"properties":{"noteIndex":0},"schema":"https://github.com/citation-style-language/schema/raw/master/csl-citation.json"}</w:instrText>
      </w:r>
      <w:r w:rsidRPr="00D5506A">
        <w:rPr>
          <w:lang w:val="en-US"/>
        </w:rPr>
        <w:fldChar w:fldCharType="separate"/>
      </w:r>
      <w:r w:rsidRPr="00D5506A">
        <w:rPr>
          <w:noProof/>
          <w:lang w:val="en-US"/>
        </w:rPr>
        <w:t>[</w:t>
      </w:r>
      <w:r w:rsidRPr="00D5506A">
        <w:rPr>
          <w:noProof/>
          <w:color w:val="0000CC"/>
          <w:lang w:val="en-US"/>
        </w:rPr>
        <w:t>1</w:t>
      </w:r>
      <w:r w:rsidRPr="00D5506A">
        <w:rPr>
          <w:noProof/>
          <w:lang w:val="en-US"/>
        </w:rPr>
        <w:t>]</w:t>
      </w:r>
      <w:r w:rsidRPr="00D5506A">
        <w:rPr>
          <w:lang w:val="en-US"/>
        </w:rPr>
        <w:fldChar w:fldCharType="end"/>
      </w:r>
      <w:r w:rsidRPr="00D5506A">
        <w:rPr>
          <w:lang w:val="en-US"/>
        </w:rPr>
        <w:t>, using 1 mm spacers, a packing gel (3.5%), and a separating gel (12%). The molecular weight standard used was unstained natural broad-range with molecular weights ranging from 6400 to 200000 g·mol</w:t>
      </w:r>
      <w:r w:rsidRPr="00D5506A">
        <w:rPr>
          <w:vertAlign w:val="superscript"/>
          <w:lang w:val="en-US"/>
        </w:rPr>
        <w:t>-1</w:t>
      </w:r>
      <w:r w:rsidRPr="00D5506A">
        <w:rPr>
          <w:lang w:val="en-US"/>
        </w:rPr>
        <w:t>.</w:t>
      </w:r>
    </w:p>
    <w:p w14:paraId="6A9CDEB9" w14:textId="77777777" w:rsidR="00691676" w:rsidRPr="00D5506A" w:rsidRDefault="00691676" w:rsidP="00691676">
      <w:pPr>
        <w:pStyle w:val="Ttulo2"/>
        <w:rPr>
          <w:lang w:val="en-US"/>
        </w:rPr>
      </w:pPr>
      <w:r w:rsidRPr="00D5506A">
        <w:rPr>
          <w:lang w:val="en-US"/>
        </w:rPr>
        <w:t>Cookies making processing</w:t>
      </w:r>
    </w:p>
    <w:p w14:paraId="3F4296F4" w14:textId="32339351" w:rsidR="00691676" w:rsidRPr="00D5506A" w:rsidRDefault="00691676" w:rsidP="00691676">
      <w:pPr>
        <w:spacing w:line="480" w:lineRule="auto"/>
        <w:rPr>
          <w:lang w:val="en-US"/>
        </w:rPr>
      </w:pPr>
      <w:r w:rsidRPr="00D5506A">
        <w:rPr>
          <w:lang w:val="en-US"/>
        </w:rPr>
        <w:t>Cookies were prepared using pinto bean flour (</w:t>
      </w:r>
      <m:oMath>
        <m:r>
          <w:rPr>
            <w:rFonts w:ascii="Cambria Math" w:hAnsi="Cambria Math"/>
            <w:lang w:val="en-US"/>
          </w:rPr>
          <m:t>PBF</m:t>
        </m:r>
      </m:oMath>
      <w:r w:rsidRPr="00D5506A">
        <w:rPr>
          <w:lang w:val="en-US"/>
        </w:rPr>
        <w:t>) and red rice flour (</w:t>
      </w:r>
      <m:oMath>
        <m:r>
          <w:rPr>
            <w:rFonts w:ascii="Cambria Math" w:hAnsi="Cambria Math"/>
            <w:lang w:val="en-US"/>
          </w:rPr>
          <m:t>RRF</m:t>
        </m:r>
      </m:oMath>
      <w:r w:rsidRPr="00D5506A">
        <w:rPr>
          <w:lang w:val="en-US"/>
        </w:rPr>
        <w:t xml:space="preserve">) blends, as well as margarine, in different proportions established by the experimental design (Table </w:t>
      </w:r>
      <w:r w:rsidRPr="00D5506A">
        <w:rPr>
          <w:color w:val="0000CC"/>
          <w:lang w:val="en-US"/>
        </w:rPr>
        <w:t>1</w:t>
      </w:r>
      <w:r w:rsidRPr="00D5506A">
        <w:rPr>
          <w:lang w:val="en-US"/>
        </w:rPr>
        <w:t>). Other ingredients were: sugar, corn starch, milk powder, water, artificial vanilla extract, polydextrose, honey, ammoniac salt, baking soda, soy lecithin, xanthan gum, and salt. All dried ingredients were mixed and kneaded together. The dough was made into sheets and cut into circular shapes of 5 cm diameter and weighed. The cookies were then baked at 150 °C for 30 min in an electric oven 13687-15635 (Fischer Turbo Fast Bancada 80L, Santa Catarina, Brazil). The baked cookies were cooled, stored in biaxially oriented polypropylene (</w:t>
      </w:r>
      <m:oMath>
        <m:r>
          <w:rPr>
            <w:rFonts w:ascii="Cambria Math" w:hAnsi="Cambria Math"/>
            <w:lang w:val="en-US"/>
          </w:rPr>
          <m:t>BOPP</m:t>
        </m:r>
      </m:oMath>
      <w:r w:rsidRPr="00D5506A">
        <w:rPr>
          <w:lang w:val="en-US"/>
        </w:rPr>
        <w:t xml:space="preserve">) bags, and kept at room temperature until further analysis. The </w:t>
      </w:r>
      <w:r w:rsidRPr="00D5506A">
        <w:rPr>
          <w:lang w:val="en-US"/>
        </w:rPr>
        <w:lastRenderedPageBreak/>
        <w:t>invention protection application was required on September 26, 2020 (Technological Innovation Directorate, Federal University of Espirito Santo, Vitória, Espirito Santo, Brazil; process number 23068.062723/2019-31).</w:t>
      </w:r>
    </w:p>
    <w:p w14:paraId="288C1517" w14:textId="77777777" w:rsidR="00917B88" w:rsidRPr="00D5506A" w:rsidRDefault="00917B88" w:rsidP="00917B88">
      <w:pPr>
        <w:pStyle w:val="Ttulo2"/>
        <w:rPr>
          <w:lang w:val="en-US"/>
        </w:rPr>
      </w:pPr>
      <w:r w:rsidRPr="00D5506A">
        <w:rPr>
          <w:lang w:val="en-US"/>
        </w:rPr>
        <w:t xml:space="preserve">Technological properties </w:t>
      </w:r>
    </w:p>
    <w:p w14:paraId="78114902" w14:textId="61074820" w:rsidR="00917B88" w:rsidRPr="00D5506A" w:rsidRDefault="00917B88" w:rsidP="0027313A">
      <w:pPr>
        <w:spacing w:line="480" w:lineRule="auto"/>
        <w:rPr>
          <w:lang w:val="en-US"/>
        </w:rPr>
      </w:pPr>
      <w:r w:rsidRPr="00D5506A">
        <w:rPr>
          <w:lang w:val="en-US"/>
        </w:rPr>
        <w:t>Ten cookies from the same batch were randomly selected to be analyzed by weight reduction (</w:t>
      </w:r>
      <m:oMath>
        <m:r>
          <w:rPr>
            <w:rFonts w:ascii="Cambria Math" w:hAnsi="Cambria Math"/>
            <w:lang w:val="en-US"/>
          </w:rPr>
          <m:t>WR</m:t>
        </m:r>
      </m:oMath>
      <w:r w:rsidRPr="00D5506A">
        <w:rPr>
          <w:lang w:val="en-US"/>
        </w:rPr>
        <w:t>), diameter ratio (</w:t>
      </w:r>
      <m:oMath>
        <m:r>
          <w:rPr>
            <w:rFonts w:ascii="Cambria Math" w:hAnsi="Cambria Math"/>
            <w:lang w:val="en-US"/>
          </w:rPr>
          <m:t>DR</m:t>
        </m:r>
      </m:oMath>
      <w:r w:rsidRPr="00D5506A">
        <w:rPr>
          <w:lang w:val="en-US"/>
        </w:rPr>
        <w:t>), thickness ratio (</w:t>
      </w:r>
      <m:oMath>
        <m:r>
          <w:rPr>
            <w:rFonts w:ascii="Cambria Math" w:hAnsi="Cambria Math"/>
            <w:lang w:val="en-US"/>
          </w:rPr>
          <m:t>TR</m:t>
        </m:r>
      </m:oMath>
      <w:r w:rsidRPr="00D5506A">
        <w:rPr>
          <w:lang w:val="en-US"/>
        </w:rPr>
        <w:t>), expansion factor (</w:t>
      </w:r>
      <m:oMath>
        <m:r>
          <w:rPr>
            <w:rFonts w:ascii="Cambria Math" w:hAnsi="Cambria Math"/>
            <w:lang w:val="en-US"/>
          </w:rPr>
          <m:t>EF</m:t>
        </m:r>
      </m:oMath>
      <w:r w:rsidRPr="00D5506A">
        <w:rPr>
          <w:lang w:val="en-US"/>
        </w:rPr>
        <w:t>), specific volume (</w:t>
      </w:r>
      <m:oMath>
        <m:r>
          <w:rPr>
            <w:rFonts w:ascii="Cambria Math" w:hAnsi="Cambria Math"/>
            <w:lang w:val="en-US"/>
          </w:rPr>
          <m:t>SV</m:t>
        </m:r>
      </m:oMath>
      <w:r w:rsidRPr="00D5506A">
        <w:rPr>
          <w:lang w:val="en-US"/>
        </w:rPr>
        <w:t>), and hardness (</w:t>
      </w:r>
      <m:oMath>
        <m:r>
          <w:rPr>
            <w:rFonts w:ascii="Cambria Math" w:hAnsi="Cambria Math"/>
            <w:lang w:val="en-US"/>
          </w:rPr>
          <m:t>H</m:t>
        </m:r>
      </m:oMath>
      <w:r w:rsidRPr="00D5506A">
        <w:rPr>
          <w:lang w:val="en-US"/>
        </w:rPr>
        <w:t xml:space="preserve">) according to the method 10-50D </w:t>
      </w:r>
      <w:r w:rsidRPr="00D5506A">
        <w:rPr>
          <w:lang w:val="en-US"/>
        </w:rPr>
        <w:fldChar w:fldCharType="begin" w:fldLock="1"/>
      </w:r>
      <w:r w:rsidRPr="00D5506A">
        <w:rPr>
          <w:lang w:val="en-US"/>
        </w:rPr>
        <w:instrText>ADDIN CSL_CITATION {"citationItems":[{"id":"ITEM-1","itemData":{"author":[{"dropping-particle":"","family":"AACC","given":"","non-dropping-particle":"","parse-names":false,"suffix":""}],"id":"ITEM-1","issued":{"date-parts":[["1995"]]},"publisher":"9th ed. Saint Paul","publisher-place":"9th ed. Saint Paul","title":"Approved Methods of the American Association of Cereal Chemists","type":"article"},"uris":["http://www.mendeley.com/documents/?uuid=4dd9d573-15b1-4572-847b-49333d053944"]}],"mendeley":{"formattedCitation":"[2]","plainTextFormattedCitation":"[2]","previouslyFormattedCitation":"[2]"},"properties":{"noteIndex":0},"schema":"https://github.com/citation-style-language/schema/raw/master/csl-citation.json"}</w:instrText>
      </w:r>
      <w:r w:rsidRPr="00D5506A">
        <w:rPr>
          <w:lang w:val="en-US"/>
        </w:rPr>
        <w:fldChar w:fldCharType="separate"/>
      </w:r>
      <w:r w:rsidRPr="00D5506A">
        <w:rPr>
          <w:noProof/>
          <w:lang w:val="en-US"/>
        </w:rPr>
        <w:t>[</w:t>
      </w:r>
      <w:r w:rsidRPr="00D5506A">
        <w:rPr>
          <w:noProof/>
          <w:color w:val="0000CC"/>
          <w:lang w:val="en-US"/>
        </w:rPr>
        <w:t>2</w:t>
      </w:r>
      <w:r w:rsidRPr="00D5506A">
        <w:rPr>
          <w:noProof/>
          <w:lang w:val="en-US"/>
        </w:rPr>
        <w:t>]</w:t>
      </w:r>
      <w:r w:rsidRPr="00D5506A">
        <w:rPr>
          <w:lang w:val="en-US"/>
        </w:rPr>
        <w:fldChar w:fldCharType="end"/>
      </w:r>
      <w:r w:rsidRPr="00D5506A">
        <w:rPr>
          <w:lang w:val="en-US"/>
        </w:rPr>
        <w:t xml:space="preserve">. For </w:t>
      </w:r>
      <m:oMath>
        <m:r>
          <w:rPr>
            <w:rFonts w:ascii="Cambria Math" w:hAnsi="Cambria Math"/>
            <w:lang w:val="en-US"/>
          </w:rPr>
          <m:t>DR</m:t>
        </m:r>
      </m:oMath>
      <w:r w:rsidRPr="00D5506A">
        <w:rPr>
          <w:lang w:val="en-US"/>
        </w:rPr>
        <w:t xml:space="preserve"> and </w:t>
      </w:r>
      <m:oMath>
        <m:r>
          <w:rPr>
            <w:rFonts w:ascii="Cambria Math" w:hAnsi="Cambria Math"/>
            <w:lang w:val="en-US"/>
          </w:rPr>
          <m:t>TR</m:t>
        </m:r>
      </m:oMath>
      <w:r w:rsidRPr="00D5506A">
        <w:rPr>
          <w:lang w:val="en-US"/>
        </w:rPr>
        <w:t xml:space="preserve">, a Vernier Calliper pachymeter (150 x 0.05 mm) was used. Furthermore, </w:t>
      </w:r>
      <m:oMath>
        <m:r>
          <w:rPr>
            <w:rFonts w:ascii="Cambria Math" w:hAnsi="Cambria Math"/>
            <w:lang w:val="en-US"/>
          </w:rPr>
          <m:t>H</m:t>
        </m:r>
      </m:oMath>
      <w:r w:rsidRPr="00D5506A">
        <w:rPr>
          <w:lang w:val="en-US"/>
        </w:rPr>
        <w:t xml:space="preserve"> was measured by using the texture analyzer TA. XTplus (Stable Micro Systems, Surrey, UK) in a compression mode with a 2 mm sharp-blade cutting probe. The equipment was calibrated to a standard of 5 kg. The test configuration was adapted to meet the sample characteristics, as follows: test speed 1.0 mm/s; posttest speed 10 mm/s; distance 40 mm, and trigger forcer 20 g. The peak force required to snap the cookie was recorded and expressed in Newton (N).</w:t>
      </w:r>
    </w:p>
    <w:p w14:paraId="5FED0B98" w14:textId="77777777" w:rsidR="00917B88" w:rsidRPr="00D5506A" w:rsidRDefault="00917B88" w:rsidP="00917B88">
      <w:pPr>
        <w:pStyle w:val="Ttulo2"/>
        <w:rPr>
          <w:lang w:val="en-US"/>
        </w:rPr>
      </w:pPr>
      <w:r w:rsidRPr="00D5506A">
        <w:rPr>
          <w:lang w:val="en-US"/>
        </w:rPr>
        <w:t>Sensory analysis</w:t>
      </w:r>
    </w:p>
    <w:p w14:paraId="1875F000" w14:textId="3F729103" w:rsidR="00917B88" w:rsidRPr="00D5506A" w:rsidRDefault="00917B88" w:rsidP="0027313A">
      <w:pPr>
        <w:spacing w:line="480" w:lineRule="auto"/>
        <w:rPr>
          <w:lang w:val="en-US"/>
        </w:rPr>
      </w:pPr>
      <w:r w:rsidRPr="00D5506A">
        <w:rPr>
          <w:lang w:val="en-US"/>
        </w:rPr>
        <w:t>All cookies were subjected to sensory evaluation with 57 untrained panelists. Samples were offered, randomly and encoded with three digits. The cookie acceptance index was measured based on flavor, color, aroma, appearance (</w:t>
      </w:r>
      <m:oMath>
        <m:r>
          <w:rPr>
            <w:rFonts w:ascii="Cambria Math" w:hAnsi="Cambria Math"/>
            <w:lang w:val="en-US"/>
          </w:rPr>
          <m:t>App</m:t>
        </m:r>
      </m:oMath>
      <w:r w:rsidRPr="00D5506A">
        <w:rPr>
          <w:lang w:val="en-US"/>
        </w:rPr>
        <w:t>), texture, and purchase intention (</w:t>
      </w:r>
      <m:oMath>
        <m:r>
          <w:rPr>
            <w:rFonts w:ascii="Cambria Math" w:hAnsi="Cambria Math"/>
            <w:lang w:val="en-US"/>
          </w:rPr>
          <m:t>PI</m:t>
        </m:r>
      </m:oMath>
      <w:r w:rsidRPr="00D5506A">
        <w:rPr>
          <w:lang w:val="en-US"/>
        </w:rPr>
        <w:t>) (Table</w:t>
      </w:r>
      <w:r w:rsidRPr="00D5506A">
        <w:rPr>
          <w:color w:val="0000CC"/>
          <w:lang w:val="en-US"/>
        </w:rPr>
        <w:t xml:space="preserve"> 1</w:t>
      </w:r>
      <w:r w:rsidRPr="00D5506A">
        <w:rPr>
          <w:lang w:val="en-US"/>
        </w:rPr>
        <w:t>). Ratings were conducted on a 9-point structured hedonic scale (9 - like extremely to 1 - dislike extremely). The acceptance rate was made based on the scores obtained in the sensory analysis. Acceptable cookies show ratings greater than 70%</w:t>
      </w:r>
      <w:r w:rsidR="00123D77" w:rsidRPr="00D5506A">
        <w:rPr>
          <w:lang w:val="en-US"/>
        </w:rPr>
        <w:t xml:space="preserve"> </w:t>
      </w:r>
      <w:r w:rsidR="00123D77" w:rsidRPr="00D5506A">
        <w:rPr>
          <w:lang w:val="en-US"/>
        </w:rPr>
        <w:fldChar w:fldCharType="begin" w:fldLock="1"/>
      </w:r>
      <w:r w:rsidR="00123D77" w:rsidRPr="00D5506A">
        <w:rPr>
          <w:lang w:val="en-US"/>
        </w:rPr>
        <w:instrText>ADDIN CSL_CITATION {"citationItems":[{"id":"ITEM-1","itemData":{"ISBN":"9788554945473","author":[{"dropping-particle":"","family":"Dutcosky","given":"Silvia Deboni","non-dropping-particle":"","parse-names":false,"suffix":""}],"edition":"2nd","editor":[{"dropping-particle":"","family":"Champagnat - Pucpress","given":"","non-dropping-particle":"","parse-names":false,"suffix":""}],"id":"ITEM-1","issued":{"date-parts":[["2019"]]},"number-of-pages":"540","publisher":"Champagnat","publisher-place":"Curitiba","title":"Análise Sensorial de Alimentos","type":"book"},"uris":["http://www.mendeley.com/documents/?uuid=334d593f-d7af-31c9-ac0d-0a7d7269c7fe"]}],"mendeley":{"formattedCitation":"[3]","plainTextFormattedCitation":"[3]","previouslyFormattedCitation":"[3]"},"properties":{"noteIndex":0},"schema":"https://github.com/citation-style-language/schema/raw/master/csl-citation.json"}</w:instrText>
      </w:r>
      <w:r w:rsidR="00123D77" w:rsidRPr="00D5506A">
        <w:rPr>
          <w:lang w:val="en-US"/>
        </w:rPr>
        <w:fldChar w:fldCharType="separate"/>
      </w:r>
      <w:r w:rsidR="00123D77" w:rsidRPr="00D5506A">
        <w:rPr>
          <w:noProof/>
          <w:lang w:val="en-US"/>
        </w:rPr>
        <w:t>[</w:t>
      </w:r>
      <w:r w:rsidR="00123D77" w:rsidRPr="00D5506A">
        <w:rPr>
          <w:noProof/>
          <w:color w:val="0000CC"/>
          <w:lang w:val="en-US"/>
        </w:rPr>
        <w:t>3</w:t>
      </w:r>
      <w:r w:rsidR="00123D77" w:rsidRPr="00D5506A">
        <w:rPr>
          <w:noProof/>
          <w:lang w:val="en-US"/>
        </w:rPr>
        <w:t>]</w:t>
      </w:r>
      <w:r w:rsidR="00123D77" w:rsidRPr="00D5506A">
        <w:rPr>
          <w:lang w:val="en-US"/>
        </w:rPr>
        <w:fldChar w:fldCharType="end"/>
      </w:r>
      <w:r w:rsidRPr="00D5506A">
        <w:rPr>
          <w:lang w:val="en-US"/>
        </w:rPr>
        <w:t>. This work received the approval of ethic of the Research Ethics Committee of the Federal University of Espirito Santo (CAAE nº: 55894016.5.0000.5060).</w:t>
      </w:r>
    </w:p>
    <w:p w14:paraId="0BA51439" w14:textId="77777777" w:rsidR="00917B88" w:rsidRPr="00D5506A" w:rsidRDefault="00917B88" w:rsidP="00917B88">
      <w:pPr>
        <w:pStyle w:val="Ttulo2"/>
        <w:rPr>
          <w:lang w:val="en-US"/>
        </w:rPr>
      </w:pPr>
      <w:r w:rsidRPr="00D5506A">
        <w:rPr>
          <w:lang w:val="en-US"/>
        </w:rPr>
        <w:t>Selection of formulations</w:t>
      </w:r>
    </w:p>
    <w:p w14:paraId="0BC46B99" w14:textId="77777777" w:rsidR="00FF4EF5" w:rsidRDefault="00917B88" w:rsidP="0027313A">
      <w:pPr>
        <w:spacing w:line="480" w:lineRule="auto"/>
        <w:rPr>
          <w:lang w:val="en-US"/>
        </w:rPr>
      </w:pPr>
      <w:r w:rsidRPr="00D5506A">
        <w:rPr>
          <w:lang w:val="en-US"/>
        </w:rPr>
        <w:t xml:space="preserve">The cookies were selected according to the best results of technological properties and greater sensory acceptance to be evaluated in chemical composition, iron, zinc, bioactive compounds, morphology and storage. A control treatment (without pinto beans) with an intermediate margarine content (16.3 g/100 g dough) equivalent to the central point of the </w:t>
      </w:r>
      <w:r w:rsidR="009C273A" w:rsidRPr="00D5506A">
        <w:rPr>
          <w:lang w:val="en-US"/>
        </w:rPr>
        <w:t xml:space="preserve">experimental </w:t>
      </w:r>
      <w:r w:rsidRPr="00D5506A">
        <w:rPr>
          <w:lang w:val="en-US"/>
        </w:rPr>
        <w:t>design was used for comparison.</w:t>
      </w:r>
    </w:p>
    <w:p w14:paraId="23E407DE" w14:textId="77777777" w:rsidR="00917B88" w:rsidRPr="00D5506A" w:rsidRDefault="00917B88" w:rsidP="00917B88">
      <w:pPr>
        <w:pStyle w:val="Ttulo2"/>
        <w:rPr>
          <w:lang w:val="en-US"/>
        </w:rPr>
      </w:pPr>
      <w:r w:rsidRPr="00D5506A">
        <w:rPr>
          <w:lang w:val="en-US"/>
        </w:rPr>
        <w:t>Chemical composition analysis, iron, and zinc content</w:t>
      </w:r>
    </w:p>
    <w:p w14:paraId="74E811BE" w14:textId="102E6889" w:rsidR="00917B88" w:rsidRPr="00D5506A" w:rsidRDefault="00917B88" w:rsidP="0027313A">
      <w:pPr>
        <w:spacing w:line="480" w:lineRule="auto"/>
        <w:rPr>
          <w:lang w:val="en-US"/>
        </w:rPr>
      </w:pPr>
      <w:r w:rsidRPr="00D5506A">
        <w:rPr>
          <w:lang w:val="en-US"/>
        </w:rPr>
        <w:lastRenderedPageBreak/>
        <w:t xml:space="preserve">The samples were processed in a ball mill MM200 (Retsch Gmbtt &amp; Co. KG, Haan, Germany). The proximate composition, iron, and zinc content of milled samples were determined according to the official methods of analysis of AOAC </w:t>
      </w:r>
      <w:r w:rsidRPr="00D5506A">
        <w:rPr>
          <w:lang w:val="en-US"/>
        </w:rPr>
        <w:fldChar w:fldCharType="begin" w:fldLock="1"/>
      </w:r>
      <w:r w:rsidR="00123D77" w:rsidRPr="00D5506A">
        <w:rPr>
          <w:lang w:val="en-US"/>
        </w:rPr>
        <w:instrText>ADDIN CSL_CITATION {"citationItems":[{"id":"ITEM-1","itemData":{"author":[{"dropping-particle":"","family":"Association of Official Analytical Chemistry–AOAC","given":"","non-dropping-particle":"","parse-names":false,"suffix":""}],"id":"ITEM-1","issued":{"date-parts":[["2005"]]},"publisher":"(18th ed.). Gaithersburg: AOAC International.","title":"Official Methods of Analysis","type":"article"},"uris":["http://www.mendeley.com/documents/?uuid=a8a02d34-e3fd-4879-b192-c1ff20f5981d"]}],"mendeley":{"formattedCitation":"[4]","plainTextFormattedCitation":"[4]","previouslyFormattedCitation":"[4]"},"properties":{"noteIndex":0},"schema":"https://github.com/citation-style-language/schema/raw/master/csl-citation.json"}</w:instrText>
      </w:r>
      <w:r w:rsidRPr="00D5506A">
        <w:rPr>
          <w:lang w:val="en-US"/>
        </w:rPr>
        <w:fldChar w:fldCharType="separate"/>
      </w:r>
      <w:r w:rsidR="00123D77" w:rsidRPr="00D5506A">
        <w:rPr>
          <w:noProof/>
          <w:lang w:val="en-US"/>
        </w:rPr>
        <w:t>[</w:t>
      </w:r>
      <w:r w:rsidR="00123D77" w:rsidRPr="00D5506A">
        <w:rPr>
          <w:noProof/>
          <w:color w:val="0000CC"/>
          <w:lang w:val="en-US"/>
        </w:rPr>
        <w:t>4</w:t>
      </w:r>
      <w:r w:rsidR="00123D77" w:rsidRPr="00D5506A">
        <w:rPr>
          <w:noProof/>
          <w:lang w:val="en-US"/>
        </w:rPr>
        <w:t>]</w:t>
      </w:r>
      <w:r w:rsidRPr="00D5506A">
        <w:rPr>
          <w:lang w:val="en-US"/>
        </w:rPr>
        <w:fldChar w:fldCharType="end"/>
      </w:r>
      <w:r w:rsidRPr="00D5506A">
        <w:rPr>
          <w:lang w:val="en-US"/>
        </w:rPr>
        <w:t>, in triplicate measurements. The moisture content was determined in an oven at 105 °C until constant weight (method 925.10), total ash was measured by incineration in a muffle at 550 °C (method 923.03), total nitrogen was determined by the Kjeldahl method 2001.11 and converted to crude protein by factor 5.75, lipids was measured by continuous extraction with petroleum ether (Soxhlet, method 945.38), and fiber was measured by the enzymatic-gravimetric method 985.29. Carbohydrates’ content was calculated by difference. The determination and quantification of iron and zinc minerals were obtained by digesting the material with nitric acid and perchloric acid (HNO</w:t>
      </w:r>
      <w:r w:rsidRPr="00D5506A">
        <w:rPr>
          <w:vertAlign w:val="subscript"/>
          <w:lang w:val="en-US"/>
        </w:rPr>
        <w:t>3</w:t>
      </w:r>
      <w:r w:rsidRPr="00D5506A">
        <w:rPr>
          <w:lang w:val="en-US"/>
        </w:rPr>
        <w:t>:HClO</w:t>
      </w:r>
      <w:r w:rsidRPr="00D5506A">
        <w:rPr>
          <w:vertAlign w:val="subscript"/>
          <w:lang w:val="en-US"/>
        </w:rPr>
        <w:t>4</w:t>
      </w:r>
      <w:r w:rsidRPr="00D5506A">
        <w:rPr>
          <w:lang w:val="en-US"/>
        </w:rPr>
        <w:t xml:space="preserve">) in a digester block (method 975.03). The quantification of the minerals was performed in an ICP Spectro flame plasma emission spectrophotometer </w:t>
      </w:r>
      <w:r w:rsidR="0027313A" w:rsidRPr="00D5506A">
        <w:rPr>
          <w:lang w:val="en-US"/>
        </w:rPr>
        <w:fldChar w:fldCharType="begin" w:fldLock="1"/>
      </w:r>
      <w:r w:rsidR="00123D77" w:rsidRPr="00D5506A">
        <w:rPr>
          <w:lang w:val="en-US"/>
        </w:rPr>
        <w:instrText>ADDIN CSL_CITATION {"citationItems":[{"id":"ITEM-1","itemData":{"author":[{"dropping-particle":"","family":"Association of Official Analytical Chemistry–AOAC","given":"","non-dropping-particle":"","parse-names":false,"suffix":""}],"id":"ITEM-1","issued":{"date-parts":[["2005"]]},"publisher":"(18th ed.). Gaithersburg: AOAC International.","title":"Official Methods of Analysis","type":"article"},"uris":["http://www.mendeley.com/documents/?uuid=a8a02d34-e3fd-4879-b192-c1ff20f5981d"]}],"mendeley":{"formattedCitation":"[4]","plainTextFormattedCitation":"[4]","previouslyFormattedCitation":"[4]"},"properties":{"noteIndex":0},"schema":"https://github.com/citation-style-language/schema/raw/master/csl-citation.json"}</w:instrText>
      </w:r>
      <w:r w:rsidR="0027313A" w:rsidRPr="00D5506A">
        <w:rPr>
          <w:lang w:val="en-US"/>
        </w:rPr>
        <w:fldChar w:fldCharType="separate"/>
      </w:r>
      <w:r w:rsidR="00123D77" w:rsidRPr="00D5506A">
        <w:rPr>
          <w:noProof/>
          <w:lang w:val="en-US"/>
        </w:rPr>
        <w:t>[</w:t>
      </w:r>
      <w:r w:rsidR="00123D77" w:rsidRPr="00D5506A">
        <w:rPr>
          <w:noProof/>
          <w:color w:val="0000CC"/>
          <w:lang w:val="en-US"/>
        </w:rPr>
        <w:t>4</w:t>
      </w:r>
      <w:r w:rsidR="00123D77" w:rsidRPr="00D5506A">
        <w:rPr>
          <w:noProof/>
          <w:lang w:val="en-US"/>
        </w:rPr>
        <w:t>]</w:t>
      </w:r>
      <w:r w:rsidR="0027313A" w:rsidRPr="00D5506A">
        <w:rPr>
          <w:lang w:val="en-US"/>
        </w:rPr>
        <w:fldChar w:fldCharType="end"/>
      </w:r>
      <w:r w:rsidRPr="00D5506A">
        <w:rPr>
          <w:lang w:val="en-US"/>
        </w:rPr>
        <w:t>.</w:t>
      </w:r>
    </w:p>
    <w:p w14:paraId="37A09E7B" w14:textId="77777777" w:rsidR="0027313A" w:rsidRPr="00D5506A" w:rsidRDefault="0027313A" w:rsidP="0027313A">
      <w:pPr>
        <w:pStyle w:val="Ttulo2"/>
        <w:rPr>
          <w:lang w:val="en-US"/>
        </w:rPr>
      </w:pPr>
      <w:r w:rsidRPr="00D5506A">
        <w:rPr>
          <w:lang w:val="en-US"/>
        </w:rPr>
        <w:t>Bioactive compounds</w:t>
      </w:r>
    </w:p>
    <w:p w14:paraId="32147DCB" w14:textId="6A8D686A" w:rsidR="0027313A" w:rsidRPr="00D5506A" w:rsidRDefault="0027313A" w:rsidP="0027313A">
      <w:pPr>
        <w:spacing w:line="480" w:lineRule="auto"/>
        <w:rPr>
          <w:lang w:val="en-US"/>
        </w:rPr>
      </w:pPr>
      <w:r w:rsidRPr="00D5506A">
        <w:rPr>
          <w:lang w:val="en-US"/>
        </w:rPr>
        <w:t xml:space="preserve">Extracts of </w:t>
      </w:r>
      <m:oMath>
        <m:r>
          <w:rPr>
            <w:rFonts w:ascii="Cambria Math" w:hAnsi="Cambria Math"/>
            <w:lang w:val="en-US"/>
          </w:rPr>
          <m:t>PBF</m:t>
        </m:r>
      </m:oMath>
      <w:r w:rsidRPr="00D5506A">
        <w:rPr>
          <w:lang w:val="en-US"/>
        </w:rPr>
        <w:t xml:space="preserve"> and </w:t>
      </w:r>
      <m:oMath>
        <m:r>
          <w:rPr>
            <w:rFonts w:ascii="Cambria Math" w:hAnsi="Cambria Math"/>
            <w:lang w:val="en-US"/>
          </w:rPr>
          <m:t>RRF</m:t>
        </m:r>
      </m:oMath>
      <w:r w:rsidRPr="00D5506A">
        <w:rPr>
          <w:lang w:val="en-US"/>
        </w:rPr>
        <w:t xml:space="preserve"> (raw and processed), select cookies, and control were carried out as recommended by Ribeiro Oliveira et al. </w:t>
      </w:r>
      <w:r w:rsidRPr="00D5506A">
        <w:rPr>
          <w:lang w:val="en-US"/>
        </w:rPr>
        <w:fldChar w:fldCharType="begin" w:fldLock="1"/>
      </w:r>
      <w:r w:rsidR="00123D77" w:rsidRPr="00D5506A">
        <w:rPr>
          <w:lang w:val="en-US"/>
        </w:rPr>
        <w:instrText>ADDIN CSL_CITATION {"citationItems":[{"id":"ITEM-1","itemData":{"DOI":"https://doi.org/10.1007/s13197-019-03606-y","ISSN":"09758402","abstract":"Liophilized açaí pulp (LAP), which is considered a power food, could enrich broken rice grains flours (BRG), which is an abundant by-product in many countries. The extrusion could change the physico-chemical properties of this mixture, which later could be applied in the development of instant food products, as an appeal regarding the appearance, nutritional value and the presence of bioactive compounds. This study examined the effect of LAP incorporation (0, 5, 10, 15, and 20%) on the physical, chemical, and functional properties of BRG pregelatinized flours at mild extrusion conditions. Extrusion significantly changed the solubility and absorption of water, the thermal and pasting properties of pregelatinized flours. DSC analysis did not show gelatinization peaks after extrusion, indicating a total gelatinization of the starch. Extrusion also affected the color and chemical composition, and to a greater extent, the anthocyanin content, the phenolic compounds and the antioxidant capacity, despite the mild process conditions. The mixture with 10% LAP resulted in a product with a reddish color, rich in fiber and presented lower loss of anthocyanin (27.16%), therefore, the most suitable to be used as an ingredient in the preparation of ready-to-eat foods with higher functional value.","author":[{"dropping-particle":"","family":"Ribeiro Oliveira","given":"Aryane","non-dropping-particle":"","parse-names":false,"suffix":""},{"dropping-particle":"","family":"Chaves Ribeiro","given":"Alline Emannuele","non-dropping-particle":"","parse-names":false,"suffix":""},{"dropping-particle":"","family":"Resende Oliveira","given":"Érica","non-dropping-particle":"","parse-names":false,"suffix":""},{"dropping-particle":"","family":"Silva Ana Caroline","given":"Mendes","non-dropping-particle":"da","parse-names":false,"suffix":""},{"dropping-particle":"","family":"Soares Soares Júnior","given":"Manoel","non-dropping-particle":"","parse-names":false,"suffix":""},{"dropping-particle":"","family":"Caliari","given":"Márcio","non-dropping-particle":"","parse-names":false,"suffix":""}],"container-title":"Journal of Food Science and Technology","id":"ITEM-1","issue":"3","issued":{"date-parts":[["2019","3","4"]]},"page":"1337-1348","publisher":"Springer","title":"Broken rice grains pregelatinized flours incorporated with lyophilized açaí pulp and the effect of extrusion on their physicochemical properties","type":"article-journal","volume":"56"},"uris":["http://www.mendeley.com/documents/?uuid=58d4bf84-bb49-30e1-a99f-06e7658079fe"]}],"mendeley":{"formattedCitation":"[5]","plainTextFormattedCitation":"[5]","previouslyFormattedCitation":"[5]"},"properties":{"noteIndex":0},"schema":"https://github.com/citation-style-language/schema/raw/master/csl-citation.json"}</w:instrText>
      </w:r>
      <w:r w:rsidRPr="00D5506A">
        <w:rPr>
          <w:lang w:val="en-US"/>
        </w:rPr>
        <w:fldChar w:fldCharType="separate"/>
      </w:r>
      <w:r w:rsidR="00123D77" w:rsidRPr="00D5506A">
        <w:rPr>
          <w:noProof/>
          <w:lang w:val="en-US"/>
        </w:rPr>
        <w:t>[</w:t>
      </w:r>
      <w:r w:rsidR="00123D77" w:rsidRPr="00D5506A">
        <w:rPr>
          <w:noProof/>
          <w:color w:val="0000CC"/>
          <w:lang w:val="en-US"/>
        </w:rPr>
        <w:t>5</w:t>
      </w:r>
      <w:r w:rsidR="00123D77" w:rsidRPr="00D5506A">
        <w:rPr>
          <w:noProof/>
          <w:lang w:val="en-US"/>
        </w:rPr>
        <w:t>]</w:t>
      </w:r>
      <w:r w:rsidRPr="00D5506A">
        <w:rPr>
          <w:lang w:val="en-US"/>
        </w:rPr>
        <w:fldChar w:fldCharType="end"/>
      </w:r>
      <w:r w:rsidRPr="00D5506A">
        <w:rPr>
          <w:lang w:val="en-US"/>
        </w:rPr>
        <w:t xml:space="preserve">. The phenolic content was determined using a Folin-Ciocalteu reagent and a standard gallic acid curve as a reference </w:t>
      </w:r>
      <w:r w:rsidRPr="00D5506A">
        <w:rPr>
          <w:lang w:val="en-US"/>
        </w:rPr>
        <w:fldChar w:fldCharType="begin" w:fldLock="1"/>
      </w:r>
      <w:r w:rsidR="00123D77" w:rsidRPr="00D5506A">
        <w:rPr>
          <w:lang w:val="en-US"/>
        </w:rPr>
        <w:instrText>ADDIN CSL_CITATION {"citationItems":[{"id":"ITEM-1","itemData":{"DOI":"https://doi.org/10.1007/s13197-019-03606-y","ISSN":"09758402","abstract":"Liophilized açaí pulp (LAP), which is considered a power food, could enrich broken rice grains flours (BRG), which is an abundant by-product in many countries. The extrusion could change the physico-chemical properties of this mixture, which later could be applied in the development of instant food products, as an appeal regarding the appearance, nutritional value and the presence of bioactive compounds. This study examined the effect of LAP incorporation (0, 5, 10, 15, and 20%) on the physical, chemical, and functional properties of BRG pregelatinized flours at mild extrusion conditions. Extrusion significantly changed the solubility and absorption of water, the thermal and pasting properties of pregelatinized flours. DSC analysis did not show gelatinization peaks after extrusion, indicating a total gelatinization of the starch. Extrusion also affected the color and chemical composition, and to a greater extent, the anthocyanin content, the phenolic compounds and the antioxidant capacity, despite the mild process conditions. The mixture with 10% LAP resulted in a product with a reddish color, rich in fiber and presented lower loss of anthocyanin (27.16%), therefore, the most suitable to be used as an ingredient in the preparation of ready-to-eat foods with higher functional value.","author":[{"dropping-particle":"","family":"Ribeiro Oliveira","given":"Aryane","non-dropping-particle":"","parse-names":false,"suffix":""},{"dropping-particle":"","family":"Chaves Ribeiro","given":"Alline Emannuele","non-dropping-particle":"","parse-names":false,"suffix":""},{"dropping-particle":"","family":"Resende Oliveira","given":"Érica","non-dropping-particle":"","parse-names":false,"suffix":""},{"dropping-particle":"","family":"Silva Ana Caroline","given":"Mendes","non-dropping-particle":"da","parse-names":false,"suffix":""},{"dropping-particle":"","family":"Soares Soares Júnior","given":"Manoel","non-dropping-particle":"","parse-names":false,"suffix":""},{"dropping-particle":"","family":"Caliari","given":"Márcio","non-dropping-particle":"","parse-names":false,"suffix":""}],"container-title":"Journal of Food Science and Technology","id":"ITEM-1","issue":"3","issued":{"date-parts":[["2019","3","4"]]},"page":"1337-1348","publisher":"Springer","title":"Broken rice grains pregelatinized flours incorporated with lyophilized açaí pulp and the effect of extrusion on their physicochemical properties","type":"article-journal","volume":"56"},"uris":["http://www.mendeley.com/documents/?uuid=58d4bf84-bb49-30e1-a99f-06e7658079fe"]},{"id":"ITEM-2","itemData":{"DOI":"10.1016/S0076-6879(99)99017-1","ISSN":"00766879","author":[{"dropping-particle":"","family":"Singleton","given":"Vernon L.","non-dropping-particle":"","parse-names":false,"suffix":""},{"dropping-particle":"","family":"Orthofer","given":"Rudolf","non-dropping-particle":"","parse-names":false,"suffix":""},{"dropping-particle":"","family":"Lamuela-Raventós","given":"Rosa M.","non-dropping-particle":"","parse-names":false,"suffix":""}],"container-title":"Methods in Enzymology","id":"ITEM-2","issued":{"date-parts":[["1999","1","1"]]},"page":"152-178","publisher":"Academic Press","title":"Analysis of total phenols and other oxidation substrates and antioxidants by means of folin-ciocalteu reagent","type":"chapter","volume":"299"},"uris":["http://www.mendeley.com/documents/?uuid=b30158ea-e6b4-3f5b-bb35-e85825b2e323"]}],"mendeley":{"formattedCitation":"[5, 6]","plainTextFormattedCitation":"[5, 6]","previouslyFormattedCitation":"[5, 6]"},"properties":{"noteIndex":0},"schema":"https://github.com/citation-style-language/schema/raw/master/csl-citation.json"}</w:instrText>
      </w:r>
      <w:r w:rsidRPr="00D5506A">
        <w:rPr>
          <w:lang w:val="en-US"/>
        </w:rPr>
        <w:fldChar w:fldCharType="separate"/>
      </w:r>
      <w:r w:rsidR="00123D77" w:rsidRPr="00D5506A">
        <w:rPr>
          <w:noProof/>
          <w:lang w:val="en-US"/>
        </w:rPr>
        <w:t>[</w:t>
      </w:r>
      <w:r w:rsidR="00123D77" w:rsidRPr="00D5506A">
        <w:rPr>
          <w:noProof/>
          <w:color w:val="0000CC"/>
          <w:lang w:val="en-US"/>
        </w:rPr>
        <w:t>5</w:t>
      </w:r>
      <w:r w:rsidR="00123D77" w:rsidRPr="00D5506A">
        <w:rPr>
          <w:noProof/>
          <w:lang w:val="en-US"/>
        </w:rPr>
        <w:t xml:space="preserve">, </w:t>
      </w:r>
      <w:r w:rsidR="00123D77" w:rsidRPr="00D5506A">
        <w:rPr>
          <w:noProof/>
          <w:color w:val="0000CC"/>
          <w:lang w:val="en-US"/>
        </w:rPr>
        <w:t>6</w:t>
      </w:r>
      <w:r w:rsidR="00123D77" w:rsidRPr="00D5506A">
        <w:rPr>
          <w:noProof/>
          <w:lang w:val="en-US"/>
        </w:rPr>
        <w:t>]</w:t>
      </w:r>
      <w:r w:rsidRPr="00D5506A">
        <w:rPr>
          <w:lang w:val="en-US"/>
        </w:rPr>
        <w:fldChar w:fldCharType="end"/>
      </w:r>
      <w:r w:rsidRPr="00D5506A">
        <w:rPr>
          <w:lang w:val="en-US"/>
        </w:rPr>
        <w:t xml:space="preserve"> at 720 nm. Antioxidant capacity was measured using the method of DPPH (2,2-difenil-1-picril hidrazil) and was calculated as percent discoloration </w:t>
      </w:r>
      <w:r w:rsidRPr="00D5506A">
        <w:rPr>
          <w:lang w:val="en-US"/>
        </w:rPr>
        <w:fldChar w:fldCharType="begin" w:fldLock="1"/>
      </w:r>
      <w:r w:rsidR="00123D77" w:rsidRPr="00D5506A">
        <w:rPr>
          <w:lang w:val="en-US"/>
        </w:rPr>
        <w:instrText>ADDIN CSL_CITATION {"citationItems":[{"id":"ITEM-1","itemData":{"DOI":"10.1038/1811199a0","ISSN":"1476-4687","abstract":"METHODS for measuring antioxidants and appraising antioxidant activity appear to be of two general types. If the chemical nature of the antioxidant is known, one may strive for a test specific for the compound or group of interest; for example, the nitroprusside test for sulphydryl groups. Alternatively one may observe the inhibition of some natural oxidative process such as the β-oxidation of fats, as a function of the added antioxidant.","author":[{"dropping-particle":"","family":"Blois","given":"Marsden S.","non-dropping-particle":"","parse-names":false,"suffix":""}],"container-title":"Nature 1958 181:4617","id":"ITEM-1","issue":"4617","issued":{"date-parts":[["1958"]]},"page":"1199-1200","publisher":"Nature Publishing Group","title":"Antioxidant Determinations by the Use of a Stable Free Radical","type":"article-journal","volume":"181"},"uris":["http://www.mendeley.com/documents/?uuid=bb991f74-dd32-327c-b06c-b8fe174ef1ef"]}],"mendeley":{"formattedCitation":"[7]","plainTextFormattedCitation":"[7]","previouslyFormattedCitation":"[7]"},"properties":{"noteIndex":0},"schema":"https://github.com/citation-style-language/schema/raw/master/csl-citation.json"}</w:instrText>
      </w:r>
      <w:r w:rsidRPr="00D5506A">
        <w:rPr>
          <w:lang w:val="en-US"/>
        </w:rPr>
        <w:fldChar w:fldCharType="separate"/>
      </w:r>
      <w:r w:rsidR="00123D77" w:rsidRPr="00D5506A">
        <w:rPr>
          <w:noProof/>
          <w:lang w:val="en-US"/>
        </w:rPr>
        <w:t>[</w:t>
      </w:r>
      <w:r w:rsidR="00123D77" w:rsidRPr="00D5506A">
        <w:rPr>
          <w:noProof/>
          <w:color w:val="0000CC"/>
          <w:lang w:val="en-US"/>
        </w:rPr>
        <w:t>7</w:t>
      </w:r>
      <w:r w:rsidR="00123D77" w:rsidRPr="00D5506A">
        <w:rPr>
          <w:noProof/>
          <w:lang w:val="en-US"/>
        </w:rPr>
        <w:t>]</w:t>
      </w:r>
      <w:r w:rsidRPr="00D5506A">
        <w:rPr>
          <w:lang w:val="en-US"/>
        </w:rPr>
        <w:fldChar w:fldCharType="end"/>
      </w:r>
      <w:r w:rsidRPr="00D5506A">
        <w:rPr>
          <w:lang w:val="en-US"/>
        </w:rPr>
        <w:t xml:space="preserve"> according to Eq. </w:t>
      </w:r>
      <w:r w:rsidRPr="00D5506A">
        <w:rPr>
          <w:color w:val="0000CC"/>
          <w:lang w:val="en-US"/>
        </w:rPr>
        <w:t>1</w:t>
      </w:r>
      <w:r w:rsidRPr="00D5506A">
        <w:rPr>
          <w:lang w:val="en-US"/>
        </w:rPr>
        <w:t>.</w:t>
      </w:r>
    </w:p>
    <w:p w14:paraId="25265963" w14:textId="77777777" w:rsidR="0027313A" w:rsidRPr="00D5506A" w:rsidRDefault="0027313A" w:rsidP="0027313A">
      <w:pPr>
        <w:spacing w:line="480" w:lineRule="auto"/>
        <w:rPr>
          <w:lang w:val="en-US"/>
        </w:rPr>
      </w:pPr>
    </w:p>
    <w:p w14:paraId="572AAD9C" w14:textId="255C6B05" w:rsidR="0027313A" w:rsidRPr="00D5506A" w:rsidRDefault="00FF4EF5" w:rsidP="0027313A">
      <w:pPr>
        <w:spacing w:line="480" w:lineRule="auto"/>
        <w:rPr>
          <w:rFonts w:eastAsiaTheme="minorEastAsia"/>
          <w:i/>
          <w:lang w:val="en-US"/>
        </w:rPr>
      </w:pPr>
      <m:oMathPara>
        <m:oMathParaPr>
          <m:jc m:val="center"/>
        </m:oMathParaPr>
        <m:oMath>
          <m:sSub>
            <m:sSubPr>
              <m:ctrlPr>
                <w:rPr>
                  <w:rFonts w:ascii="Cambria Math" w:hAnsi="Cambria Math"/>
                  <w:i/>
                  <w:lang w:val="en-US"/>
                </w:rPr>
              </m:ctrlPr>
            </m:sSubPr>
            <m:e>
              <m:r>
                <w:rPr>
                  <w:rFonts w:ascii="Cambria Math" w:hAnsi="Cambria Math"/>
                  <w:lang w:val="en-US"/>
                </w:rPr>
                <m:t>DPPH</m:t>
              </m:r>
            </m:e>
            <m:sub>
              <m:r>
                <w:rPr>
                  <w:rFonts w:ascii="Cambria Math" w:hAnsi="Cambria Math"/>
                  <w:lang w:val="en-US"/>
                </w:rPr>
                <m:t>scavenging activity</m:t>
              </m:r>
            </m:sub>
          </m:sSub>
          <m:r>
            <w:rPr>
              <w:rFonts w:ascii="Cambria Math" w:hAnsi="Cambria Math"/>
              <w:lang w:val="en-US"/>
            </w:rPr>
            <m:t>(%) =100 – [(</m:t>
          </m:r>
          <m:sSub>
            <m:sSubPr>
              <m:ctrlPr>
                <w:rPr>
                  <w:rFonts w:ascii="Cambria Math" w:eastAsiaTheme="minorEastAsia" w:hAnsi="Cambria Math"/>
                  <w:i/>
                  <w:lang w:val="en-US"/>
                </w:rPr>
              </m:ctrlPr>
            </m:sSubPr>
            <m:e>
              <m:r>
                <w:rPr>
                  <w:rFonts w:ascii="Cambria Math" w:eastAsiaTheme="minorEastAsia" w:hAnsi="Cambria Math"/>
                  <w:lang w:val="en-US"/>
                </w:rPr>
                <m:t>Abs</m:t>
              </m:r>
            </m:e>
            <m:sub>
              <m:r>
                <w:rPr>
                  <w:rFonts w:ascii="Cambria Math" w:hAnsi="Cambria Math"/>
                  <w:vertAlign w:val="subscript"/>
                  <w:lang w:val="en-US"/>
                </w:rPr>
                <m:t>sample</m:t>
              </m:r>
            </m:sub>
          </m:sSub>
          <m:r>
            <w:rPr>
              <w:rFonts w:ascii="Cambria Math" w:hAnsi="Cambria Math"/>
              <w:lang w:val="en-US"/>
            </w:rPr>
            <m:t xml:space="preserve"> </m:t>
          </m:r>
          <m:r>
            <w:rPr>
              <w:rFonts w:ascii="Cambria Math" w:hAnsi="Cambria Math"/>
              <w:vertAlign w:val="subscript"/>
              <w:lang w:val="en-US"/>
            </w:rPr>
            <m:t xml:space="preserve"> </m:t>
          </m:r>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Abs</m:t>
              </m:r>
            </m:e>
            <m:sub>
              <m:r>
                <w:rPr>
                  <w:rFonts w:ascii="Cambria Math" w:hAnsi="Cambria Math"/>
                  <w:vertAlign w:val="subscript"/>
                  <w:lang w:val="en-US"/>
                </w:rPr>
                <m:t>blank</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Abs</m:t>
              </m:r>
            </m:e>
            <m:sub>
              <m:r>
                <w:rPr>
                  <w:rFonts w:ascii="Cambria Math" w:hAnsi="Cambria Math"/>
                  <w:vertAlign w:val="subscript"/>
                  <w:lang w:val="en-US"/>
                </w:rPr>
                <m:t>control</m:t>
              </m:r>
            </m:sub>
          </m:sSub>
          <m:r>
            <w:rPr>
              <w:rFonts w:ascii="Cambria Math" w:hAnsi="Cambria Math"/>
              <w:lang w:val="en-US"/>
            </w:rPr>
            <m:t xml:space="preserve"> )×100]… (</m:t>
          </m:r>
          <m:r>
            <w:rPr>
              <w:rFonts w:ascii="Cambria Math" w:hAnsi="Cambria Math"/>
              <w:color w:val="0000CC"/>
              <w:lang w:val="en-US"/>
            </w:rPr>
            <m:t>1</m:t>
          </m:r>
          <m:r>
            <w:rPr>
              <w:rFonts w:ascii="Cambria Math" w:hAnsi="Cambria Math"/>
              <w:lang w:val="en-US"/>
            </w:rPr>
            <m:t>)</m:t>
          </m:r>
        </m:oMath>
      </m:oMathPara>
    </w:p>
    <w:p w14:paraId="65826865" w14:textId="77777777" w:rsidR="0027313A" w:rsidRPr="00D5506A" w:rsidRDefault="0027313A" w:rsidP="0027313A">
      <w:pPr>
        <w:spacing w:line="480" w:lineRule="auto"/>
        <w:rPr>
          <w:i/>
          <w:lang w:val="en-US"/>
        </w:rPr>
      </w:pPr>
    </w:p>
    <w:p w14:paraId="456A8382" w14:textId="77777777" w:rsidR="00FF4EF5" w:rsidRDefault="0027313A" w:rsidP="0027313A">
      <w:pPr>
        <w:spacing w:line="480" w:lineRule="auto"/>
        <w:rPr>
          <w:lang w:val="en-US"/>
        </w:rPr>
      </w:pPr>
      <w:r w:rsidRPr="00D5506A">
        <w:rPr>
          <w:lang w:val="en-US"/>
        </w:rPr>
        <w:t xml:space="preserve">Tannins were determined by the spectrophotometric method </w:t>
      </w:r>
      <w:r w:rsidRPr="00D5506A">
        <w:rPr>
          <w:lang w:val="en-US"/>
        </w:rPr>
        <w:fldChar w:fldCharType="begin" w:fldLock="1"/>
      </w:r>
      <w:r w:rsidR="00123D77" w:rsidRPr="00D5506A">
        <w:rPr>
          <w:lang w:val="en-US"/>
        </w:rPr>
        <w:instrText>ADDIN CSL_CITATION {"citationItems":[{"id":"ITEM-1","itemData":{"DOI":"https://doi.org/10.1021/jf60228a047","ISSN":"15205118","PMID":"7391382","abstract":"Ten varieties each of cowpeas (Vigna unguiculata), chickpeas (Cicer arietinum), pigeon peas (Cajanus cajan), and mung beans (Vigna radiata) were assayed for condensed tannin content. Tannin concentrations ranged from 0 to 0.7% for cowpeas and 0 to 0.2% for pigeon peas, with essentially no tannin found in chick peas or mung beans. A less extensive survey found no tannin in four varieties of winged bean (Psophocarpus tetragonobolus), 0.3% in one variety of adzuki bean (Vigna angularis), and 0.1% in Japanese buckwheat. It is concluded that, of the plants surveyed, the cowpea is the only species likely to contain amounts of tannin that may be nutritionally harmful. © 1980, American Chemical Society. All rights reserved.","author":[{"dropping-particle":"","family":"Price","given":"Martin L.","non-dropping-particle":"","parse-names":false,"suffix":""},{"dropping-particle":"","family":"Hagerman","given":"Ann E.","non-dropping-particle":"","parse-names":false,"suffix":""},{"dropping-particle":"","family":"Butler","given":"Larry G.","non-dropping-particle":"","parse-names":false,"suffix":""}],"container-title":"Journal of Agricultural and Food Chemistry","id":"ITEM-1","issue":"2","issued":{"date-parts":[["1980","3","1"]]},"page":"459-461","publisher":"American Chemical Society","title":"Tannin Content of Cowpeas, Chickpeas, Pigeon Peas, and Mung Beans","type":"article-journal","volume":"28"},"uris":["http://www.mendeley.com/documents/?uuid=8921ee4a-e146-3278-9f28-3ff7242ce4c8"]}],"mendeley":{"formattedCitation":"[8]","plainTextFormattedCitation":"[8]","previouslyFormattedCitation":"[8]"},"properties":{"noteIndex":0},"schema":"https://github.com/citation-style-language/schema/raw/master/csl-citation.json"}</w:instrText>
      </w:r>
      <w:r w:rsidRPr="00D5506A">
        <w:rPr>
          <w:lang w:val="en-US"/>
        </w:rPr>
        <w:fldChar w:fldCharType="separate"/>
      </w:r>
      <w:r w:rsidR="00123D77" w:rsidRPr="00D5506A">
        <w:rPr>
          <w:noProof/>
          <w:lang w:val="en-US"/>
        </w:rPr>
        <w:t>[</w:t>
      </w:r>
      <w:r w:rsidR="00123D77" w:rsidRPr="00D5506A">
        <w:rPr>
          <w:noProof/>
          <w:color w:val="0000CC"/>
          <w:lang w:val="en-US"/>
        </w:rPr>
        <w:t>8</w:t>
      </w:r>
      <w:r w:rsidR="00123D77" w:rsidRPr="00D5506A">
        <w:rPr>
          <w:noProof/>
          <w:lang w:val="en-US"/>
        </w:rPr>
        <w:t>]</w:t>
      </w:r>
      <w:r w:rsidRPr="00D5506A">
        <w:rPr>
          <w:lang w:val="en-US"/>
        </w:rPr>
        <w:fldChar w:fldCharType="end"/>
      </w:r>
      <w:r w:rsidRPr="00D5506A">
        <w:rPr>
          <w:lang w:val="en-US"/>
        </w:rPr>
        <w:t>. For the extracts, 0.2 g of flours (raw and processed) and 0.3 g of selected cookies sample were used. A standard catechin curve was used as a reference.</w:t>
      </w:r>
    </w:p>
    <w:p w14:paraId="61A40A83" w14:textId="77777777" w:rsidR="0027313A" w:rsidRPr="00D5506A" w:rsidRDefault="0027313A" w:rsidP="0027313A">
      <w:pPr>
        <w:pStyle w:val="Ttulo2"/>
        <w:rPr>
          <w:lang w:val="en-US"/>
        </w:rPr>
      </w:pPr>
      <w:r w:rsidRPr="00D5506A">
        <w:rPr>
          <w:lang w:val="en-US"/>
        </w:rPr>
        <w:t>Scanning electron microscopy (SEM)</w:t>
      </w:r>
    </w:p>
    <w:p w14:paraId="1BF7925A" w14:textId="313FED93" w:rsidR="0027313A" w:rsidRPr="00D5506A" w:rsidRDefault="0027313A" w:rsidP="0027313A">
      <w:pPr>
        <w:spacing w:line="480" w:lineRule="auto"/>
        <w:rPr>
          <w:lang w:val="en-US"/>
        </w:rPr>
      </w:pPr>
      <w:r w:rsidRPr="00D5506A">
        <w:rPr>
          <w:lang w:val="en-US"/>
        </w:rPr>
        <w:t xml:space="preserve">The characteristics morphological of the cookies were analyzed by SEM. Pieces of the inner part of the cookies were laminated and fixed on sheet metal (“stubs”) by double-sided adhesive tape and </w:t>
      </w:r>
      <w:r w:rsidRPr="00D5506A">
        <w:rPr>
          <w:lang w:val="en-US"/>
        </w:rPr>
        <w:lastRenderedPageBreak/>
        <w:t>subsequently metalized with gold ions in a Denton Vacuum (Desk V model). Photomicrographs were captured with a JEOL Scanning Electron Microscope, Model JSM6610 LV (Pleasanton, CA, USA).</w:t>
      </w:r>
    </w:p>
    <w:p w14:paraId="62FB58A0" w14:textId="77777777" w:rsidR="0027313A" w:rsidRPr="00D5506A" w:rsidRDefault="0027313A" w:rsidP="0027313A">
      <w:pPr>
        <w:pStyle w:val="Ttulo2"/>
        <w:rPr>
          <w:lang w:val="en-US"/>
        </w:rPr>
      </w:pPr>
      <w:r w:rsidRPr="00D5506A">
        <w:rPr>
          <w:lang w:val="en-US"/>
        </w:rPr>
        <w:t>Storage</w:t>
      </w:r>
    </w:p>
    <w:p w14:paraId="26D8E759" w14:textId="6763386B" w:rsidR="0027313A" w:rsidRPr="00D5506A" w:rsidRDefault="0027313A" w:rsidP="0027313A">
      <w:pPr>
        <w:spacing w:line="480" w:lineRule="auto"/>
        <w:rPr>
          <w:lang w:val="en-US"/>
        </w:rPr>
      </w:pPr>
      <w:r w:rsidRPr="00D5506A">
        <w:rPr>
          <w:lang w:val="en-US"/>
        </w:rPr>
        <w:t xml:space="preserve">The selected cookie formulations were packed in </w:t>
      </w:r>
      <m:oMath>
        <m:r>
          <w:rPr>
            <w:rFonts w:ascii="Cambria Math" w:hAnsi="Cambria Math"/>
            <w:lang w:val="en-US"/>
          </w:rPr>
          <m:t>BOPP</m:t>
        </m:r>
      </m:oMath>
      <w:r w:rsidRPr="00D5506A">
        <w:rPr>
          <w:lang w:val="en-US"/>
        </w:rPr>
        <w:t xml:space="preserve"> film packages, identified, and sealed with the aid of a sealer (Sulpack, Caxias do Sul, RS, Brazil). Cookies were kept in a dry environment at room temperature (27 °C). These cookies were analyzed on days 1, 30, and 60 after their preparation.</w:t>
      </w:r>
    </w:p>
    <w:p w14:paraId="6A300CDC" w14:textId="77777777" w:rsidR="0027313A" w:rsidRPr="00D5506A" w:rsidRDefault="0027313A" w:rsidP="0027313A">
      <w:pPr>
        <w:pStyle w:val="Ttulo3"/>
      </w:pPr>
      <w:r w:rsidRPr="00D5506A">
        <w:t>Water activity</w:t>
      </w:r>
    </w:p>
    <w:p w14:paraId="506A315B" w14:textId="77777777" w:rsidR="0027313A" w:rsidRPr="00D5506A" w:rsidRDefault="0027313A" w:rsidP="0027313A">
      <w:pPr>
        <w:spacing w:line="480" w:lineRule="auto"/>
        <w:rPr>
          <w:lang w:val="en-US"/>
        </w:rPr>
      </w:pPr>
      <w:r w:rsidRPr="00D5506A">
        <w:rPr>
          <w:lang w:val="en-US"/>
        </w:rPr>
        <w:t>The water activity was determined by a water activity analyzer (HygroLab C1 User Manual, Rotronic, New York, USA) in duplicate.</w:t>
      </w:r>
    </w:p>
    <w:p w14:paraId="14F45D4F" w14:textId="77777777" w:rsidR="0027313A" w:rsidRPr="00D5506A" w:rsidRDefault="0027313A" w:rsidP="0027313A">
      <w:pPr>
        <w:pStyle w:val="Ttulo3"/>
      </w:pPr>
      <w:r w:rsidRPr="00D5506A">
        <w:t>pH and total titratable acidity</w:t>
      </w:r>
    </w:p>
    <w:p w14:paraId="7DAC4CBA" w14:textId="77777777" w:rsidR="0027313A" w:rsidRPr="00D5506A" w:rsidRDefault="0027313A" w:rsidP="00E77AB5">
      <w:pPr>
        <w:spacing w:line="480" w:lineRule="auto"/>
        <w:rPr>
          <w:lang w:val="en-US"/>
        </w:rPr>
      </w:pPr>
      <w:r w:rsidRPr="00D5506A">
        <w:rPr>
          <w:lang w:val="en-US"/>
        </w:rPr>
        <w:t xml:space="preserve">5 ± 0.001 g of each sample was blended with distilled water (1:9, w/w) for 1 minute to measure the pH using a calibrated benchtop pH meter (Simpla PH140, Rio Grande do Sul, Brazil). The same sample was used to measure titratable acidity, with an amount of 0.1N NaOH solution to titrate the sample beyond pH = 8.3. The results were calculated as a percentage of malic acid (Eq. </w:t>
      </w:r>
      <w:r w:rsidRPr="00D5506A">
        <w:rPr>
          <w:color w:val="0000CC"/>
          <w:lang w:val="en-US"/>
        </w:rPr>
        <w:t>2</w:t>
      </w:r>
      <w:r w:rsidRPr="00D5506A">
        <w:rPr>
          <w:lang w:val="en-US"/>
        </w:rPr>
        <w:t>).</w:t>
      </w:r>
    </w:p>
    <w:p w14:paraId="56088224" w14:textId="77777777" w:rsidR="0027313A" w:rsidRPr="00D5506A" w:rsidRDefault="0027313A" w:rsidP="0027313A">
      <w:pPr>
        <w:spacing w:line="480" w:lineRule="auto"/>
        <w:ind w:firstLine="709"/>
        <w:rPr>
          <w:color w:val="FF0000"/>
          <w:lang w:val="en-US"/>
        </w:rPr>
      </w:pPr>
    </w:p>
    <w:p w14:paraId="1F75819C" w14:textId="70D97077" w:rsidR="0027313A" w:rsidRPr="00D5506A" w:rsidRDefault="00E77AB5" w:rsidP="0027313A">
      <w:pPr>
        <w:spacing w:line="480" w:lineRule="auto"/>
        <w:ind w:firstLine="709"/>
        <w:rPr>
          <w:i/>
          <w:iCs/>
          <w:lang w:val="en-US"/>
        </w:rPr>
      </w:pPr>
      <m:oMathPara>
        <m:oMathParaPr>
          <m:jc m:val="center"/>
        </m:oMathParaPr>
        <m:oMath>
          <m:r>
            <w:rPr>
              <w:rFonts w:ascii="Cambria Math" w:hAnsi="Cambria Math"/>
              <w:lang w:val="en-US"/>
            </w:rPr>
            <m:t xml:space="preserve">Malic acid </m:t>
          </m:r>
          <m:d>
            <m:dPr>
              <m:ctrlPr>
                <w:rPr>
                  <w:rFonts w:ascii="Cambria Math" w:hAnsi="Cambria Math"/>
                  <w:i/>
                  <w:iCs/>
                  <w:lang w:val="en-US"/>
                </w:rPr>
              </m:ctrlPr>
            </m:dPr>
            <m:e>
              <m:r>
                <w:rPr>
                  <w:rFonts w:ascii="Cambria Math" w:hAnsi="Cambria Math"/>
                  <w:lang w:val="en-US"/>
                </w:rPr>
                <m:t>%</m:t>
              </m:r>
            </m:e>
          </m:d>
          <m:r>
            <w:rPr>
              <w:rFonts w:ascii="Cambria Math" w:hAnsi="Cambria Math"/>
              <w:lang w:val="en-US"/>
            </w:rPr>
            <m:t>=[(mL NaOH × 0.1 N/weight of sample titrated) × 0.067 × 100] … (</m:t>
          </m:r>
          <m:r>
            <w:rPr>
              <w:rFonts w:ascii="Cambria Math" w:hAnsi="Cambria Math"/>
              <w:color w:val="0000CC"/>
              <w:lang w:val="en-US"/>
            </w:rPr>
            <m:t>2</m:t>
          </m:r>
          <m:r>
            <w:rPr>
              <w:rFonts w:ascii="Cambria Math" w:hAnsi="Cambria Math"/>
              <w:lang w:val="en-US"/>
            </w:rPr>
            <m:t>)</m:t>
          </m:r>
        </m:oMath>
      </m:oMathPara>
    </w:p>
    <w:p w14:paraId="79FA120A" w14:textId="77777777" w:rsidR="0027313A" w:rsidRPr="00D5506A" w:rsidRDefault="0027313A" w:rsidP="0027313A">
      <w:pPr>
        <w:spacing w:line="480" w:lineRule="auto"/>
        <w:ind w:firstLine="709"/>
        <w:rPr>
          <w:color w:val="FF0000"/>
          <w:lang w:val="en-US"/>
        </w:rPr>
      </w:pPr>
    </w:p>
    <w:p w14:paraId="0992F7B5" w14:textId="77777777" w:rsidR="0027313A" w:rsidRPr="00D5506A" w:rsidRDefault="0027313A" w:rsidP="0027313A">
      <w:pPr>
        <w:pStyle w:val="Ttulo3"/>
      </w:pPr>
      <w:r w:rsidRPr="00D5506A">
        <w:t>Texture</w:t>
      </w:r>
    </w:p>
    <w:p w14:paraId="663587C9" w14:textId="5DC5A6A7" w:rsidR="0027313A" w:rsidRPr="00D5506A" w:rsidRDefault="0027313A" w:rsidP="00E77AB5">
      <w:pPr>
        <w:spacing w:line="480" w:lineRule="auto"/>
        <w:rPr>
          <w:lang w:val="en-US"/>
        </w:rPr>
      </w:pPr>
      <w:r w:rsidRPr="00D5506A">
        <w:rPr>
          <w:lang w:val="en-US"/>
        </w:rPr>
        <w:t>The hardness of the cookies was carried out according to the previously cited methodology</w:t>
      </w:r>
      <w:r w:rsidR="00E77AB5" w:rsidRPr="00D5506A">
        <w:rPr>
          <w:lang w:val="en-US"/>
        </w:rPr>
        <w:t xml:space="preserve"> (“Technological properties”)</w:t>
      </w:r>
      <w:r w:rsidRPr="00D5506A">
        <w:rPr>
          <w:lang w:val="en-US"/>
        </w:rPr>
        <w:t>.</w:t>
      </w:r>
    </w:p>
    <w:p w14:paraId="2EA70A3B" w14:textId="77777777" w:rsidR="0027313A" w:rsidRPr="00D5506A" w:rsidRDefault="0027313A" w:rsidP="0027313A">
      <w:pPr>
        <w:pStyle w:val="Ttulo3"/>
      </w:pPr>
      <w:r w:rsidRPr="00D5506A">
        <w:t>Color parameters</w:t>
      </w:r>
    </w:p>
    <w:p w14:paraId="5940359A" w14:textId="77777777" w:rsidR="0027313A" w:rsidRPr="00D5506A" w:rsidRDefault="0027313A" w:rsidP="00E77AB5">
      <w:pPr>
        <w:spacing w:line="480" w:lineRule="auto"/>
        <w:rPr>
          <w:lang w:val="en-US"/>
        </w:rPr>
      </w:pPr>
      <w:r w:rsidRPr="00D5506A">
        <w:rPr>
          <w:lang w:val="en-US"/>
        </w:rPr>
        <w:t xml:space="preserve">The instrumental color analysis of cookies was determined by transmittance using a model CR-5 colorimeter (Konica Minolta, Tokyo, Japan). A CIELab and CIELCh scale was used to measure the color parameters (L*, a*, and b*). The chroma value (C*, Eq. </w:t>
      </w:r>
      <w:r w:rsidRPr="00D5506A">
        <w:rPr>
          <w:color w:val="0000CC"/>
          <w:lang w:val="en-US"/>
        </w:rPr>
        <w:t>3</w:t>
      </w:r>
      <w:r w:rsidRPr="00D5506A">
        <w:rPr>
          <w:lang w:val="en-US"/>
        </w:rPr>
        <w:t xml:space="preserve">) and the hue (H*, Eq. </w:t>
      </w:r>
      <w:r w:rsidRPr="00D5506A">
        <w:rPr>
          <w:color w:val="0000CC"/>
          <w:lang w:val="en-US"/>
        </w:rPr>
        <w:t>4</w:t>
      </w:r>
      <w:r w:rsidRPr="00D5506A">
        <w:rPr>
          <w:lang w:val="en-US"/>
        </w:rPr>
        <w:t>) were calculated from the values of a* and b*.</w:t>
      </w:r>
    </w:p>
    <w:p w14:paraId="0F552951" w14:textId="77777777" w:rsidR="0027313A" w:rsidRPr="00D5506A" w:rsidRDefault="0027313A" w:rsidP="0027313A">
      <w:pPr>
        <w:spacing w:line="480" w:lineRule="auto"/>
        <w:rPr>
          <w:lang w:val="en-US"/>
        </w:rPr>
      </w:pPr>
    </w:p>
    <w:p w14:paraId="511ED022" w14:textId="1182A7ED" w:rsidR="0027313A" w:rsidRPr="00D5506A" w:rsidRDefault="00FF4EF5" w:rsidP="0027313A">
      <w:pPr>
        <w:spacing w:line="480" w:lineRule="auto"/>
        <w:rPr>
          <w:i/>
          <w:iCs/>
          <w:lang w:val="en-US"/>
        </w:rPr>
      </w:pPr>
      <m:oMathPara>
        <m:oMath>
          <m:sSup>
            <m:sSupPr>
              <m:ctrlPr>
                <w:rPr>
                  <w:rFonts w:ascii="Cambria Math" w:hAnsi="Cambria Math"/>
                  <w:i/>
                  <w:iCs/>
                  <w:lang w:val="en-US"/>
                </w:rPr>
              </m:ctrlPr>
            </m:sSupPr>
            <m:e>
              <m:r>
                <w:rPr>
                  <w:rFonts w:ascii="Cambria Math" w:hAnsi="Cambria Math"/>
                  <w:lang w:val="en-US"/>
                </w:rPr>
                <m:t>C</m:t>
              </m:r>
            </m:e>
            <m:sup>
              <m:r>
                <w:rPr>
                  <w:rFonts w:ascii="Cambria Math" w:hAnsi="Cambria Math"/>
                  <w:lang w:val="en-US"/>
                </w:rPr>
                <m:t>*</m:t>
              </m:r>
            </m:sup>
          </m:sSup>
          <m:r>
            <w:rPr>
              <w:rFonts w:ascii="Cambria Math" w:hAnsi="Cambria Math"/>
              <w:lang w:val="en-US"/>
            </w:rPr>
            <m:t>=</m:t>
          </m:r>
          <m:rad>
            <m:radPr>
              <m:degHide m:val="1"/>
              <m:ctrlPr>
                <w:rPr>
                  <w:rFonts w:ascii="Cambria Math" w:hAnsi="Cambria Math"/>
                  <w:i/>
                  <w:iCs/>
                  <w:lang w:val="en-US"/>
                </w:rPr>
              </m:ctrlPr>
            </m:radPr>
            <m:deg/>
            <m:e>
              <m:sSup>
                <m:sSupPr>
                  <m:ctrlPr>
                    <w:rPr>
                      <w:rFonts w:ascii="Cambria Math" w:hAnsi="Cambria Math"/>
                      <w:i/>
                      <w:iCs/>
                      <w:lang w:val="en-US"/>
                    </w:rPr>
                  </m:ctrlPr>
                </m:sSupPr>
                <m:e>
                  <m:r>
                    <w:rPr>
                      <w:rFonts w:ascii="Cambria Math" w:hAnsi="Cambria Math"/>
                      <w:lang w:val="en-US"/>
                    </w:rPr>
                    <m:t>a</m:t>
                  </m:r>
                </m:e>
                <m:sup>
                  <m:r>
                    <w:rPr>
                      <w:rFonts w:ascii="Cambria Math" w:hAnsi="Cambria Math"/>
                      <w:lang w:val="en-US"/>
                    </w:rPr>
                    <m:t>*2</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b</m:t>
                  </m:r>
                </m:e>
                <m:sup>
                  <m:r>
                    <w:rPr>
                      <w:rFonts w:ascii="Cambria Math" w:hAnsi="Cambria Math"/>
                      <w:lang w:val="en-US"/>
                    </w:rPr>
                    <m:t>*2</m:t>
                  </m:r>
                </m:sup>
              </m:sSup>
            </m:e>
          </m:rad>
          <m:r>
            <w:rPr>
              <w:rFonts w:ascii="Cambria Math" w:hAnsi="Cambria Math"/>
              <w:lang w:val="en-US"/>
            </w:rPr>
            <m:t xml:space="preserve"> … (</m:t>
          </m:r>
          <m:r>
            <w:rPr>
              <w:rFonts w:ascii="Cambria Math" w:hAnsi="Cambria Math"/>
              <w:color w:val="0000CC"/>
              <w:lang w:val="en-US"/>
            </w:rPr>
            <m:t>3</m:t>
          </m:r>
          <m:r>
            <w:rPr>
              <w:rFonts w:ascii="Cambria Math" w:hAnsi="Cambria Math"/>
              <w:lang w:val="en-US"/>
            </w:rPr>
            <m:t>)</m:t>
          </m:r>
        </m:oMath>
      </m:oMathPara>
    </w:p>
    <w:p w14:paraId="26237BAC" w14:textId="379948BB" w:rsidR="0027313A" w:rsidRPr="00D5506A" w:rsidRDefault="00FF4EF5" w:rsidP="00E77AB5">
      <w:pPr>
        <w:spacing w:line="480" w:lineRule="auto"/>
        <w:rPr>
          <w:lang w:val="en-US"/>
        </w:rPr>
      </w:pPr>
      <m:oMathPara>
        <m:oMath>
          <m:sSup>
            <m:sSupPr>
              <m:ctrlPr>
                <w:rPr>
                  <w:rFonts w:ascii="Cambria Math" w:hAnsi="Cambria Math"/>
                  <w:i/>
                  <w:iCs/>
                  <w:lang w:val="en-US"/>
                </w:rPr>
              </m:ctrlPr>
            </m:sSupPr>
            <m:e>
              <m:r>
                <w:rPr>
                  <w:rFonts w:ascii="Cambria Math" w:hAnsi="Cambria Math"/>
                  <w:lang w:val="en-US"/>
                </w:rPr>
                <m:t>H</m:t>
              </m:r>
            </m:e>
            <m:sup>
              <m:r>
                <w:rPr>
                  <w:rFonts w:ascii="Cambria Math" w:hAnsi="Cambria Math"/>
                  <w:lang w:val="en-US"/>
                </w:rPr>
                <m:t>*</m:t>
              </m:r>
            </m:sup>
          </m:sSup>
          <m:r>
            <w:rPr>
              <w:rFonts w:ascii="Cambria Math" w:hAnsi="Cambria Math"/>
              <w:lang w:val="en-US"/>
            </w:rPr>
            <m:t>=</m:t>
          </m:r>
          <m:sSup>
            <m:sSupPr>
              <m:ctrlPr>
                <w:rPr>
                  <w:rFonts w:ascii="Cambria Math" w:hAnsi="Cambria Math"/>
                  <w:i/>
                  <w:iCs/>
                  <w:lang w:val="en-US"/>
                </w:rPr>
              </m:ctrlPr>
            </m:sSupPr>
            <m:e>
              <m:r>
                <w:rPr>
                  <w:rFonts w:ascii="Cambria Math" w:hAnsi="Cambria Math"/>
                  <w:lang w:val="en-US"/>
                </w:rPr>
                <m:t>tan</m:t>
              </m:r>
            </m:e>
            <m:sup>
              <m:r>
                <w:rPr>
                  <w:rFonts w:ascii="Cambria Math" w:hAnsi="Cambria Math"/>
                  <w:lang w:val="en-US"/>
                </w:rPr>
                <m:t>-1</m:t>
              </m:r>
            </m:sup>
          </m:sSup>
          <m:d>
            <m:dPr>
              <m:ctrlPr>
                <w:rPr>
                  <w:rFonts w:ascii="Cambria Math" w:hAnsi="Cambria Math"/>
                  <w:i/>
                  <w:iCs/>
                  <w:lang w:val="en-US"/>
                </w:rPr>
              </m:ctrlPr>
            </m:dPr>
            <m:e>
              <m:f>
                <m:fPr>
                  <m:ctrlPr>
                    <w:rPr>
                      <w:rFonts w:ascii="Cambria Math" w:hAnsi="Cambria Math"/>
                      <w:i/>
                      <w:iCs/>
                      <w:lang w:val="en-US"/>
                    </w:rPr>
                  </m:ctrlPr>
                </m:fPr>
                <m:num>
                  <m:sSup>
                    <m:sSupPr>
                      <m:ctrlPr>
                        <w:rPr>
                          <w:rFonts w:ascii="Cambria Math" w:hAnsi="Cambria Math"/>
                          <w:i/>
                          <w:iCs/>
                          <w:lang w:val="en-US"/>
                        </w:rPr>
                      </m:ctrlPr>
                    </m:sSupPr>
                    <m:e>
                      <m:r>
                        <w:rPr>
                          <w:rFonts w:ascii="Cambria Math" w:hAnsi="Cambria Math"/>
                          <w:lang w:val="en-US"/>
                        </w:rPr>
                        <m:t>b</m:t>
                      </m:r>
                    </m:e>
                    <m:sup>
                      <m:r>
                        <w:rPr>
                          <w:rFonts w:ascii="Cambria Math" w:hAnsi="Cambria Math"/>
                          <w:lang w:val="en-US"/>
                        </w:rPr>
                        <m:t>*</m:t>
                      </m:r>
                    </m:sup>
                  </m:sSup>
                </m:num>
                <m:den>
                  <m:sSup>
                    <m:sSupPr>
                      <m:ctrlPr>
                        <w:rPr>
                          <w:rFonts w:ascii="Cambria Math" w:hAnsi="Cambria Math"/>
                          <w:i/>
                          <w:iCs/>
                          <w:lang w:val="en-US"/>
                        </w:rPr>
                      </m:ctrlPr>
                    </m:sSupPr>
                    <m:e>
                      <m:r>
                        <w:rPr>
                          <w:rFonts w:ascii="Cambria Math" w:hAnsi="Cambria Math"/>
                          <w:lang w:val="en-US"/>
                        </w:rPr>
                        <m:t>a</m:t>
                      </m:r>
                    </m:e>
                    <m:sup>
                      <m:r>
                        <w:rPr>
                          <w:rFonts w:ascii="Cambria Math" w:hAnsi="Cambria Math"/>
                          <w:lang w:val="en-US"/>
                        </w:rPr>
                        <m:t>*</m:t>
                      </m:r>
                    </m:sup>
                  </m:sSup>
                </m:den>
              </m:f>
            </m:e>
          </m:d>
          <m:r>
            <w:rPr>
              <w:rFonts w:ascii="Cambria Math" w:hAnsi="Cambria Math"/>
              <w:lang w:val="en-US"/>
            </w:rPr>
            <m:t>… (</m:t>
          </m:r>
          <m:r>
            <w:rPr>
              <w:rFonts w:ascii="Cambria Math" w:hAnsi="Cambria Math"/>
              <w:color w:val="0000CC"/>
              <w:lang w:val="en-US"/>
            </w:rPr>
            <m:t>4</m:t>
          </m:r>
          <m:r>
            <w:rPr>
              <w:rFonts w:ascii="Cambria Math" w:hAnsi="Cambria Math"/>
              <w:lang w:val="en-US"/>
            </w:rPr>
            <m:t>)</m:t>
          </m:r>
        </m:oMath>
      </m:oMathPara>
    </w:p>
    <w:p w14:paraId="3A4C4EBA" w14:textId="77777777" w:rsidR="0027313A" w:rsidRPr="00D5506A" w:rsidRDefault="0027313A" w:rsidP="00E77AB5">
      <w:pPr>
        <w:spacing w:line="480" w:lineRule="auto"/>
        <w:rPr>
          <w:lang w:val="en-US"/>
        </w:rPr>
      </w:pPr>
    </w:p>
    <w:p w14:paraId="1C74F5DC" w14:textId="77777777" w:rsidR="0027313A" w:rsidRPr="00D5506A" w:rsidRDefault="0027313A" w:rsidP="00E77AB5">
      <w:pPr>
        <w:pStyle w:val="Ttulo2"/>
        <w:rPr>
          <w:lang w:val="en-US"/>
        </w:rPr>
      </w:pPr>
      <w:r w:rsidRPr="00D5506A">
        <w:rPr>
          <w:lang w:val="en-US"/>
        </w:rPr>
        <w:t>Experimental design and statistical analysis</w:t>
      </w:r>
    </w:p>
    <w:p w14:paraId="4E08CCEA" w14:textId="06A25757" w:rsidR="0027313A" w:rsidRPr="00D5506A" w:rsidRDefault="0027313A" w:rsidP="00E77AB5">
      <w:pPr>
        <w:spacing w:line="480" w:lineRule="auto"/>
        <w:ind w:firstLine="709"/>
        <w:rPr>
          <w:lang w:val="en-US"/>
        </w:rPr>
      </w:pPr>
      <w:r w:rsidRPr="00D5506A">
        <w:rPr>
          <w:lang w:val="en-US"/>
        </w:rPr>
        <w:t>The experimental design was formulated as a two-factor central composite rotatable design (</w:t>
      </w:r>
      <m:oMath>
        <m:r>
          <w:rPr>
            <w:rFonts w:ascii="Cambria Math" w:hAnsi="Cambria Math"/>
            <w:lang w:val="en-US"/>
          </w:rPr>
          <m:t>CCRD</m:t>
        </m:r>
      </m:oMath>
      <w:r w:rsidRPr="00D5506A">
        <w:rPr>
          <w:lang w:val="en-US"/>
        </w:rPr>
        <w:t xml:space="preserve">) to study the effect of different proportions of </w:t>
      </w:r>
      <m:oMath>
        <m:r>
          <w:rPr>
            <w:rFonts w:ascii="Cambria Math" w:hAnsi="Cambria Math"/>
            <w:lang w:val="en-US"/>
          </w:rPr>
          <m:t>PBF</m:t>
        </m:r>
      </m:oMath>
      <w:r w:rsidRPr="00D5506A">
        <w:rPr>
          <w:lang w:val="en-US"/>
        </w:rPr>
        <w:t xml:space="preserv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oMath>
      <w:r w:rsidRPr="00D5506A">
        <w:rPr>
          <w:lang w:val="en-US"/>
        </w:rPr>
        <w:t xml:space="preserve">, </w:t>
      </w:r>
      <w:r w:rsidR="0096264D" w:rsidRPr="00D5506A">
        <w:rPr>
          <w:lang w:val="en-US"/>
        </w:rPr>
        <w:t>25</w:t>
      </w:r>
      <w:r w:rsidRPr="00D5506A">
        <w:rPr>
          <w:lang w:val="en-US"/>
        </w:rPr>
        <w:t xml:space="preserve"> – </w:t>
      </w:r>
      <w:r w:rsidR="0096264D" w:rsidRPr="00D5506A">
        <w:rPr>
          <w:lang w:val="en-US"/>
        </w:rPr>
        <w:t>75</w:t>
      </w:r>
      <w:r w:rsidRPr="00D5506A">
        <w:rPr>
          <w:lang w:val="en-US"/>
        </w:rPr>
        <w:t xml:space="preserve"> g/100 g) and margarine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oMath>
      <w:r w:rsidRPr="00D5506A">
        <w:rPr>
          <w:lang w:val="en-US"/>
        </w:rPr>
        <w:t xml:space="preserve">, </w:t>
      </w:r>
      <w:r w:rsidR="0096264D" w:rsidRPr="00D5506A">
        <w:rPr>
          <w:lang w:val="en-US"/>
        </w:rPr>
        <w:t>13.3</w:t>
      </w:r>
      <w:r w:rsidRPr="00D5506A">
        <w:rPr>
          <w:lang w:val="en-US"/>
        </w:rPr>
        <w:t xml:space="preserve"> – </w:t>
      </w:r>
      <w:r w:rsidR="0096264D" w:rsidRPr="00D5506A">
        <w:rPr>
          <w:lang w:val="en-US"/>
        </w:rPr>
        <w:t>19.3</w:t>
      </w:r>
      <w:r w:rsidRPr="00D5506A">
        <w:rPr>
          <w:lang w:val="en-US"/>
        </w:rPr>
        <w:t xml:space="preserve"> g/100 g) on the technological properties of cookies. Overall, 12 experimental trials were conducted, with four factorial points at three levels (– 1, 0, + 1), four-star corner points (α = ± 1.41), and four central points to meet the statistical design requirements (Table </w:t>
      </w:r>
      <w:r w:rsidRPr="00D5506A">
        <w:rPr>
          <w:color w:val="0000CC"/>
          <w:lang w:val="en-US"/>
        </w:rPr>
        <w:t>1</w:t>
      </w:r>
      <w:r w:rsidRPr="00D5506A">
        <w:rPr>
          <w:lang w:val="en-US"/>
        </w:rPr>
        <w:t xml:space="preserve">). Actual levels for suitable conditions to formulate the cookies were selected according to preliminary studies and data from previous literature. A second-order polynomial model was tested according to Eq. </w:t>
      </w:r>
      <w:r w:rsidRPr="00D5506A">
        <w:rPr>
          <w:color w:val="0000CC"/>
          <w:lang w:val="en-US"/>
        </w:rPr>
        <w:t>5</w:t>
      </w:r>
      <w:r w:rsidRPr="00D5506A">
        <w:rPr>
          <w:lang w:val="en-US"/>
        </w:rPr>
        <w:t>, to represent the behavior of each response in terms of studied independent variables. Statistical significance of each term in the equation was determined by analysis of variance (</w:t>
      </w:r>
      <m:oMath>
        <m:r>
          <w:rPr>
            <w:rFonts w:ascii="Cambria Math" w:hAnsi="Cambria Math"/>
            <w:lang w:val="en-US"/>
          </w:rPr>
          <m:t>ANOVA</m:t>
        </m:r>
      </m:oMath>
      <w:r w:rsidRPr="00D5506A">
        <w:rPr>
          <w:lang w:val="en-US"/>
        </w:rPr>
        <w:t xml:space="preserve">) at 5%, and 1% and regression analysis (Table </w:t>
      </w:r>
      <w:r w:rsidRPr="00D5506A">
        <w:rPr>
          <w:color w:val="0000CC"/>
          <w:lang w:val="en-US"/>
        </w:rPr>
        <w:t>S1</w:t>
      </w:r>
      <w:r w:rsidRPr="00D5506A">
        <w:rPr>
          <w:lang w:val="en-US"/>
        </w:rPr>
        <w:t>).</w:t>
      </w:r>
    </w:p>
    <w:p w14:paraId="350D279F" w14:textId="77777777" w:rsidR="00E77AB5" w:rsidRPr="00D5506A" w:rsidRDefault="00E77AB5" w:rsidP="00E77AB5">
      <w:pPr>
        <w:spacing w:line="480" w:lineRule="auto"/>
        <w:ind w:firstLine="709"/>
        <w:rPr>
          <w:lang w:val="en-US"/>
        </w:rPr>
      </w:pPr>
    </w:p>
    <w:p w14:paraId="54B5E171" w14:textId="7F2A8BDB" w:rsidR="00E77AB5" w:rsidRPr="00D5506A" w:rsidRDefault="00FF4EF5" w:rsidP="00E77AB5">
      <w:pPr>
        <w:spacing w:line="480" w:lineRule="auto"/>
        <w:jc w:val="center"/>
        <w:rPr>
          <w:i/>
          <w:lang w:val="en-US"/>
        </w:rPr>
      </w:pPr>
      <m:oMathPara>
        <m:oMathParaPr>
          <m:jc m:val="center"/>
        </m:oMathParaPr>
        <m:oMath>
          <m:acc>
            <m:accPr>
              <m:ctrlPr>
                <w:rPr>
                  <w:rFonts w:ascii="Cambria Math" w:hAnsi="Cambria Math"/>
                  <w:i/>
                  <w:lang w:val="en-US"/>
                </w:rPr>
              </m:ctrlPr>
            </m:accPr>
            <m:e>
              <m:r>
                <w:rPr>
                  <w:rFonts w:ascii="Cambria Math" w:hAnsi="Cambria Math"/>
                  <w:lang w:val="en-US"/>
                </w:rPr>
                <m:t>Y</m:t>
              </m:r>
            </m:e>
          </m:acc>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0</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m:t>
              </m:r>
            </m:sub>
          </m:sSub>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m:t>
              </m:r>
            </m:sub>
          </m:sSub>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11</m:t>
              </m:r>
            </m:sub>
          </m:sSub>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e>
            <m:sup>
              <m:r>
                <w:rPr>
                  <w:rFonts w:ascii="Cambria Math" w:hAnsi="Cambria Math"/>
                  <w:lang w:val="en-US"/>
                </w:rPr>
                <m:t>2</m:t>
              </m:r>
            </m:sup>
          </m:sSup>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22</m:t>
              </m:r>
            </m:sub>
          </m:sSub>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e>
            <m:sup>
              <m:r>
                <w:rPr>
                  <w:rFonts w:ascii="Cambria Math" w:hAnsi="Cambria Math"/>
                  <w:lang w:val="en-US"/>
                </w:rPr>
                <m:t>2</m:t>
              </m:r>
            </m:sup>
          </m:sSup>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12</m:t>
              </m:r>
            </m:sub>
          </m:sSub>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r>
            <w:rPr>
              <w:rFonts w:ascii="Cambria Math" w:hAnsi="Cambria Math"/>
              <w:lang w:val="en-US"/>
            </w:rPr>
            <m:t>… (</m:t>
          </m:r>
          <m:r>
            <w:rPr>
              <w:rFonts w:ascii="Cambria Math" w:hAnsi="Cambria Math"/>
              <w:color w:val="0000CC"/>
              <w:lang w:val="en-US"/>
            </w:rPr>
            <m:t>5</m:t>
          </m:r>
          <m:r>
            <w:rPr>
              <w:rFonts w:ascii="Cambria Math" w:hAnsi="Cambria Math"/>
              <w:lang w:val="en-US"/>
            </w:rPr>
            <m:t>)</m:t>
          </m:r>
        </m:oMath>
      </m:oMathPara>
    </w:p>
    <w:p w14:paraId="60968E5B" w14:textId="77777777" w:rsidR="00E77AB5" w:rsidRPr="00D5506A" w:rsidRDefault="00E77AB5" w:rsidP="00E77AB5">
      <w:pPr>
        <w:spacing w:line="480" w:lineRule="auto"/>
        <w:rPr>
          <w:lang w:val="en-US"/>
        </w:rPr>
      </w:pPr>
    </w:p>
    <w:p w14:paraId="0AE01EE4" w14:textId="54A29933" w:rsidR="00E77AB5" w:rsidRPr="00D5506A" w:rsidRDefault="00E77AB5" w:rsidP="0096264D">
      <w:pPr>
        <w:spacing w:line="480" w:lineRule="auto"/>
        <w:rPr>
          <w:iCs/>
          <w:lang w:val="en-US"/>
        </w:rPr>
      </w:pPr>
      <w:r w:rsidRPr="00D5506A">
        <w:rPr>
          <w:lang w:val="en-US"/>
        </w:rPr>
        <w:t xml:space="preserve">Where </w:t>
      </w:r>
      <m:oMath>
        <m:acc>
          <m:accPr>
            <m:ctrlPr>
              <w:rPr>
                <w:rFonts w:ascii="Cambria Math" w:hAnsi="Cambria Math"/>
                <w:i/>
                <w:lang w:val="en-US"/>
              </w:rPr>
            </m:ctrlPr>
          </m:accPr>
          <m:e>
            <m:r>
              <w:rPr>
                <w:rFonts w:ascii="Cambria Math" w:hAnsi="Cambria Math"/>
                <w:lang w:val="en-US"/>
              </w:rPr>
              <m:t>Y</m:t>
            </m:r>
          </m:e>
        </m:acc>
        <m:r>
          <m:rPr>
            <m:sty m:val="p"/>
          </m:rPr>
          <w:rPr>
            <w:rFonts w:ascii="Cambria Math" w:hAnsi="Cambria Math"/>
            <w:lang w:val="en-US"/>
          </w:rPr>
          <m:t xml:space="preserve"> </m:t>
        </m:r>
      </m:oMath>
      <w:r w:rsidRPr="00D5506A">
        <w:rPr>
          <w:iCs/>
          <w:lang w:val="en-US"/>
        </w:rPr>
        <w:t xml:space="preserve">is the </w:t>
      </w:r>
      <w:r w:rsidRPr="00D5506A">
        <w:rPr>
          <w:lang w:val="en-US"/>
        </w:rPr>
        <w:t>estimated</w:t>
      </w:r>
      <w:r w:rsidRPr="00D5506A">
        <w:rPr>
          <w:iCs/>
          <w:lang w:val="en-US"/>
        </w:rPr>
        <w:t xml:space="preserve"> response,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0</m:t>
            </m:r>
          </m:sub>
        </m:sSub>
      </m:oMath>
      <w:r w:rsidRPr="00D5506A">
        <w:rPr>
          <w:iCs/>
          <w:lang w:val="en-US"/>
        </w:rPr>
        <w:t xml:space="preserve"> is the intercept;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m:t>
            </m:r>
          </m:sub>
        </m:sSub>
      </m:oMath>
      <w:r w:rsidRPr="00D5506A">
        <w:rPr>
          <w:iCs/>
          <w:lang w:val="en-US"/>
        </w:rPr>
        <w:t xml:space="preserve"> and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m:t>
            </m:r>
          </m:sub>
        </m:sSub>
      </m:oMath>
      <w:r w:rsidRPr="00D5506A">
        <w:rPr>
          <w:iCs/>
          <w:lang w:val="en-US"/>
        </w:rPr>
        <w:t xml:space="preserve"> represent the linear coefficients;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11</m:t>
            </m:r>
          </m:sub>
        </m:sSub>
      </m:oMath>
      <w:r w:rsidRPr="00D5506A">
        <w:rPr>
          <w:iCs/>
          <w:lang w:val="en-US"/>
        </w:rPr>
        <w:t xml:space="preserve"> and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22</m:t>
            </m:r>
          </m:sub>
        </m:sSub>
      </m:oMath>
      <w:r w:rsidRPr="00D5506A">
        <w:rPr>
          <w:iCs/>
          <w:lang w:val="en-US"/>
        </w:rPr>
        <w:t xml:space="preserve"> represent the quadratic coefficients; </w:t>
      </w:r>
      <m:oMath>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12</m:t>
            </m:r>
          </m:sub>
        </m:sSub>
      </m:oMath>
      <w:r w:rsidRPr="00D5506A">
        <w:rPr>
          <w:iCs/>
          <w:lang w:val="en-US"/>
        </w:rPr>
        <w:t xml:space="preserve"> represent the interaction coefficient;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oMath>
      <w:r w:rsidRPr="00D5506A">
        <w:rPr>
          <w:iCs/>
          <w:lang w:val="en-US"/>
        </w:rPr>
        <w:t xml:space="preserve"> and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oMath>
      <w:r w:rsidRPr="00D5506A">
        <w:rPr>
          <w:iCs/>
          <w:lang w:val="en-US"/>
        </w:rPr>
        <w:t xml:space="preserve"> are independent variables. </w:t>
      </w:r>
      <w:r w:rsidR="00123D77" w:rsidRPr="00D5506A">
        <w:rPr>
          <w:lang w:val="en-US"/>
        </w:rPr>
        <w:t>Response surface plots were generated for adjusted models with no significant lack of fit (</w:t>
      </w:r>
      <m:oMath>
        <m:r>
          <w:rPr>
            <w:rFonts w:ascii="Cambria Math" w:hAnsi="Cambria Math"/>
            <w:lang w:val="en-US"/>
          </w:rPr>
          <m:t>LoF</m:t>
        </m:r>
      </m:oMath>
      <w:r w:rsidR="00123D77" w:rsidRPr="00D5506A">
        <w:rPr>
          <w:lang w:val="en-US"/>
        </w:rPr>
        <w:t>) and a coefficient of determination (</w:t>
      </w:r>
      <m:oMath>
        <m:sSup>
          <m:sSupPr>
            <m:ctrlPr>
              <w:rPr>
                <w:rFonts w:ascii="Cambria Math" w:hAnsi="Cambria Math"/>
                <w:i/>
                <w:lang w:val="en-US"/>
              </w:rPr>
            </m:ctrlPr>
          </m:sSupPr>
          <m:e>
            <m:r>
              <w:rPr>
                <w:rFonts w:ascii="Cambria Math" w:hAnsi="Cambria Math"/>
                <w:lang w:val="en-US"/>
              </w:rPr>
              <m:t>R</m:t>
            </m:r>
          </m:e>
          <m:sup>
            <m:r>
              <w:rPr>
                <w:rFonts w:ascii="Cambria Math" w:hAnsi="Cambria Math"/>
                <w:lang w:val="en-US"/>
              </w:rPr>
              <m:t>2</m:t>
            </m:r>
          </m:sup>
        </m:sSup>
      </m:oMath>
      <w:r w:rsidR="00123D77" w:rsidRPr="00D5506A">
        <w:rPr>
          <w:lang w:val="en-US"/>
        </w:rPr>
        <w:t>) &gt; 0.70</w:t>
      </w:r>
      <w:r w:rsidR="009C273A" w:rsidRPr="00D5506A">
        <w:rPr>
          <w:lang w:val="en-US"/>
        </w:rPr>
        <w:t xml:space="preserve"> </w:t>
      </w:r>
      <w:r w:rsidR="009C273A" w:rsidRPr="00D5506A">
        <w:rPr>
          <w:lang w:val="en-US"/>
        </w:rPr>
        <w:fldChar w:fldCharType="begin" w:fldLock="1"/>
      </w:r>
      <w:r w:rsidR="009C273A" w:rsidRPr="00D5506A">
        <w:rPr>
          <w:lang w:val="en-US"/>
        </w:rPr>
        <w:instrText>ADDIN CSL_CITATION {"citationItems":[{"id":"ITEM-1","itemData":{"DOI":"10.1111/JFPE.13303","ISSN":"1745-4530","abstract":"Whole grain flour blends from maize, rice, and sorghum were processed in a single screw extruder to produce puffed snacks and the physical properties of the extrudates were determined. Blends from sorghum or maize at high proportions (70%) produced extrudates with low expansion, high apparent density, and small and uniformly distributed air bubbles in their structures that affected texture. Suspensions rich in sorghum reduced setback viscosities. Extrudates produced from equal proportion of maize, rice, and sorghum presented low compression forces and minimum crispness work, whereas blends with high proportion of sorghum affected these textural responses negatively. The choice of a blend of equal proportion of whole grain flours of those three components would allow to produce nutritious puffed snacks with relatively higher dietary fiber content, provided by maize and sorghum, higher protein content by sorghum component, and higher crispness by rice. Practical applications: The use whole grains is growing in gluten-free products, due to the benefits of its components (dietary fiber, phytochemicals, protein, vitamins, and minerals) which make them attractive raw materials for designing new alternative foods with health benefits. Gluten-free cereals: maize, rice, and sorghum are available sources in the Americas, particularly in Brazil and in the United States. The thermoplastic extrusion is a cooking technique that allows the combination of heat and shear causing unique changes to the textural properties of the final product. Therefore, whole grain flours with appropriate modulation of the extrusion parameters can be used to create fiber rich cereal products. The use of gluten-free whole grain flours blends includes ready-to-eat dietary fiber rich snacks (puffed extrudates) and, with appropriate milling, it could also be used as ingredient for baking applications, dehydrated instant foods (porridge), cereal beverages, as well as for other innovative applications in the food industry.","author":[{"dropping-particle":"","family":"Toledo","given":"Vanessa C.S.","non-dropping-particle":"","parse-names":false,"suffix":""},{"dropping-particle":"","family":"Carvalho","given":"Carlos W.P.","non-dropping-particle":"","parse-names":false,"suffix":""},{"dropping-particle":"","family":"Vargas-Solórzano","given":"Jhony W.","non-dropping-particle":"","parse-names":false,"suffix":""},{"dropping-particle":"","family":"Ascheri","given":"José L.R.","non-dropping-particle":"","parse-names":false,"suffix":""},{"dropping-particle":"","family":"Comettant-Rabanal","given":"Raúl","non-dropping-particle":"","parse-names":false,"suffix":""}],"container-title":"Journal of Food Process Engineering","id":"ITEM-1","issue":"2","issued":{"date-parts":[["2020","2","1"]]},"page":"e13303","publisher":"John Wiley &amp; Sons, Ltd","title":"Extrusion cooking of gluten-free whole grain flour blends","type":"article-journal","volume":"43"},"uris":["http://www.mendeley.com/documents/?uuid=ce9e22fe-d765-3d7f-ae63-52bdca788734"]}],"mendeley":{"formattedCitation":"[9]","plainTextFormattedCitation":"[9]"},"properties":{"noteIndex":0},"schema":"https://github.com/citation-style-language/schema/raw/master/csl-citation.json"}</w:instrText>
      </w:r>
      <w:r w:rsidR="009C273A" w:rsidRPr="00D5506A">
        <w:rPr>
          <w:lang w:val="en-US"/>
        </w:rPr>
        <w:fldChar w:fldCharType="separate"/>
      </w:r>
      <w:r w:rsidR="009C273A" w:rsidRPr="00D5506A">
        <w:rPr>
          <w:noProof/>
          <w:lang w:val="en-US"/>
        </w:rPr>
        <w:t>[</w:t>
      </w:r>
      <w:r w:rsidR="009C273A" w:rsidRPr="00D5506A">
        <w:rPr>
          <w:noProof/>
          <w:color w:val="0000CC"/>
          <w:lang w:val="en-US"/>
        </w:rPr>
        <w:t>9</w:t>
      </w:r>
      <w:r w:rsidR="009C273A" w:rsidRPr="00D5506A">
        <w:rPr>
          <w:noProof/>
          <w:lang w:val="en-US"/>
        </w:rPr>
        <w:t>]</w:t>
      </w:r>
      <w:r w:rsidR="009C273A" w:rsidRPr="00D5506A">
        <w:rPr>
          <w:lang w:val="en-US"/>
        </w:rPr>
        <w:fldChar w:fldCharType="end"/>
      </w:r>
      <w:r w:rsidR="00123D77" w:rsidRPr="00D5506A">
        <w:rPr>
          <w:lang w:val="en-US"/>
        </w:rPr>
        <w:t xml:space="preserve">. </w:t>
      </w:r>
      <w:r w:rsidRPr="00D5506A">
        <w:rPr>
          <w:iCs/>
          <w:lang w:val="en-US"/>
        </w:rPr>
        <w:t>Level curves selected for each response were superimposed to find optimal regions of operation from the technological point of view. Multiple responses analysis was performed by reducing data variability to two principal components (</w:t>
      </w:r>
      <m:oMath>
        <m:r>
          <w:rPr>
            <w:rFonts w:ascii="Cambria Math" w:hAnsi="Cambria Math"/>
            <w:lang w:val="en-US"/>
          </w:rPr>
          <m:t>PCA</m:t>
        </m:r>
      </m:oMath>
      <w:r w:rsidRPr="00D5506A">
        <w:rPr>
          <w:iCs/>
          <w:lang w:val="en-US"/>
        </w:rPr>
        <w:t>) in which correlations among the sensory responses. Correlations below 0.5 were considered weak and above 0.8 strong</w:t>
      </w:r>
      <w:r w:rsidR="00123D77" w:rsidRPr="00D5506A">
        <w:rPr>
          <w:iCs/>
          <w:lang w:val="en-US"/>
        </w:rPr>
        <w:t xml:space="preserve"> </w:t>
      </w:r>
      <w:r w:rsidR="00123D77" w:rsidRPr="00D5506A">
        <w:rPr>
          <w:iCs/>
          <w:lang w:val="en-US"/>
        </w:rPr>
        <w:fldChar w:fldCharType="begin" w:fldLock="1"/>
      </w:r>
      <w:r w:rsidR="009C273A" w:rsidRPr="00D5506A">
        <w:rPr>
          <w:iCs/>
          <w:lang w:val="en-US"/>
        </w:rPr>
        <w:instrText>ADDIN CSL_CITATION {"citationItems":[{"id":"ITEM-1","itemData":{"ISBN":"978-1-119-40030-1","author":[{"dropping-particle":"","family":"Montgomery","given":"D C","non-dropping-particle":"","parse-names":false,"suffix":""},{"dropping-particle":"","family":"Runger","given":"G C","non-dropping-particle":"","parse-names":false,"suffix":""}],"edition":"7th","id":"ITEM-1","issued":{"date-parts":[["2018"]]},"number-of-pages":"710","publisher":"John Wiley &amp; Sons, Inc. Arizona State University, USA","title":"Applied statistics and probability for engineers","type":"book"},"uris":["http://www.mendeley.com/documents/?uuid=170eaaf7-18ed-48dd-be2b-55509c081a93"]}],"mendeley":{"formattedCitation":"[10]","plainTextFormattedCitation":"[10]","previouslyFormattedCitation":"[9]"},"properties":{"noteIndex":0},"schema":"https://github.com/citation-style-language/schema/raw/master/csl-citation.json"}</w:instrText>
      </w:r>
      <w:r w:rsidR="00123D77" w:rsidRPr="00D5506A">
        <w:rPr>
          <w:iCs/>
          <w:lang w:val="en-US"/>
        </w:rPr>
        <w:fldChar w:fldCharType="separate"/>
      </w:r>
      <w:r w:rsidR="009C273A" w:rsidRPr="00D5506A">
        <w:rPr>
          <w:iCs/>
          <w:noProof/>
          <w:lang w:val="en-US"/>
        </w:rPr>
        <w:t>[</w:t>
      </w:r>
      <w:r w:rsidR="009C273A" w:rsidRPr="00D5506A">
        <w:rPr>
          <w:iCs/>
          <w:noProof/>
          <w:color w:val="0000CC"/>
          <w:lang w:val="en-US"/>
        </w:rPr>
        <w:t>10</w:t>
      </w:r>
      <w:r w:rsidR="009C273A" w:rsidRPr="00D5506A">
        <w:rPr>
          <w:iCs/>
          <w:noProof/>
          <w:lang w:val="en-US"/>
        </w:rPr>
        <w:t>]</w:t>
      </w:r>
      <w:r w:rsidR="00123D77" w:rsidRPr="00D5506A">
        <w:rPr>
          <w:iCs/>
          <w:lang w:val="en-US"/>
        </w:rPr>
        <w:fldChar w:fldCharType="end"/>
      </w:r>
      <w:r w:rsidRPr="00D5506A">
        <w:rPr>
          <w:iCs/>
          <w:lang w:val="en-US"/>
        </w:rPr>
        <w:t xml:space="preserve">. Tukey's statistical test was performed for the comparison of means between treatments, after confirming the significant differences between the </w:t>
      </w:r>
      <m:oMath>
        <m:r>
          <w:rPr>
            <w:rFonts w:ascii="Cambria Math" w:hAnsi="Cambria Math"/>
            <w:lang w:val="en-US"/>
          </w:rPr>
          <m:t>ANOVAs</m:t>
        </m:r>
      </m:oMath>
      <w:r w:rsidRPr="00D5506A">
        <w:rPr>
          <w:iCs/>
          <w:lang w:val="en-US"/>
        </w:rPr>
        <w:t xml:space="preserve">. </w:t>
      </w:r>
      <w:r w:rsidRPr="00D5506A">
        <w:rPr>
          <w:iCs/>
          <w:lang w:val="en-US"/>
        </w:rPr>
        <w:lastRenderedPageBreak/>
        <w:t>Statistical analyses were performed using Statistica software version 12.0 (StatSoft, Tulsa, USA). The study of correlations between variables was carried out using software R version 3.2.4 (R Foundation for Statistical Computing, Vien</w:t>
      </w:r>
      <w:r w:rsidR="00DD544E" w:rsidRPr="00D5506A">
        <w:rPr>
          <w:iCs/>
          <w:lang w:val="en-US"/>
        </w:rPr>
        <w:t>n</w:t>
      </w:r>
      <w:r w:rsidRPr="00D5506A">
        <w:rPr>
          <w:iCs/>
          <w:lang w:val="en-US"/>
        </w:rPr>
        <w:t xml:space="preserve">a, </w:t>
      </w:r>
      <w:r w:rsidR="00DD544E" w:rsidRPr="00D5506A">
        <w:rPr>
          <w:iCs/>
          <w:lang w:val="en-US"/>
        </w:rPr>
        <w:t>A</w:t>
      </w:r>
      <w:r w:rsidRPr="00D5506A">
        <w:rPr>
          <w:iCs/>
          <w:lang w:val="en-US"/>
        </w:rPr>
        <w:t>ustria). Significant differences were based on a 5% (p &lt; 0.05).</w:t>
      </w:r>
    </w:p>
    <w:p w14:paraId="0FC647DC" w14:textId="77777777" w:rsidR="009C273A" w:rsidRPr="00D5506A" w:rsidRDefault="009C273A" w:rsidP="00DD544E">
      <w:pPr>
        <w:spacing w:line="480" w:lineRule="auto"/>
        <w:rPr>
          <w:lang w:val="en-US"/>
        </w:rPr>
      </w:pPr>
    </w:p>
    <w:p w14:paraId="1487B339" w14:textId="7AD67152" w:rsidR="00E77AB5" w:rsidRPr="00D5506A" w:rsidRDefault="0096264D" w:rsidP="0096264D">
      <w:pPr>
        <w:pStyle w:val="Ttulo1"/>
        <w:spacing w:line="480" w:lineRule="auto"/>
        <w:jc w:val="left"/>
        <w:rPr>
          <w:lang w:val="en-US"/>
        </w:rPr>
      </w:pPr>
      <w:r w:rsidRPr="00D5506A">
        <w:rPr>
          <w:lang w:val="en-US"/>
        </w:rPr>
        <w:t xml:space="preserve">References </w:t>
      </w:r>
    </w:p>
    <w:p w14:paraId="4A2BB0B2" w14:textId="7F9355B9" w:rsidR="009C273A" w:rsidRPr="00D5506A" w:rsidRDefault="0096264D" w:rsidP="00DD544E">
      <w:pPr>
        <w:widowControl w:val="0"/>
        <w:autoSpaceDE w:val="0"/>
        <w:autoSpaceDN w:val="0"/>
        <w:adjustRightInd w:val="0"/>
        <w:spacing w:line="480" w:lineRule="auto"/>
        <w:ind w:left="426" w:hanging="426"/>
        <w:rPr>
          <w:noProof/>
          <w:lang w:val="en-US"/>
        </w:rPr>
      </w:pPr>
      <w:r w:rsidRPr="00D5506A">
        <w:rPr>
          <w:lang w:val="en-US"/>
        </w:rPr>
        <w:fldChar w:fldCharType="begin" w:fldLock="1"/>
      </w:r>
      <w:r w:rsidRPr="00D5506A">
        <w:rPr>
          <w:lang w:val="en-US"/>
        </w:rPr>
        <w:instrText xml:space="preserve">ADDIN Mendeley Bibliography CSL_BIBLIOGRAPHY </w:instrText>
      </w:r>
      <w:r w:rsidRPr="00D5506A">
        <w:rPr>
          <w:lang w:val="en-US"/>
        </w:rPr>
        <w:fldChar w:fldCharType="separate"/>
      </w:r>
      <w:r w:rsidR="009C273A" w:rsidRPr="00D5506A">
        <w:rPr>
          <w:noProof/>
          <w:lang w:val="en-US"/>
        </w:rPr>
        <w:t xml:space="preserve">1. </w:t>
      </w:r>
      <w:r w:rsidR="009C273A" w:rsidRPr="00D5506A">
        <w:rPr>
          <w:noProof/>
          <w:lang w:val="en-US"/>
        </w:rPr>
        <w:tab/>
        <w:t xml:space="preserve">Laemmli UK (1970) Cleavage of Structural Proteins during the Assembly of the Head of Bacteriophage T4. Nat 1970 2275259 227:680–685. </w:t>
      </w:r>
      <w:r w:rsidR="009C273A" w:rsidRPr="00D5506A">
        <w:rPr>
          <w:noProof/>
          <w:color w:val="0000CC"/>
          <w:lang w:val="en-US"/>
        </w:rPr>
        <w:t>https://doi.org/10.1038/227680a0</w:t>
      </w:r>
    </w:p>
    <w:p w14:paraId="09267828"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2. </w:t>
      </w:r>
      <w:r w:rsidRPr="00D5506A">
        <w:rPr>
          <w:noProof/>
          <w:lang w:val="en-US"/>
        </w:rPr>
        <w:tab/>
        <w:t>AACC (1995) Approved Methods of the American Association of Cereal Chemists</w:t>
      </w:r>
    </w:p>
    <w:p w14:paraId="23DC41B1"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FF4EF5">
        <w:rPr>
          <w:noProof/>
        </w:rPr>
        <w:t xml:space="preserve">3. </w:t>
      </w:r>
      <w:r w:rsidRPr="00FF4EF5">
        <w:rPr>
          <w:noProof/>
        </w:rPr>
        <w:tab/>
        <w:t xml:space="preserve">Dutcosky SD (2019) Análise Sensorial de Alimentos, 2nd ed. </w:t>
      </w:r>
      <w:r w:rsidRPr="00D5506A">
        <w:rPr>
          <w:noProof/>
          <w:lang w:val="en-US"/>
        </w:rPr>
        <w:t>Champagnat, Curitiba</w:t>
      </w:r>
    </w:p>
    <w:p w14:paraId="53D0EEC1" w14:textId="00F51C73"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4. </w:t>
      </w:r>
      <w:r w:rsidRPr="00D5506A">
        <w:rPr>
          <w:noProof/>
          <w:lang w:val="en-US"/>
        </w:rPr>
        <w:tab/>
        <w:t xml:space="preserve">AOAC (2005) </w:t>
      </w:r>
      <w:r w:rsidR="00DD544E" w:rsidRPr="00D5506A">
        <w:rPr>
          <w:noProof/>
          <w:lang w:val="en-US"/>
        </w:rPr>
        <w:t>Official Methods of Analysis of the Association of Official Analytical Chemistry (18th ed.), Gaithersburg: AOAC International</w:t>
      </w:r>
    </w:p>
    <w:p w14:paraId="11643895"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5. </w:t>
      </w:r>
      <w:r w:rsidRPr="00D5506A">
        <w:rPr>
          <w:noProof/>
          <w:lang w:val="en-US"/>
        </w:rPr>
        <w:tab/>
        <w:t xml:space="preserve">Ribeiro Oliveira A, Chaves Ribeiro AE, Resende Oliveira É, et al (2019) Broken rice grains pregelatinized flours incorporated with lyophilized açaí pulp and the effect of extrusion on their physicochemical properties. J Food Sci Technol 56:1337–1348. </w:t>
      </w:r>
      <w:r w:rsidRPr="00D5506A">
        <w:rPr>
          <w:noProof/>
          <w:color w:val="0000CC"/>
          <w:lang w:val="en-US"/>
        </w:rPr>
        <w:t>https://doi.org/https://doi.org/10.1007/s13197-019-03606-y</w:t>
      </w:r>
    </w:p>
    <w:p w14:paraId="4CDB7722" w14:textId="0BFDE8D2"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6. </w:t>
      </w:r>
      <w:r w:rsidRPr="00D5506A">
        <w:rPr>
          <w:noProof/>
          <w:lang w:val="en-US"/>
        </w:rPr>
        <w:tab/>
        <w:t>Singleton VL, Orthofer R, Lamuela-Raventós RM (1999) Analysis of total phenols and other oxidation substrates and antioxidants by means of folin-ciocalteu reagent. In: Methods in Enzymology. Academic Press, pp 152–178</w:t>
      </w:r>
      <w:r w:rsidR="00DD544E" w:rsidRPr="00D5506A">
        <w:rPr>
          <w:noProof/>
          <w:lang w:val="en-US"/>
        </w:rPr>
        <w:t xml:space="preserve">. </w:t>
      </w:r>
      <w:r w:rsidR="00DD544E" w:rsidRPr="00D5506A">
        <w:rPr>
          <w:noProof/>
          <w:color w:val="0000CC"/>
          <w:lang w:val="en-US"/>
        </w:rPr>
        <w:t>https://doi.org/10.1016/S0076-6879(99)99017-1</w:t>
      </w:r>
    </w:p>
    <w:p w14:paraId="1A762660"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7. </w:t>
      </w:r>
      <w:r w:rsidRPr="00D5506A">
        <w:rPr>
          <w:noProof/>
          <w:lang w:val="en-US"/>
        </w:rPr>
        <w:tab/>
        <w:t xml:space="preserve">Blois MS (1958) Antioxidant Determinations by the Use of a Stable Free Radical. Nat 1958 1814617 181:1199–1200. </w:t>
      </w:r>
      <w:r w:rsidRPr="00D5506A">
        <w:rPr>
          <w:noProof/>
          <w:color w:val="0000CC"/>
          <w:lang w:val="en-US"/>
        </w:rPr>
        <w:t>https://doi.org/10.1038/1811199a0</w:t>
      </w:r>
    </w:p>
    <w:p w14:paraId="41AAEE3E"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8. </w:t>
      </w:r>
      <w:r w:rsidRPr="00D5506A">
        <w:rPr>
          <w:noProof/>
          <w:lang w:val="en-US"/>
        </w:rPr>
        <w:tab/>
        <w:t xml:space="preserve">Price ML, Hagerman AE, Butler LG (1980) Tannin Content of Cowpeas, Chickpeas, Pigeon Peas, and Mung Beans. J Agric Food Chem 28:459–461. </w:t>
      </w:r>
      <w:r w:rsidRPr="00D5506A">
        <w:rPr>
          <w:noProof/>
          <w:color w:val="0000CC"/>
          <w:lang w:val="en-US"/>
        </w:rPr>
        <w:t>https://doi.org/https://doi.org/10.1021/jf60228a047</w:t>
      </w:r>
    </w:p>
    <w:p w14:paraId="5582914C" w14:textId="77777777" w:rsidR="009C273A" w:rsidRPr="00D5506A" w:rsidRDefault="009C273A" w:rsidP="00DD544E">
      <w:pPr>
        <w:widowControl w:val="0"/>
        <w:autoSpaceDE w:val="0"/>
        <w:autoSpaceDN w:val="0"/>
        <w:adjustRightInd w:val="0"/>
        <w:spacing w:line="480" w:lineRule="auto"/>
        <w:ind w:left="426" w:hanging="426"/>
        <w:rPr>
          <w:noProof/>
          <w:lang w:val="en-US"/>
        </w:rPr>
      </w:pPr>
      <w:r w:rsidRPr="00D5506A">
        <w:rPr>
          <w:noProof/>
          <w:lang w:val="en-US"/>
        </w:rPr>
        <w:t xml:space="preserve">9. </w:t>
      </w:r>
      <w:r w:rsidRPr="00D5506A">
        <w:rPr>
          <w:noProof/>
          <w:lang w:val="en-US"/>
        </w:rPr>
        <w:tab/>
        <w:t xml:space="preserve">Toledo VCS, Carvalho CWP, Vargas-Solórzano JW, et al (2020) Extrusion cooking of gluten-free whole grain flour blends. J Food Process Eng 43:e13303. </w:t>
      </w:r>
      <w:r w:rsidRPr="00D5506A">
        <w:rPr>
          <w:noProof/>
          <w:color w:val="0000CC"/>
          <w:lang w:val="en-US"/>
        </w:rPr>
        <w:t>https://doi.org/10.1111/JFPE.13303</w:t>
      </w:r>
    </w:p>
    <w:p w14:paraId="6CE44F13" w14:textId="3C4A9542" w:rsidR="0096264D" w:rsidRPr="00D5506A" w:rsidRDefault="009C273A" w:rsidP="00DD544E">
      <w:pPr>
        <w:widowControl w:val="0"/>
        <w:autoSpaceDE w:val="0"/>
        <w:autoSpaceDN w:val="0"/>
        <w:adjustRightInd w:val="0"/>
        <w:spacing w:line="480" w:lineRule="auto"/>
        <w:ind w:left="426" w:hanging="426"/>
        <w:rPr>
          <w:lang w:val="en-US"/>
        </w:rPr>
      </w:pPr>
      <w:r w:rsidRPr="00D5506A">
        <w:rPr>
          <w:noProof/>
          <w:lang w:val="en-US"/>
        </w:rPr>
        <w:t xml:space="preserve">10. </w:t>
      </w:r>
      <w:r w:rsidRPr="00D5506A">
        <w:rPr>
          <w:noProof/>
          <w:lang w:val="en-US"/>
        </w:rPr>
        <w:tab/>
        <w:t>Montgomery DC, Runger GC (2018) Applied statistics and probability for engineers, 7th ed. John Wiley &amp; Sons, Inc. Arizona State University, USA</w:t>
      </w:r>
      <w:r w:rsidR="0096264D" w:rsidRPr="00D5506A">
        <w:rPr>
          <w:lang w:val="en-US"/>
        </w:rPr>
        <w:fldChar w:fldCharType="end"/>
      </w:r>
    </w:p>
    <w:p w14:paraId="3B2498E9" w14:textId="05351CF1" w:rsidR="0027313A" w:rsidRPr="00D5506A" w:rsidRDefault="0027313A" w:rsidP="0027313A">
      <w:pPr>
        <w:rPr>
          <w:lang w:val="en-US"/>
        </w:rPr>
        <w:sectPr w:rsidR="0027313A" w:rsidRPr="00D5506A" w:rsidSect="002C4E81">
          <w:footerReference w:type="default" r:id="rId8"/>
          <w:pgSz w:w="11906" w:h="16838"/>
          <w:pgMar w:top="907" w:right="680" w:bottom="907" w:left="1361" w:header="709" w:footer="709" w:gutter="0"/>
          <w:lnNumType w:countBy="1" w:restart="continuous"/>
          <w:cols w:space="708"/>
          <w:docGrid w:linePitch="360"/>
        </w:sectPr>
      </w:pPr>
    </w:p>
    <w:p w14:paraId="0A69FCE1" w14:textId="366F3AD4" w:rsidR="00D40EB4" w:rsidRPr="00D5506A" w:rsidRDefault="00D40EB4" w:rsidP="00D40EB4">
      <w:pPr>
        <w:pStyle w:val="Ttulo1"/>
        <w:spacing w:line="480" w:lineRule="auto"/>
        <w:jc w:val="left"/>
        <w:rPr>
          <w:lang w:val="en-US"/>
        </w:rPr>
      </w:pPr>
      <w:r w:rsidRPr="00D5506A">
        <w:rPr>
          <w:lang w:val="en-US"/>
        </w:rPr>
        <w:lastRenderedPageBreak/>
        <w:t>Supplementary Table</w:t>
      </w:r>
    </w:p>
    <w:p w14:paraId="3A234C01" w14:textId="620F1DBC" w:rsidR="00F57949" w:rsidRPr="00D5506A" w:rsidRDefault="000F40B4" w:rsidP="00C54EA3">
      <w:pPr>
        <w:pStyle w:val="Legenda"/>
        <w:keepNext/>
        <w:spacing w:after="0" w:line="480" w:lineRule="auto"/>
        <w:rPr>
          <w:i w:val="0"/>
          <w:iCs w:val="0"/>
          <w:color w:val="auto"/>
          <w:sz w:val="24"/>
          <w:szCs w:val="24"/>
          <w:lang w:val="en-US"/>
        </w:rPr>
      </w:pPr>
      <w:r w:rsidRPr="00D5506A">
        <w:rPr>
          <w:b/>
          <w:bCs/>
          <w:i w:val="0"/>
          <w:iCs w:val="0"/>
          <w:color w:val="auto"/>
          <w:sz w:val="24"/>
          <w:szCs w:val="24"/>
          <w:lang w:val="en-US"/>
        </w:rPr>
        <w:t>T</w:t>
      </w:r>
      <w:r w:rsidR="00F57949" w:rsidRPr="00D5506A">
        <w:rPr>
          <w:b/>
          <w:bCs/>
          <w:i w:val="0"/>
          <w:iCs w:val="0"/>
          <w:color w:val="auto"/>
          <w:sz w:val="24"/>
          <w:szCs w:val="24"/>
          <w:lang w:val="en-US"/>
        </w:rPr>
        <w:t xml:space="preserve">able </w:t>
      </w:r>
      <w:r w:rsidRPr="00D5506A">
        <w:rPr>
          <w:b/>
          <w:bCs/>
          <w:i w:val="0"/>
          <w:iCs w:val="0"/>
          <w:color w:val="auto"/>
          <w:sz w:val="24"/>
          <w:szCs w:val="24"/>
          <w:lang w:val="en-US"/>
        </w:rPr>
        <w:t>S</w:t>
      </w:r>
      <w:r w:rsidR="00F57949" w:rsidRPr="00D5506A">
        <w:rPr>
          <w:b/>
          <w:bCs/>
          <w:i w:val="0"/>
          <w:iCs w:val="0"/>
          <w:color w:val="auto"/>
          <w:sz w:val="24"/>
          <w:szCs w:val="24"/>
          <w:lang w:val="en-US"/>
        </w:rPr>
        <w:fldChar w:fldCharType="begin"/>
      </w:r>
      <w:r w:rsidR="00F57949" w:rsidRPr="00D5506A">
        <w:rPr>
          <w:b/>
          <w:bCs/>
          <w:i w:val="0"/>
          <w:iCs w:val="0"/>
          <w:color w:val="auto"/>
          <w:sz w:val="24"/>
          <w:szCs w:val="24"/>
          <w:lang w:val="en-US"/>
        </w:rPr>
        <w:instrText xml:space="preserve"> SEQ Table \* ARABIC </w:instrText>
      </w:r>
      <w:r w:rsidR="00F57949" w:rsidRPr="00D5506A">
        <w:rPr>
          <w:b/>
          <w:bCs/>
          <w:i w:val="0"/>
          <w:iCs w:val="0"/>
          <w:color w:val="auto"/>
          <w:sz w:val="24"/>
          <w:szCs w:val="24"/>
          <w:lang w:val="en-US"/>
        </w:rPr>
        <w:fldChar w:fldCharType="separate"/>
      </w:r>
      <w:r w:rsidRPr="00D5506A">
        <w:rPr>
          <w:b/>
          <w:bCs/>
          <w:i w:val="0"/>
          <w:iCs w:val="0"/>
          <w:noProof/>
          <w:color w:val="auto"/>
          <w:sz w:val="24"/>
          <w:szCs w:val="24"/>
          <w:lang w:val="en-US"/>
        </w:rPr>
        <w:t>1</w:t>
      </w:r>
      <w:r w:rsidR="00F57949" w:rsidRPr="00D5506A">
        <w:rPr>
          <w:b/>
          <w:bCs/>
          <w:i w:val="0"/>
          <w:iCs w:val="0"/>
          <w:color w:val="auto"/>
          <w:sz w:val="24"/>
          <w:szCs w:val="24"/>
          <w:lang w:val="en-US"/>
        </w:rPr>
        <w:fldChar w:fldCharType="end"/>
      </w:r>
      <w:r w:rsidR="00D40EB4" w:rsidRPr="00D5506A">
        <w:rPr>
          <w:b/>
          <w:bCs/>
          <w:i w:val="0"/>
          <w:iCs w:val="0"/>
          <w:color w:val="auto"/>
          <w:sz w:val="24"/>
          <w:szCs w:val="24"/>
          <w:lang w:val="en-US"/>
        </w:rPr>
        <w:t xml:space="preserve"> </w:t>
      </w:r>
      <w:r w:rsidR="00F57949" w:rsidRPr="00D5506A">
        <w:rPr>
          <w:i w:val="0"/>
          <w:iCs w:val="0"/>
          <w:color w:val="auto"/>
          <w:sz w:val="24"/>
          <w:szCs w:val="24"/>
          <w:lang w:val="en-US"/>
        </w:rPr>
        <w:t>Sum of squares (</w:t>
      </w:r>
      <m:oMath>
        <m:r>
          <w:rPr>
            <w:rFonts w:ascii="Cambria Math" w:hAnsi="Cambria Math"/>
            <w:color w:val="auto"/>
            <w:sz w:val="24"/>
            <w:szCs w:val="24"/>
            <w:lang w:val="en-US"/>
          </w:rPr>
          <m:t>SS</m:t>
        </m:r>
      </m:oMath>
      <w:r w:rsidR="00F57949" w:rsidRPr="00D5506A">
        <w:rPr>
          <w:i w:val="0"/>
          <w:iCs w:val="0"/>
          <w:color w:val="auto"/>
          <w:sz w:val="24"/>
          <w:szCs w:val="24"/>
          <w:lang w:val="en-US"/>
        </w:rPr>
        <w:t>) of ANOVA and regression coefficients (</w:t>
      </w:r>
      <m:oMath>
        <m:r>
          <w:rPr>
            <w:rFonts w:ascii="Cambria Math" w:hAnsi="Cambria Math"/>
            <w:color w:val="auto"/>
            <w:sz w:val="24"/>
            <w:szCs w:val="24"/>
            <w:lang w:val="en-US"/>
          </w:rPr>
          <m:t>RC</m:t>
        </m:r>
      </m:oMath>
      <w:r w:rsidR="00F57949" w:rsidRPr="00D5506A">
        <w:rPr>
          <w:i w:val="0"/>
          <w:iCs w:val="0"/>
          <w:color w:val="auto"/>
          <w:sz w:val="24"/>
          <w:szCs w:val="24"/>
          <w:lang w:val="en-US"/>
        </w:rPr>
        <w:t>) (in coded levels) of models adjusted for diameter ratio (</w:t>
      </w:r>
      <m:oMath>
        <m:r>
          <w:rPr>
            <w:rFonts w:ascii="Cambria Math" w:hAnsi="Cambria Math"/>
            <w:color w:val="auto"/>
            <w:sz w:val="24"/>
            <w:szCs w:val="24"/>
            <w:lang w:val="en-US"/>
          </w:rPr>
          <m:t>DR</m:t>
        </m:r>
      </m:oMath>
      <w:r w:rsidR="00F57949" w:rsidRPr="00D5506A">
        <w:rPr>
          <w:i w:val="0"/>
          <w:iCs w:val="0"/>
          <w:color w:val="auto"/>
          <w:sz w:val="24"/>
          <w:szCs w:val="24"/>
          <w:lang w:val="en-US"/>
        </w:rPr>
        <w:t>), specific volume (</w:t>
      </w:r>
      <m:oMath>
        <m:r>
          <w:rPr>
            <w:rFonts w:ascii="Cambria Math" w:hAnsi="Cambria Math"/>
            <w:color w:val="auto"/>
            <w:sz w:val="24"/>
            <w:szCs w:val="24"/>
            <w:lang w:val="en-US"/>
          </w:rPr>
          <m:t>SV</m:t>
        </m:r>
      </m:oMath>
      <w:r w:rsidR="00F57949" w:rsidRPr="00D5506A">
        <w:rPr>
          <w:i w:val="0"/>
          <w:iCs w:val="0"/>
          <w:color w:val="auto"/>
          <w:sz w:val="24"/>
          <w:szCs w:val="24"/>
          <w:lang w:val="en-US"/>
        </w:rPr>
        <w:t>), and hardness (</w:t>
      </w:r>
      <m:oMath>
        <m:r>
          <w:rPr>
            <w:rFonts w:ascii="Cambria Math" w:hAnsi="Cambria Math"/>
            <w:color w:val="auto"/>
            <w:sz w:val="24"/>
            <w:szCs w:val="24"/>
            <w:lang w:val="en-US"/>
          </w:rPr>
          <m:t>H</m:t>
        </m:r>
      </m:oMath>
      <w:r w:rsidR="00F57949" w:rsidRPr="00D5506A">
        <w:rPr>
          <w:i w:val="0"/>
          <w:iCs w:val="0"/>
          <w:color w:val="auto"/>
          <w:sz w:val="24"/>
          <w:szCs w:val="24"/>
          <w:lang w:val="en-US"/>
        </w:rPr>
        <w:t>) of cookies.</w:t>
      </w:r>
    </w:p>
    <w:tbl>
      <w:tblPr>
        <w:tblStyle w:val="Tabelacomgrade"/>
        <w:tblW w:w="9795" w:type="dxa"/>
        <w:tblBorders>
          <w:left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1701"/>
        <w:gridCol w:w="872"/>
        <w:gridCol w:w="313"/>
        <w:gridCol w:w="875"/>
        <w:gridCol w:w="314"/>
        <w:gridCol w:w="263"/>
        <w:gridCol w:w="875"/>
        <w:gridCol w:w="314"/>
        <w:gridCol w:w="1009"/>
        <w:gridCol w:w="314"/>
        <w:gridCol w:w="283"/>
        <w:gridCol w:w="1028"/>
        <w:gridCol w:w="314"/>
        <w:gridCol w:w="1009"/>
        <w:gridCol w:w="311"/>
      </w:tblGrid>
      <w:tr w:rsidR="000F40B4" w:rsidRPr="00D5506A" w14:paraId="0D9D70D3" w14:textId="7C513010" w:rsidTr="002C4E81">
        <w:tc>
          <w:tcPr>
            <w:tcW w:w="1701" w:type="dxa"/>
            <w:tcBorders>
              <w:bottom w:val="nil"/>
            </w:tcBorders>
          </w:tcPr>
          <w:p w14:paraId="60186062" w14:textId="198C27DF" w:rsidR="00FB4CD9" w:rsidRPr="00D5506A" w:rsidRDefault="001A7EDD" w:rsidP="005D295B">
            <w:pPr>
              <w:rPr>
                <w:lang w:val="en-US"/>
              </w:rPr>
            </w:pPr>
            <w:r w:rsidRPr="00D5506A">
              <w:rPr>
                <w:lang w:val="en-US"/>
              </w:rPr>
              <w:t>Factor</w:t>
            </w:r>
          </w:p>
        </w:tc>
        <w:tc>
          <w:tcPr>
            <w:tcW w:w="872" w:type="dxa"/>
            <w:tcBorders>
              <w:top w:val="single" w:sz="4" w:space="0" w:color="auto"/>
              <w:bottom w:val="single" w:sz="4" w:space="0" w:color="auto"/>
            </w:tcBorders>
          </w:tcPr>
          <w:p w14:paraId="223673A2" w14:textId="43C590FB" w:rsidR="00FB4CD9" w:rsidRPr="00D5506A" w:rsidRDefault="00D40EB4" w:rsidP="00174372">
            <w:pPr>
              <w:jc w:val="center"/>
              <w:rPr>
                <w:lang w:val="en-US"/>
              </w:rPr>
            </w:pPr>
            <m:oMathPara>
              <m:oMath>
                <m:r>
                  <w:rPr>
                    <w:rFonts w:ascii="Cambria Math" w:hAnsi="Cambria Math"/>
                    <w:lang w:val="en-US"/>
                  </w:rPr>
                  <m:t>DR</m:t>
                </m:r>
              </m:oMath>
            </m:oMathPara>
          </w:p>
        </w:tc>
        <w:tc>
          <w:tcPr>
            <w:tcW w:w="313" w:type="dxa"/>
            <w:tcBorders>
              <w:top w:val="single" w:sz="4" w:space="0" w:color="auto"/>
              <w:bottom w:val="single" w:sz="4" w:space="0" w:color="auto"/>
            </w:tcBorders>
          </w:tcPr>
          <w:p w14:paraId="5B3D9B74" w14:textId="77777777" w:rsidR="00FB4CD9" w:rsidRPr="00D5506A" w:rsidRDefault="00FB4CD9" w:rsidP="005D295B">
            <w:pPr>
              <w:rPr>
                <w:lang w:val="en-US"/>
              </w:rPr>
            </w:pPr>
          </w:p>
        </w:tc>
        <w:tc>
          <w:tcPr>
            <w:tcW w:w="875" w:type="dxa"/>
            <w:tcBorders>
              <w:top w:val="single" w:sz="4" w:space="0" w:color="auto"/>
              <w:bottom w:val="single" w:sz="4" w:space="0" w:color="auto"/>
            </w:tcBorders>
          </w:tcPr>
          <w:p w14:paraId="1DFED423" w14:textId="79C6D09A" w:rsidR="00FB4CD9" w:rsidRPr="00D5506A" w:rsidRDefault="00FB4CD9" w:rsidP="005D295B">
            <w:pPr>
              <w:rPr>
                <w:lang w:val="en-US"/>
              </w:rPr>
            </w:pPr>
          </w:p>
        </w:tc>
        <w:tc>
          <w:tcPr>
            <w:tcW w:w="314" w:type="dxa"/>
            <w:tcBorders>
              <w:top w:val="single" w:sz="4" w:space="0" w:color="auto"/>
              <w:bottom w:val="single" w:sz="4" w:space="0" w:color="auto"/>
            </w:tcBorders>
          </w:tcPr>
          <w:p w14:paraId="541D04BA" w14:textId="77777777" w:rsidR="00FB4CD9" w:rsidRPr="00D5506A" w:rsidRDefault="00FB4CD9" w:rsidP="005D295B">
            <w:pPr>
              <w:rPr>
                <w:lang w:val="en-US"/>
              </w:rPr>
            </w:pPr>
          </w:p>
        </w:tc>
        <w:tc>
          <w:tcPr>
            <w:tcW w:w="263" w:type="dxa"/>
            <w:tcBorders>
              <w:bottom w:val="nil"/>
            </w:tcBorders>
          </w:tcPr>
          <w:p w14:paraId="54C5ADF3" w14:textId="77777777" w:rsidR="00FB4CD9" w:rsidRPr="00D5506A" w:rsidRDefault="00FB4CD9" w:rsidP="005D295B">
            <w:pPr>
              <w:rPr>
                <w:lang w:val="en-US"/>
              </w:rPr>
            </w:pPr>
          </w:p>
        </w:tc>
        <w:tc>
          <w:tcPr>
            <w:tcW w:w="875" w:type="dxa"/>
            <w:tcBorders>
              <w:top w:val="single" w:sz="4" w:space="0" w:color="auto"/>
              <w:bottom w:val="single" w:sz="4" w:space="0" w:color="auto"/>
            </w:tcBorders>
          </w:tcPr>
          <w:p w14:paraId="784B2E61" w14:textId="2E1F69F0" w:rsidR="00FB4CD9" w:rsidRPr="00D5506A" w:rsidRDefault="00D40EB4" w:rsidP="00174372">
            <w:pPr>
              <w:jc w:val="center"/>
              <w:rPr>
                <w:lang w:val="en-US"/>
              </w:rPr>
            </w:pPr>
            <m:oMathPara>
              <m:oMath>
                <m:r>
                  <w:rPr>
                    <w:rFonts w:ascii="Cambria Math" w:hAnsi="Cambria Math"/>
                    <w:lang w:val="en-US"/>
                  </w:rPr>
                  <m:t>SV</m:t>
                </m:r>
              </m:oMath>
            </m:oMathPara>
          </w:p>
        </w:tc>
        <w:tc>
          <w:tcPr>
            <w:tcW w:w="314" w:type="dxa"/>
            <w:tcBorders>
              <w:top w:val="single" w:sz="4" w:space="0" w:color="auto"/>
              <w:bottom w:val="single" w:sz="4" w:space="0" w:color="auto"/>
            </w:tcBorders>
          </w:tcPr>
          <w:p w14:paraId="59D0F907" w14:textId="77777777" w:rsidR="00FB4CD9" w:rsidRPr="00D5506A" w:rsidRDefault="00FB4CD9" w:rsidP="005D295B">
            <w:pPr>
              <w:rPr>
                <w:lang w:val="en-US"/>
              </w:rPr>
            </w:pPr>
          </w:p>
        </w:tc>
        <w:tc>
          <w:tcPr>
            <w:tcW w:w="1009" w:type="dxa"/>
            <w:tcBorders>
              <w:top w:val="single" w:sz="4" w:space="0" w:color="auto"/>
              <w:bottom w:val="single" w:sz="4" w:space="0" w:color="auto"/>
            </w:tcBorders>
          </w:tcPr>
          <w:p w14:paraId="773F4522" w14:textId="6BCAB00E" w:rsidR="00FB4CD9" w:rsidRPr="00D5506A" w:rsidRDefault="00FB4CD9" w:rsidP="005D295B">
            <w:pPr>
              <w:rPr>
                <w:lang w:val="en-US"/>
              </w:rPr>
            </w:pPr>
          </w:p>
        </w:tc>
        <w:tc>
          <w:tcPr>
            <w:tcW w:w="314" w:type="dxa"/>
            <w:tcBorders>
              <w:top w:val="single" w:sz="4" w:space="0" w:color="auto"/>
              <w:bottom w:val="single" w:sz="4" w:space="0" w:color="auto"/>
            </w:tcBorders>
          </w:tcPr>
          <w:p w14:paraId="79A011D9" w14:textId="77777777" w:rsidR="00FB4CD9" w:rsidRPr="00D5506A" w:rsidRDefault="00FB4CD9" w:rsidP="005D295B">
            <w:pPr>
              <w:rPr>
                <w:lang w:val="en-US"/>
              </w:rPr>
            </w:pPr>
          </w:p>
        </w:tc>
        <w:tc>
          <w:tcPr>
            <w:tcW w:w="283" w:type="dxa"/>
            <w:tcBorders>
              <w:bottom w:val="nil"/>
            </w:tcBorders>
          </w:tcPr>
          <w:p w14:paraId="514C19F8" w14:textId="4F6BE795" w:rsidR="00FB4CD9" w:rsidRPr="00D5506A" w:rsidRDefault="00FB4CD9" w:rsidP="005D295B">
            <w:pPr>
              <w:rPr>
                <w:lang w:val="en-US"/>
              </w:rPr>
            </w:pPr>
          </w:p>
        </w:tc>
        <w:tc>
          <w:tcPr>
            <w:tcW w:w="1028" w:type="dxa"/>
            <w:tcBorders>
              <w:top w:val="single" w:sz="4" w:space="0" w:color="auto"/>
              <w:bottom w:val="single" w:sz="4" w:space="0" w:color="auto"/>
            </w:tcBorders>
          </w:tcPr>
          <w:p w14:paraId="6F8D193B" w14:textId="435955FC" w:rsidR="00FB4CD9" w:rsidRPr="00D5506A" w:rsidRDefault="00D40EB4" w:rsidP="00174372">
            <w:pPr>
              <w:jc w:val="center"/>
              <w:rPr>
                <w:lang w:val="en-US"/>
              </w:rPr>
            </w:pPr>
            <m:oMathPara>
              <m:oMath>
                <m:r>
                  <w:rPr>
                    <w:rFonts w:ascii="Cambria Math" w:hAnsi="Cambria Math"/>
                    <w:lang w:val="en-US"/>
                  </w:rPr>
                  <m:t>H</m:t>
                </m:r>
              </m:oMath>
            </m:oMathPara>
          </w:p>
        </w:tc>
        <w:tc>
          <w:tcPr>
            <w:tcW w:w="314" w:type="dxa"/>
            <w:tcBorders>
              <w:top w:val="single" w:sz="4" w:space="0" w:color="auto"/>
              <w:bottom w:val="single" w:sz="4" w:space="0" w:color="auto"/>
            </w:tcBorders>
          </w:tcPr>
          <w:p w14:paraId="2A94D254" w14:textId="77777777" w:rsidR="00FB4CD9" w:rsidRPr="00D5506A" w:rsidRDefault="00FB4CD9" w:rsidP="005D295B">
            <w:pPr>
              <w:rPr>
                <w:lang w:val="en-US"/>
              </w:rPr>
            </w:pPr>
          </w:p>
        </w:tc>
        <w:tc>
          <w:tcPr>
            <w:tcW w:w="1009" w:type="dxa"/>
            <w:tcBorders>
              <w:top w:val="single" w:sz="4" w:space="0" w:color="auto"/>
              <w:bottom w:val="single" w:sz="4" w:space="0" w:color="auto"/>
            </w:tcBorders>
          </w:tcPr>
          <w:p w14:paraId="130DD9FB" w14:textId="63EA3234" w:rsidR="00FB4CD9" w:rsidRPr="00D5506A" w:rsidRDefault="00FB4CD9" w:rsidP="005D295B">
            <w:pPr>
              <w:rPr>
                <w:lang w:val="en-US"/>
              </w:rPr>
            </w:pPr>
          </w:p>
        </w:tc>
        <w:tc>
          <w:tcPr>
            <w:tcW w:w="311" w:type="dxa"/>
            <w:tcBorders>
              <w:top w:val="single" w:sz="4" w:space="0" w:color="auto"/>
              <w:bottom w:val="single" w:sz="4" w:space="0" w:color="auto"/>
            </w:tcBorders>
          </w:tcPr>
          <w:p w14:paraId="51ADD650" w14:textId="77777777" w:rsidR="00FB4CD9" w:rsidRPr="00D5506A" w:rsidRDefault="00FB4CD9" w:rsidP="005D295B">
            <w:pPr>
              <w:rPr>
                <w:lang w:val="en-US"/>
              </w:rPr>
            </w:pPr>
          </w:p>
        </w:tc>
      </w:tr>
      <w:tr w:rsidR="000F40B4" w:rsidRPr="00D5506A" w14:paraId="1B5FC3A5" w14:textId="1503A8AF" w:rsidTr="002C4E81">
        <w:tc>
          <w:tcPr>
            <w:tcW w:w="1701" w:type="dxa"/>
            <w:tcBorders>
              <w:top w:val="nil"/>
              <w:bottom w:val="single" w:sz="4" w:space="0" w:color="auto"/>
            </w:tcBorders>
          </w:tcPr>
          <w:p w14:paraId="6BFE0413" w14:textId="3B8C89B8" w:rsidR="00FB4CD9" w:rsidRPr="00D5506A" w:rsidRDefault="00FB4CD9" w:rsidP="005D295B">
            <w:pPr>
              <w:rPr>
                <w:lang w:val="en-US"/>
              </w:rPr>
            </w:pPr>
          </w:p>
        </w:tc>
        <w:tc>
          <w:tcPr>
            <w:tcW w:w="872" w:type="dxa"/>
            <w:tcBorders>
              <w:top w:val="single" w:sz="4" w:space="0" w:color="auto"/>
              <w:bottom w:val="single" w:sz="4" w:space="0" w:color="auto"/>
            </w:tcBorders>
          </w:tcPr>
          <w:p w14:paraId="0AEF3A4D" w14:textId="26BE4AB4" w:rsidR="00FB4CD9" w:rsidRPr="00D5506A" w:rsidRDefault="00691676" w:rsidP="001A7EDD">
            <w:pPr>
              <w:jc w:val="center"/>
              <w:rPr>
                <w:lang w:val="en-US"/>
              </w:rPr>
            </w:pPr>
            <m:oMathPara>
              <m:oMath>
                <m:r>
                  <w:rPr>
                    <w:rFonts w:ascii="Cambria Math" w:hAnsi="Cambria Math"/>
                    <w:lang w:val="en-US"/>
                  </w:rPr>
                  <m:t>SS</m:t>
                </m:r>
              </m:oMath>
            </m:oMathPara>
          </w:p>
        </w:tc>
        <w:tc>
          <w:tcPr>
            <w:tcW w:w="313" w:type="dxa"/>
            <w:tcBorders>
              <w:top w:val="single" w:sz="4" w:space="0" w:color="auto"/>
              <w:bottom w:val="single" w:sz="4" w:space="0" w:color="auto"/>
            </w:tcBorders>
          </w:tcPr>
          <w:p w14:paraId="39DF6144" w14:textId="77777777" w:rsidR="00FB4CD9" w:rsidRPr="00D5506A" w:rsidRDefault="00FB4CD9" w:rsidP="001A7EDD">
            <w:pPr>
              <w:jc w:val="center"/>
              <w:rPr>
                <w:lang w:val="en-US"/>
              </w:rPr>
            </w:pPr>
          </w:p>
        </w:tc>
        <w:tc>
          <w:tcPr>
            <w:tcW w:w="875" w:type="dxa"/>
            <w:tcBorders>
              <w:top w:val="single" w:sz="4" w:space="0" w:color="auto"/>
              <w:bottom w:val="single" w:sz="4" w:space="0" w:color="auto"/>
            </w:tcBorders>
          </w:tcPr>
          <w:p w14:paraId="169C56F2" w14:textId="582ACC0D" w:rsidR="00FB4CD9" w:rsidRPr="00D5506A" w:rsidRDefault="00691676" w:rsidP="001A7EDD">
            <w:pPr>
              <w:jc w:val="center"/>
              <w:rPr>
                <w:lang w:val="en-US"/>
              </w:rPr>
            </w:pPr>
            <m:oMathPara>
              <m:oMath>
                <m:r>
                  <w:rPr>
                    <w:rFonts w:ascii="Cambria Math" w:hAnsi="Cambria Math"/>
                    <w:lang w:val="en-US"/>
                  </w:rPr>
                  <m:t>RC</m:t>
                </m:r>
              </m:oMath>
            </m:oMathPara>
          </w:p>
        </w:tc>
        <w:tc>
          <w:tcPr>
            <w:tcW w:w="314" w:type="dxa"/>
            <w:tcBorders>
              <w:top w:val="single" w:sz="4" w:space="0" w:color="auto"/>
              <w:bottom w:val="single" w:sz="4" w:space="0" w:color="auto"/>
            </w:tcBorders>
          </w:tcPr>
          <w:p w14:paraId="06C03385" w14:textId="77777777" w:rsidR="00FB4CD9" w:rsidRPr="00D5506A" w:rsidRDefault="00FB4CD9" w:rsidP="005D295B">
            <w:pPr>
              <w:rPr>
                <w:lang w:val="en-US"/>
              </w:rPr>
            </w:pPr>
          </w:p>
        </w:tc>
        <w:tc>
          <w:tcPr>
            <w:tcW w:w="263" w:type="dxa"/>
            <w:tcBorders>
              <w:top w:val="nil"/>
              <w:bottom w:val="single" w:sz="4" w:space="0" w:color="auto"/>
            </w:tcBorders>
          </w:tcPr>
          <w:p w14:paraId="600B0D69" w14:textId="77777777" w:rsidR="00FB4CD9" w:rsidRPr="00D5506A" w:rsidRDefault="00FB4CD9" w:rsidP="005D295B">
            <w:pPr>
              <w:rPr>
                <w:lang w:val="en-US"/>
              </w:rPr>
            </w:pPr>
          </w:p>
        </w:tc>
        <w:tc>
          <w:tcPr>
            <w:tcW w:w="875" w:type="dxa"/>
            <w:tcBorders>
              <w:top w:val="single" w:sz="4" w:space="0" w:color="auto"/>
              <w:bottom w:val="single" w:sz="4" w:space="0" w:color="auto"/>
            </w:tcBorders>
          </w:tcPr>
          <w:p w14:paraId="1685323C" w14:textId="1C903FDB" w:rsidR="00FB4CD9" w:rsidRPr="00D5506A" w:rsidRDefault="00691676" w:rsidP="001A7EDD">
            <w:pPr>
              <w:jc w:val="center"/>
              <w:rPr>
                <w:lang w:val="en-US"/>
              </w:rPr>
            </w:pPr>
            <m:oMathPara>
              <m:oMath>
                <m:r>
                  <w:rPr>
                    <w:rFonts w:ascii="Cambria Math" w:hAnsi="Cambria Math"/>
                    <w:lang w:val="en-US"/>
                  </w:rPr>
                  <m:t>SS</m:t>
                </m:r>
              </m:oMath>
            </m:oMathPara>
          </w:p>
        </w:tc>
        <w:tc>
          <w:tcPr>
            <w:tcW w:w="314" w:type="dxa"/>
            <w:tcBorders>
              <w:top w:val="single" w:sz="4" w:space="0" w:color="auto"/>
              <w:bottom w:val="single" w:sz="4" w:space="0" w:color="auto"/>
            </w:tcBorders>
          </w:tcPr>
          <w:p w14:paraId="155C7772" w14:textId="77777777" w:rsidR="00FB4CD9" w:rsidRPr="00D5506A" w:rsidRDefault="00FB4CD9" w:rsidP="001A7EDD">
            <w:pPr>
              <w:jc w:val="center"/>
              <w:rPr>
                <w:lang w:val="en-US"/>
              </w:rPr>
            </w:pPr>
          </w:p>
        </w:tc>
        <w:tc>
          <w:tcPr>
            <w:tcW w:w="1009" w:type="dxa"/>
            <w:tcBorders>
              <w:top w:val="single" w:sz="4" w:space="0" w:color="auto"/>
              <w:bottom w:val="single" w:sz="4" w:space="0" w:color="auto"/>
            </w:tcBorders>
          </w:tcPr>
          <w:p w14:paraId="0EE4F520" w14:textId="4893D698" w:rsidR="00FB4CD9" w:rsidRPr="00D5506A" w:rsidRDefault="00691676" w:rsidP="001A7EDD">
            <w:pPr>
              <w:jc w:val="center"/>
              <w:rPr>
                <w:lang w:val="en-US"/>
              </w:rPr>
            </w:pPr>
            <m:oMathPara>
              <m:oMath>
                <m:r>
                  <w:rPr>
                    <w:rFonts w:ascii="Cambria Math" w:hAnsi="Cambria Math"/>
                    <w:lang w:val="en-US"/>
                  </w:rPr>
                  <m:t>RC</m:t>
                </m:r>
              </m:oMath>
            </m:oMathPara>
          </w:p>
        </w:tc>
        <w:tc>
          <w:tcPr>
            <w:tcW w:w="314" w:type="dxa"/>
            <w:tcBorders>
              <w:top w:val="single" w:sz="4" w:space="0" w:color="auto"/>
              <w:bottom w:val="single" w:sz="4" w:space="0" w:color="auto"/>
            </w:tcBorders>
          </w:tcPr>
          <w:p w14:paraId="13DDF40F" w14:textId="77777777" w:rsidR="00FB4CD9" w:rsidRPr="00D5506A" w:rsidRDefault="00FB4CD9" w:rsidP="005D295B">
            <w:pPr>
              <w:rPr>
                <w:lang w:val="en-US"/>
              </w:rPr>
            </w:pPr>
          </w:p>
        </w:tc>
        <w:tc>
          <w:tcPr>
            <w:tcW w:w="283" w:type="dxa"/>
            <w:tcBorders>
              <w:top w:val="nil"/>
              <w:bottom w:val="single" w:sz="4" w:space="0" w:color="auto"/>
            </w:tcBorders>
          </w:tcPr>
          <w:p w14:paraId="009C917D" w14:textId="0CD9A00E" w:rsidR="00FB4CD9" w:rsidRPr="00D5506A" w:rsidRDefault="00FB4CD9" w:rsidP="005D295B">
            <w:pPr>
              <w:rPr>
                <w:lang w:val="en-US"/>
              </w:rPr>
            </w:pPr>
          </w:p>
        </w:tc>
        <w:tc>
          <w:tcPr>
            <w:tcW w:w="1028" w:type="dxa"/>
            <w:tcBorders>
              <w:top w:val="single" w:sz="4" w:space="0" w:color="auto"/>
              <w:bottom w:val="single" w:sz="4" w:space="0" w:color="auto"/>
            </w:tcBorders>
          </w:tcPr>
          <w:p w14:paraId="1186191E" w14:textId="5BB785A7" w:rsidR="00FB4CD9" w:rsidRPr="00D5506A" w:rsidRDefault="00691676" w:rsidP="001A7EDD">
            <w:pPr>
              <w:jc w:val="center"/>
              <w:rPr>
                <w:lang w:val="en-US"/>
              </w:rPr>
            </w:pPr>
            <m:oMathPara>
              <m:oMath>
                <m:r>
                  <w:rPr>
                    <w:rFonts w:ascii="Cambria Math" w:hAnsi="Cambria Math"/>
                    <w:lang w:val="en-US"/>
                  </w:rPr>
                  <m:t>SS</m:t>
                </m:r>
              </m:oMath>
            </m:oMathPara>
          </w:p>
        </w:tc>
        <w:tc>
          <w:tcPr>
            <w:tcW w:w="314" w:type="dxa"/>
            <w:tcBorders>
              <w:top w:val="single" w:sz="4" w:space="0" w:color="auto"/>
              <w:bottom w:val="single" w:sz="4" w:space="0" w:color="auto"/>
            </w:tcBorders>
          </w:tcPr>
          <w:p w14:paraId="3303C773" w14:textId="77777777" w:rsidR="00FB4CD9" w:rsidRPr="00D5506A" w:rsidRDefault="00FB4CD9" w:rsidP="001A7EDD">
            <w:pPr>
              <w:jc w:val="center"/>
              <w:rPr>
                <w:lang w:val="en-US"/>
              </w:rPr>
            </w:pPr>
          </w:p>
        </w:tc>
        <w:tc>
          <w:tcPr>
            <w:tcW w:w="1009" w:type="dxa"/>
            <w:tcBorders>
              <w:top w:val="single" w:sz="4" w:space="0" w:color="auto"/>
              <w:bottom w:val="single" w:sz="4" w:space="0" w:color="auto"/>
            </w:tcBorders>
          </w:tcPr>
          <w:p w14:paraId="607E49EC" w14:textId="46C94BC3" w:rsidR="00FB4CD9" w:rsidRPr="00D5506A" w:rsidRDefault="00691676" w:rsidP="001A7EDD">
            <w:pPr>
              <w:jc w:val="center"/>
              <w:rPr>
                <w:lang w:val="en-US"/>
              </w:rPr>
            </w:pPr>
            <m:oMathPara>
              <m:oMath>
                <m:r>
                  <w:rPr>
                    <w:rFonts w:ascii="Cambria Math" w:hAnsi="Cambria Math"/>
                    <w:lang w:val="en-US"/>
                  </w:rPr>
                  <m:t>RC</m:t>
                </m:r>
              </m:oMath>
            </m:oMathPara>
          </w:p>
        </w:tc>
        <w:tc>
          <w:tcPr>
            <w:tcW w:w="311" w:type="dxa"/>
            <w:tcBorders>
              <w:top w:val="single" w:sz="4" w:space="0" w:color="auto"/>
              <w:bottom w:val="single" w:sz="4" w:space="0" w:color="auto"/>
            </w:tcBorders>
          </w:tcPr>
          <w:p w14:paraId="486B1173" w14:textId="77777777" w:rsidR="00FB4CD9" w:rsidRPr="00D5506A" w:rsidRDefault="00FB4CD9" w:rsidP="001A7EDD">
            <w:pPr>
              <w:jc w:val="center"/>
              <w:rPr>
                <w:lang w:val="en-US"/>
              </w:rPr>
            </w:pPr>
          </w:p>
        </w:tc>
      </w:tr>
      <w:tr w:rsidR="000F40B4" w:rsidRPr="00D5506A" w14:paraId="5CA3E322" w14:textId="4E893461" w:rsidTr="002C4E81">
        <w:tc>
          <w:tcPr>
            <w:tcW w:w="1701" w:type="dxa"/>
            <w:tcBorders>
              <w:top w:val="single" w:sz="4" w:space="0" w:color="auto"/>
            </w:tcBorders>
          </w:tcPr>
          <w:p w14:paraId="43E155A7" w14:textId="7E277E3D" w:rsidR="00FB4CD9" w:rsidRPr="00D5506A" w:rsidRDefault="00D02A3D" w:rsidP="003C185C">
            <w:pPr>
              <w:rPr>
                <w:lang w:val="en-US"/>
              </w:rPr>
            </w:pPr>
            <m:oMathPara>
              <m:oMathParaPr>
                <m:jc m:val="left"/>
              </m:oMathParaPr>
              <m:oMath>
                <m:r>
                  <w:rPr>
                    <w:rFonts w:ascii="Cambria Math" w:hAnsi="Cambria Math"/>
                    <w:lang w:val="en-US"/>
                  </w:rPr>
                  <m:t>Intercept</m:t>
                </m:r>
              </m:oMath>
            </m:oMathPara>
          </w:p>
        </w:tc>
        <w:tc>
          <w:tcPr>
            <w:tcW w:w="872" w:type="dxa"/>
            <w:tcBorders>
              <w:top w:val="single" w:sz="4" w:space="0" w:color="auto"/>
            </w:tcBorders>
          </w:tcPr>
          <w:p w14:paraId="369FB0CD" w14:textId="007B8601" w:rsidR="00FB4CD9" w:rsidRPr="00D5506A" w:rsidRDefault="005148B8" w:rsidP="001A7EDD">
            <w:pPr>
              <w:jc w:val="right"/>
              <w:rPr>
                <w:lang w:val="en-US"/>
              </w:rPr>
            </w:pPr>
            <w:r w:rsidRPr="00D5506A">
              <w:rPr>
                <w:lang w:val="en-US"/>
              </w:rPr>
              <w:t>-</w:t>
            </w:r>
          </w:p>
        </w:tc>
        <w:tc>
          <w:tcPr>
            <w:tcW w:w="313" w:type="dxa"/>
            <w:tcBorders>
              <w:top w:val="single" w:sz="4" w:space="0" w:color="auto"/>
            </w:tcBorders>
          </w:tcPr>
          <w:p w14:paraId="14DD5520" w14:textId="77777777" w:rsidR="00FB4CD9" w:rsidRPr="00D5506A" w:rsidRDefault="00FB4CD9" w:rsidP="003C185C">
            <w:pPr>
              <w:rPr>
                <w:lang w:val="en-US"/>
              </w:rPr>
            </w:pPr>
          </w:p>
        </w:tc>
        <w:tc>
          <w:tcPr>
            <w:tcW w:w="875" w:type="dxa"/>
            <w:tcBorders>
              <w:top w:val="single" w:sz="4" w:space="0" w:color="auto"/>
            </w:tcBorders>
          </w:tcPr>
          <w:p w14:paraId="274E66BD" w14:textId="7595C363" w:rsidR="00FB4CD9" w:rsidRPr="00D5506A" w:rsidRDefault="006E3910" w:rsidP="006E3910">
            <w:pPr>
              <w:jc w:val="right"/>
              <w:rPr>
                <w:lang w:val="en-US"/>
              </w:rPr>
            </w:pPr>
            <w:r w:rsidRPr="00D5506A">
              <w:rPr>
                <w:lang w:val="en-US"/>
              </w:rPr>
              <w:t>1</w:t>
            </w:r>
            <w:r w:rsidR="005148B8" w:rsidRPr="00D5506A">
              <w:rPr>
                <w:lang w:val="en-US"/>
              </w:rPr>
              <w:t>.</w:t>
            </w:r>
            <w:r w:rsidRPr="00D5506A">
              <w:rPr>
                <w:lang w:val="en-US"/>
              </w:rPr>
              <w:t>053</w:t>
            </w:r>
          </w:p>
        </w:tc>
        <w:tc>
          <w:tcPr>
            <w:tcW w:w="314" w:type="dxa"/>
            <w:tcBorders>
              <w:top w:val="single" w:sz="4" w:space="0" w:color="auto"/>
            </w:tcBorders>
          </w:tcPr>
          <w:p w14:paraId="05C83855" w14:textId="5FBF74F7" w:rsidR="00FB4CD9" w:rsidRPr="00D5506A" w:rsidRDefault="005852D4" w:rsidP="003C185C">
            <w:pPr>
              <w:rPr>
                <w:lang w:val="en-US"/>
              </w:rPr>
            </w:pPr>
            <w:r w:rsidRPr="00D5506A">
              <w:rPr>
                <w:lang w:val="en-US"/>
              </w:rPr>
              <w:t>**</w:t>
            </w:r>
          </w:p>
        </w:tc>
        <w:tc>
          <w:tcPr>
            <w:tcW w:w="263" w:type="dxa"/>
            <w:tcBorders>
              <w:top w:val="single" w:sz="4" w:space="0" w:color="auto"/>
            </w:tcBorders>
          </w:tcPr>
          <w:p w14:paraId="7C17B03E" w14:textId="77777777" w:rsidR="00FB4CD9" w:rsidRPr="00D5506A" w:rsidRDefault="00FB4CD9" w:rsidP="003C185C">
            <w:pPr>
              <w:rPr>
                <w:lang w:val="en-US"/>
              </w:rPr>
            </w:pPr>
          </w:p>
        </w:tc>
        <w:tc>
          <w:tcPr>
            <w:tcW w:w="875" w:type="dxa"/>
            <w:tcBorders>
              <w:top w:val="single" w:sz="4" w:space="0" w:color="auto"/>
            </w:tcBorders>
          </w:tcPr>
          <w:p w14:paraId="6D25B5EB" w14:textId="1DD08405" w:rsidR="00FB4CD9" w:rsidRPr="00D5506A" w:rsidRDefault="005148B8" w:rsidP="005852D4">
            <w:pPr>
              <w:jc w:val="right"/>
              <w:rPr>
                <w:lang w:val="en-US"/>
              </w:rPr>
            </w:pPr>
            <w:r w:rsidRPr="00D5506A">
              <w:rPr>
                <w:lang w:val="en-US"/>
              </w:rPr>
              <w:t>-</w:t>
            </w:r>
          </w:p>
        </w:tc>
        <w:tc>
          <w:tcPr>
            <w:tcW w:w="314" w:type="dxa"/>
            <w:tcBorders>
              <w:top w:val="single" w:sz="4" w:space="0" w:color="auto"/>
            </w:tcBorders>
          </w:tcPr>
          <w:p w14:paraId="353BBB72" w14:textId="77777777" w:rsidR="00FB4CD9" w:rsidRPr="00D5506A" w:rsidRDefault="00FB4CD9" w:rsidP="003C185C">
            <w:pPr>
              <w:rPr>
                <w:lang w:val="en-US"/>
              </w:rPr>
            </w:pPr>
          </w:p>
        </w:tc>
        <w:tc>
          <w:tcPr>
            <w:tcW w:w="1009" w:type="dxa"/>
            <w:tcBorders>
              <w:top w:val="single" w:sz="4" w:space="0" w:color="auto"/>
            </w:tcBorders>
          </w:tcPr>
          <w:p w14:paraId="5AC0FC8B" w14:textId="323B3BA4" w:rsidR="00FB4CD9" w:rsidRPr="00D5506A" w:rsidRDefault="00C125FD" w:rsidP="00C125FD">
            <w:pPr>
              <w:jc w:val="right"/>
              <w:rPr>
                <w:lang w:val="en-US"/>
              </w:rPr>
            </w:pPr>
            <w:r w:rsidRPr="00D5506A">
              <w:rPr>
                <w:lang w:val="en-US"/>
              </w:rPr>
              <w:t>1</w:t>
            </w:r>
            <w:r w:rsidR="005148B8" w:rsidRPr="00D5506A">
              <w:rPr>
                <w:lang w:val="en-US"/>
              </w:rPr>
              <w:t>.</w:t>
            </w:r>
            <w:r w:rsidRPr="00D5506A">
              <w:rPr>
                <w:lang w:val="en-US"/>
              </w:rPr>
              <w:t>258</w:t>
            </w:r>
          </w:p>
        </w:tc>
        <w:tc>
          <w:tcPr>
            <w:tcW w:w="314" w:type="dxa"/>
            <w:tcBorders>
              <w:top w:val="single" w:sz="4" w:space="0" w:color="auto"/>
            </w:tcBorders>
          </w:tcPr>
          <w:p w14:paraId="29AAF701" w14:textId="6A1A62B5" w:rsidR="00FB4CD9" w:rsidRPr="00D5506A" w:rsidRDefault="00C125FD" w:rsidP="003C185C">
            <w:pPr>
              <w:rPr>
                <w:lang w:val="en-US"/>
              </w:rPr>
            </w:pPr>
            <w:r w:rsidRPr="00D5506A">
              <w:rPr>
                <w:lang w:val="en-US"/>
              </w:rPr>
              <w:t>**</w:t>
            </w:r>
          </w:p>
        </w:tc>
        <w:tc>
          <w:tcPr>
            <w:tcW w:w="283" w:type="dxa"/>
            <w:tcBorders>
              <w:top w:val="single" w:sz="4" w:space="0" w:color="auto"/>
            </w:tcBorders>
          </w:tcPr>
          <w:p w14:paraId="38A54A38" w14:textId="44E8950D" w:rsidR="00FB4CD9" w:rsidRPr="00D5506A" w:rsidRDefault="00FB4CD9" w:rsidP="003C185C">
            <w:pPr>
              <w:rPr>
                <w:lang w:val="en-US"/>
              </w:rPr>
            </w:pPr>
          </w:p>
        </w:tc>
        <w:tc>
          <w:tcPr>
            <w:tcW w:w="1028" w:type="dxa"/>
            <w:tcBorders>
              <w:top w:val="single" w:sz="4" w:space="0" w:color="auto"/>
            </w:tcBorders>
          </w:tcPr>
          <w:p w14:paraId="381D2B7F" w14:textId="63657B5F" w:rsidR="00FB4CD9" w:rsidRPr="00D5506A" w:rsidRDefault="005148B8" w:rsidP="00C125FD">
            <w:pPr>
              <w:jc w:val="right"/>
              <w:rPr>
                <w:lang w:val="en-US"/>
              </w:rPr>
            </w:pPr>
            <w:r w:rsidRPr="00D5506A">
              <w:rPr>
                <w:lang w:val="en-US"/>
              </w:rPr>
              <w:t>-</w:t>
            </w:r>
          </w:p>
        </w:tc>
        <w:tc>
          <w:tcPr>
            <w:tcW w:w="314" w:type="dxa"/>
            <w:tcBorders>
              <w:top w:val="single" w:sz="4" w:space="0" w:color="auto"/>
            </w:tcBorders>
          </w:tcPr>
          <w:p w14:paraId="3E06B414" w14:textId="77777777" w:rsidR="00FB4CD9" w:rsidRPr="00D5506A" w:rsidRDefault="00FB4CD9" w:rsidP="003C185C">
            <w:pPr>
              <w:rPr>
                <w:lang w:val="en-US"/>
              </w:rPr>
            </w:pPr>
          </w:p>
        </w:tc>
        <w:tc>
          <w:tcPr>
            <w:tcW w:w="1009" w:type="dxa"/>
            <w:tcBorders>
              <w:top w:val="single" w:sz="4" w:space="0" w:color="auto"/>
            </w:tcBorders>
          </w:tcPr>
          <w:p w14:paraId="521A8938" w14:textId="3013BE62" w:rsidR="00FB4CD9" w:rsidRPr="00D5506A" w:rsidRDefault="00FF5E35" w:rsidP="00C125FD">
            <w:pPr>
              <w:jc w:val="right"/>
              <w:rPr>
                <w:lang w:val="en-US"/>
              </w:rPr>
            </w:pPr>
            <w:r w:rsidRPr="00D5506A">
              <w:rPr>
                <w:lang w:val="en-US"/>
              </w:rPr>
              <w:t>1</w:t>
            </w:r>
            <w:r w:rsidR="005148B8" w:rsidRPr="00D5506A">
              <w:rPr>
                <w:lang w:val="en-US"/>
              </w:rPr>
              <w:t>.</w:t>
            </w:r>
            <w:r w:rsidRPr="00D5506A">
              <w:rPr>
                <w:lang w:val="en-US"/>
              </w:rPr>
              <w:t>652</w:t>
            </w:r>
          </w:p>
        </w:tc>
        <w:tc>
          <w:tcPr>
            <w:tcW w:w="311" w:type="dxa"/>
            <w:tcBorders>
              <w:top w:val="single" w:sz="4" w:space="0" w:color="auto"/>
            </w:tcBorders>
          </w:tcPr>
          <w:p w14:paraId="00AB51A5" w14:textId="6A03489B" w:rsidR="00FB4CD9" w:rsidRPr="00D5506A" w:rsidRDefault="00FF5E35" w:rsidP="003C185C">
            <w:pPr>
              <w:rPr>
                <w:lang w:val="en-US"/>
              </w:rPr>
            </w:pPr>
            <w:r w:rsidRPr="00D5506A">
              <w:rPr>
                <w:lang w:val="en-US"/>
              </w:rPr>
              <w:t>**</w:t>
            </w:r>
          </w:p>
        </w:tc>
      </w:tr>
      <w:tr w:rsidR="000F40B4" w:rsidRPr="00D5506A" w14:paraId="340044CB" w14:textId="4767E9B4" w:rsidTr="002C4E81">
        <w:tc>
          <w:tcPr>
            <w:tcW w:w="1701" w:type="dxa"/>
          </w:tcPr>
          <w:p w14:paraId="164D86CA" w14:textId="7C6D4EA9" w:rsidR="001A7EDD" w:rsidRPr="00D5506A" w:rsidRDefault="00FF4EF5" w:rsidP="001A7EDD">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oMath>
            </m:oMathPara>
          </w:p>
        </w:tc>
        <w:tc>
          <w:tcPr>
            <w:tcW w:w="872" w:type="dxa"/>
          </w:tcPr>
          <w:p w14:paraId="3738BB64" w14:textId="4E0E5FA0"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009</w:t>
            </w:r>
          </w:p>
        </w:tc>
        <w:tc>
          <w:tcPr>
            <w:tcW w:w="313" w:type="dxa"/>
          </w:tcPr>
          <w:p w14:paraId="3CF420F2" w14:textId="1ED62695" w:rsidR="001A7EDD" w:rsidRPr="00D5506A" w:rsidRDefault="001A7EDD" w:rsidP="001A7EDD">
            <w:pPr>
              <w:rPr>
                <w:lang w:val="en-US"/>
              </w:rPr>
            </w:pPr>
            <w:r w:rsidRPr="00D5506A">
              <w:rPr>
                <w:lang w:val="en-US"/>
              </w:rPr>
              <w:t>**</w:t>
            </w:r>
          </w:p>
        </w:tc>
        <w:tc>
          <w:tcPr>
            <w:tcW w:w="875" w:type="dxa"/>
          </w:tcPr>
          <w:p w14:paraId="1679B429" w14:textId="74B25143" w:rsidR="001A7EDD" w:rsidRPr="00D5506A" w:rsidRDefault="006E3910" w:rsidP="006E3910">
            <w:pPr>
              <w:jc w:val="right"/>
              <w:rPr>
                <w:lang w:val="en-US"/>
              </w:rPr>
            </w:pPr>
            <w:r w:rsidRPr="00D5506A">
              <w:rPr>
                <w:lang w:val="en-US"/>
              </w:rPr>
              <w:t>-0</w:t>
            </w:r>
            <w:r w:rsidR="005148B8" w:rsidRPr="00D5506A">
              <w:rPr>
                <w:lang w:val="en-US"/>
              </w:rPr>
              <w:t>.</w:t>
            </w:r>
            <w:r w:rsidRPr="00D5506A">
              <w:rPr>
                <w:lang w:val="en-US"/>
              </w:rPr>
              <w:t>034</w:t>
            </w:r>
          </w:p>
        </w:tc>
        <w:tc>
          <w:tcPr>
            <w:tcW w:w="314" w:type="dxa"/>
          </w:tcPr>
          <w:p w14:paraId="560151A6" w14:textId="766B5F8B" w:rsidR="001A7EDD" w:rsidRPr="00D5506A" w:rsidRDefault="005852D4" w:rsidP="001A7EDD">
            <w:pPr>
              <w:rPr>
                <w:lang w:val="en-US"/>
              </w:rPr>
            </w:pPr>
            <w:r w:rsidRPr="00D5506A">
              <w:rPr>
                <w:lang w:val="en-US"/>
              </w:rPr>
              <w:t>**</w:t>
            </w:r>
          </w:p>
        </w:tc>
        <w:tc>
          <w:tcPr>
            <w:tcW w:w="263" w:type="dxa"/>
          </w:tcPr>
          <w:p w14:paraId="7CCC830E" w14:textId="77777777" w:rsidR="001A7EDD" w:rsidRPr="00D5506A" w:rsidRDefault="001A7EDD" w:rsidP="001A7EDD">
            <w:pPr>
              <w:rPr>
                <w:lang w:val="en-US"/>
              </w:rPr>
            </w:pPr>
          </w:p>
        </w:tc>
        <w:tc>
          <w:tcPr>
            <w:tcW w:w="875" w:type="dxa"/>
          </w:tcPr>
          <w:p w14:paraId="0BA63575" w14:textId="15E2B6C9" w:rsidR="001A7EDD" w:rsidRPr="00D5506A" w:rsidRDefault="00C125FD" w:rsidP="005852D4">
            <w:pPr>
              <w:jc w:val="right"/>
              <w:rPr>
                <w:lang w:val="en-US"/>
              </w:rPr>
            </w:pPr>
            <w:r w:rsidRPr="00D5506A">
              <w:rPr>
                <w:lang w:val="en-US"/>
              </w:rPr>
              <w:t>0</w:t>
            </w:r>
            <w:r w:rsidR="005148B8" w:rsidRPr="00D5506A">
              <w:rPr>
                <w:lang w:val="en-US"/>
              </w:rPr>
              <w:t>.</w:t>
            </w:r>
            <w:r w:rsidRPr="00D5506A">
              <w:rPr>
                <w:lang w:val="en-US"/>
              </w:rPr>
              <w:t>038</w:t>
            </w:r>
          </w:p>
        </w:tc>
        <w:tc>
          <w:tcPr>
            <w:tcW w:w="314" w:type="dxa"/>
          </w:tcPr>
          <w:p w14:paraId="5070B4C4" w14:textId="324FB117" w:rsidR="001A7EDD" w:rsidRPr="00D5506A" w:rsidRDefault="00C125FD" w:rsidP="001A7EDD">
            <w:pPr>
              <w:rPr>
                <w:lang w:val="en-US"/>
              </w:rPr>
            </w:pPr>
            <w:r w:rsidRPr="00D5506A">
              <w:rPr>
                <w:lang w:val="en-US"/>
              </w:rPr>
              <w:t>**</w:t>
            </w:r>
          </w:p>
        </w:tc>
        <w:tc>
          <w:tcPr>
            <w:tcW w:w="1009" w:type="dxa"/>
          </w:tcPr>
          <w:p w14:paraId="025D8F6B" w14:textId="33DFFE78"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069</w:t>
            </w:r>
          </w:p>
        </w:tc>
        <w:tc>
          <w:tcPr>
            <w:tcW w:w="314" w:type="dxa"/>
          </w:tcPr>
          <w:p w14:paraId="1384812A" w14:textId="511FC3D3" w:rsidR="001A7EDD" w:rsidRPr="00D5506A" w:rsidRDefault="00C125FD" w:rsidP="001A7EDD">
            <w:pPr>
              <w:rPr>
                <w:lang w:val="en-US"/>
              </w:rPr>
            </w:pPr>
            <w:r w:rsidRPr="00D5506A">
              <w:rPr>
                <w:lang w:val="en-US"/>
              </w:rPr>
              <w:t>**</w:t>
            </w:r>
          </w:p>
        </w:tc>
        <w:tc>
          <w:tcPr>
            <w:tcW w:w="283" w:type="dxa"/>
          </w:tcPr>
          <w:p w14:paraId="5A539B0A" w14:textId="1ED2AEB1" w:rsidR="001A7EDD" w:rsidRPr="00D5506A" w:rsidRDefault="001A7EDD" w:rsidP="001A7EDD">
            <w:pPr>
              <w:rPr>
                <w:lang w:val="en-US"/>
              </w:rPr>
            </w:pPr>
          </w:p>
        </w:tc>
        <w:tc>
          <w:tcPr>
            <w:tcW w:w="1028" w:type="dxa"/>
          </w:tcPr>
          <w:p w14:paraId="546FBE0D" w14:textId="21494A07"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264</w:t>
            </w:r>
          </w:p>
        </w:tc>
        <w:tc>
          <w:tcPr>
            <w:tcW w:w="314" w:type="dxa"/>
          </w:tcPr>
          <w:p w14:paraId="3B5E2FEC" w14:textId="2850C369" w:rsidR="001A7EDD" w:rsidRPr="00D5506A" w:rsidRDefault="00FF5E35" w:rsidP="001A7EDD">
            <w:pPr>
              <w:rPr>
                <w:lang w:val="en-US"/>
              </w:rPr>
            </w:pPr>
            <w:r w:rsidRPr="00D5506A">
              <w:rPr>
                <w:lang w:val="en-US"/>
              </w:rPr>
              <w:t>*</w:t>
            </w:r>
          </w:p>
        </w:tc>
        <w:tc>
          <w:tcPr>
            <w:tcW w:w="1009" w:type="dxa"/>
          </w:tcPr>
          <w:p w14:paraId="5DDAED62" w14:textId="41FD44D7" w:rsidR="001A7EDD" w:rsidRPr="00D5506A" w:rsidRDefault="00FF5E35" w:rsidP="00C125FD">
            <w:pPr>
              <w:jc w:val="right"/>
              <w:rPr>
                <w:lang w:val="en-US"/>
              </w:rPr>
            </w:pPr>
            <w:r w:rsidRPr="00D5506A">
              <w:rPr>
                <w:lang w:val="en-US"/>
              </w:rPr>
              <w:t>0</w:t>
            </w:r>
            <w:r w:rsidR="005148B8" w:rsidRPr="00D5506A">
              <w:rPr>
                <w:lang w:val="en-US"/>
              </w:rPr>
              <w:t>.</w:t>
            </w:r>
            <w:r w:rsidRPr="00D5506A">
              <w:rPr>
                <w:lang w:val="en-US"/>
              </w:rPr>
              <w:t>182</w:t>
            </w:r>
          </w:p>
        </w:tc>
        <w:tc>
          <w:tcPr>
            <w:tcW w:w="311" w:type="dxa"/>
          </w:tcPr>
          <w:p w14:paraId="787D7229" w14:textId="1B054F7B" w:rsidR="001A7EDD" w:rsidRPr="00D5506A" w:rsidRDefault="00FF5E35" w:rsidP="001A7EDD">
            <w:pPr>
              <w:rPr>
                <w:lang w:val="en-US"/>
              </w:rPr>
            </w:pPr>
            <w:r w:rsidRPr="00D5506A">
              <w:rPr>
                <w:lang w:val="en-US"/>
              </w:rPr>
              <w:t>*</w:t>
            </w:r>
          </w:p>
        </w:tc>
      </w:tr>
      <w:tr w:rsidR="000F40B4" w:rsidRPr="00D5506A" w14:paraId="153176F9" w14:textId="7F91770B" w:rsidTr="002C4E81">
        <w:tc>
          <w:tcPr>
            <w:tcW w:w="1701" w:type="dxa"/>
          </w:tcPr>
          <w:p w14:paraId="095C0102" w14:textId="608B4A67" w:rsidR="001A7EDD" w:rsidRPr="00D5506A" w:rsidRDefault="00FF4EF5" w:rsidP="001A7EDD">
            <w:pPr>
              <w:rPr>
                <w:lang w:val="en-US"/>
              </w:rPr>
            </w:pPr>
            <m:oMathPara>
              <m:oMathParaPr>
                <m:jc m:val="left"/>
              </m:oMathParaPr>
              <m:oMath>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e>
                  <m:sup>
                    <m:r>
                      <w:rPr>
                        <w:rFonts w:ascii="Cambria Math" w:hAnsi="Cambria Math"/>
                        <w:lang w:val="en-US"/>
                      </w:rPr>
                      <m:t>2</m:t>
                    </m:r>
                  </m:sup>
                </m:sSup>
              </m:oMath>
            </m:oMathPara>
          </w:p>
        </w:tc>
        <w:tc>
          <w:tcPr>
            <w:tcW w:w="872" w:type="dxa"/>
          </w:tcPr>
          <w:p w14:paraId="299F545D" w14:textId="376F5AF6"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001</w:t>
            </w:r>
          </w:p>
        </w:tc>
        <w:tc>
          <w:tcPr>
            <w:tcW w:w="313" w:type="dxa"/>
          </w:tcPr>
          <w:p w14:paraId="3E7C9CB3" w14:textId="075BEBE0" w:rsidR="001A7EDD" w:rsidRPr="00D5506A" w:rsidRDefault="006E3910" w:rsidP="001A7EDD">
            <w:pPr>
              <w:rPr>
                <w:lang w:val="en-US"/>
              </w:rPr>
            </w:pPr>
            <w:r w:rsidRPr="00D5506A">
              <w:rPr>
                <w:lang w:val="en-US"/>
              </w:rPr>
              <w:t>*</w:t>
            </w:r>
          </w:p>
        </w:tc>
        <w:tc>
          <w:tcPr>
            <w:tcW w:w="875" w:type="dxa"/>
          </w:tcPr>
          <w:p w14:paraId="607434D2" w14:textId="10C298BB" w:rsidR="001A7EDD" w:rsidRPr="00D5506A" w:rsidRDefault="006E3910" w:rsidP="006E3910">
            <w:pPr>
              <w:jc w:val="right"/>
              <w:rPr>
                <w:lang w:val="en-US"/>
              </w:rPr>
            </w:pPr>
            <w:r w:rsidRPr="00D5506A">
              <w:rPr>
                <w:lang w:val="en-US"/>
              </w:rPr>
              <w:t>0</w:t>
            </w:r>
            <w:r w:rsidR="005148B8" w:rsidRPr="00D5506A">
              <w:rPr>
                <w:lang w:val="en-US"/>
              </w:rPr>
              <w:t>.</w:t>
            </w:r>
            <w:r w:rsidRPr="00D5506A">
              <w:rPr>
                <w:lang w:val="en-US"/>
              </w:rPr>
              <w:t>013</w:t>
            </w:r>
          </w:p>
        </w:tc>
        <w:tc>
          <w:tcPr>
            <w:tcW w:w="314" w:type="dxa"/>
          </w:tcPr>
          <w:p w14:paraId="651B4F9A" w14:textId="103D46D8" w:rsidR="001A7EDD" w:rsidRPr="00D5506A" w:rsidRDefault="005852D4" w:rsidP="001A7EDD">
            <w:pPr>
              <w:rPr>
                <w:lang w:val="en-US"/>
              </w:rPr>
            </w:pPr>
            <w:r w:rsidRPr="00D5506A">
              <w:rPr>
                <w:lang w:val="en-US"/>
              </w:rPr>
              <w:t>*</w:t>
            </w:r>
          </w:p>
        </w:tc>
        <w:tc>
          <w:tcPr>
            <w:tcW w:w="263" w:type="dxa"/>
          </w:tcPr>
          <w:p w14:paraId="6351BB87" w14:textId="77777777" w:rsidR="001A7EDD" w:rsidRPr="00D5506A" w:rsidRDefault="001A7EDD" w:rsidP="001A7EDD">
            <w:pPr>
              <w:rPr>
                <w:lang w:val="en-US"/>
              </w:rPr>
            </w:pPr>
          </w:p>
        </w:tc>
        <w:tc>
          <w:tcPr>
            <w:tcW w:w="875" w:type="dxa"/>
          </w:tcPr>
          <w:p w14:paraId="63C9B5B0" w14:textId="0AC5A4ED" w:rsidR="001A7EDD" w:rsidRPr="00D5506A" w:rsidRDefault="00C125FD" w:rsidP="005852D4">
            <w:pPr>
              <w:jc w:val="right"/>
              <w:rPr>
                <w:lang w:val="en-US"/>
              </w:rPr>
            </w:pPr>
            <w:r w:rsidRPr="00D5506A">
              <w:rPr>
                <w:lang w:val="en-US"/>
              </w:rPr>
              <w:t>-</w:t>
            </w:r>
          </w:p>
        </w:tc>
        <w:tc>
          <w:tcPr>
            <w:tcW w:w="314" w:type="dxa"/>
          </w:tcPr>
          <w:p w14:paraId="6A729BAE" w14:textId="77777777" w:rsidR="001A7EDD" w:rsidRPr="00D5506A" w:rsidRDefault="001A7EDD" w:rsidP="001A7EDD">
            <w:pPr>
              <w:rPr>
                <w:lang w:val="en-US"/>
              </w:rPr>
            </w:pPr>
          </w:p>
        </w:tc>
        <w:tc>
          <w:tcPr>
            <w:tcW w:w="1009" w:type="dxa"/>
          </w:tcPr>
          <w:p w14:paraId="4C4C0C9C" w14:textId="14AFBC89" w:rsidR="001A7EDD" w:rsidRPr="00D5506A" w:rsidRDefault="00C125FD" w:rsidP="00C125FD">
            <w:pPr>
              <w:jc w:val="right"/>
              <w:rPr>
                <w:lang w:val="en-US"/>
              </w:rPr>
            </w:pPr>
            <w:r w:rsidRPr="00D5506A">
              <w:rPr>
                <w:lang w:val="en-US"/>
              </w:rPr>
              <w:t>-</w:t>
            </w:r>
          </w:p>
        </w:tc>
        <w:tc>
          <w:tcPr>
            <w:tcW w:w="314" w:type="dxa"/>
          </w:tcPr>
          <w:p w14:paraId="279F31C1" w14:textId="77777777" w:rsidR="001A7EDD" w:rsidRPr="00D5506A" w:rsidRDefault="001A7EDD" w:rsidP="001A7EDD">
            <w:pPr>
              <w:rPr>
                <w:lang w:val="en-US"/>
              </w:rPr>
            </w:pPr>
          </w:p>
        </w:tc>
        <w:tc>
          <w:tcPr>
            <w:tcW w:w="283" w:type="dxa"/>
          </w:tcPr>
          <w:p w14:paraId="1C8C9730" w14:textId="5D5BD8F6" w:rsidR="001A7EDD" w:rsidRPr="00D5506A" w:rsidRDefault="001A7EDD" w:rsidP="001A7EDD">
            <w:pPr>
              <w:rPr>
                <w:lang w:val="en-US"/>
              </w:rPr>
            </w:pPr>
          </w:p>
        </w:tc>
        <w:tc>
          <w:tcPr>
            <w:tcW w:w="1028" w:type="dxa"/>
          </w:tcPr>
          <w:p w14:paraId="5890D019" w14:textId="219EE4CE" w:rsidR="001A7EDD" w:rsidRPr="00D5506A" w:rsidRDefault="00C125FD" w:rsidP="00C125FD">
            <w:pPr>
              <w:jc w:val="right"/>
              <w:rPr>
                <w:lang w:val="en-US"/>
              </w:rPr>
            </w:pPr>
            <w:r w:rsidRPr="00D5506A">
              <w:rPr>
                <w:lang w:val="en-US"/>
              </w:rPr>
              <w:t>-</w:t>
            </w:r>
          </w:p>
        </w:tc>
        <w:tc>
          <w:tcPr>
            <w:tcW w:w="314" w:type="dxa"/>
          </w:tcPr>
          <w:p w14:paraId="597CA653" w14:textId="77777777" w:rsidR="001A7EDD" w:rsidRPr="00D5506A" w:rsidRDefault="001A7EDD" w:rsidP="001A7EDD">
            <w:pPr>
              <w:rPr>
                <w:lang w:val="en-US"/>
              </w:rPr>
            </w:pPr>
          </w:p>
        </w:tc>
        <w:tc>
          <w:tcPr>
            <w:tcW w:w="1009" w:type="dxa"/>
          </w:tcPr>
          <w:p w14:paraId="468C29BF" w14:textId="771FDC0E" w:rsidR="001A7EDD" w:rsidRPr="00D5506A" w:rsidRDefault="00FF5E35" w:rsidP="00C125FD">
            <w:pPr>
              <w:jc w:val="right"/>
              <w:rPr>
                <w:lang w:val="en-US"/>
              </w:rPr>
            </w:pPr>
            <w:r w:rsidRPr="00D5506A">
              <w:rPr>
                <w:lang w:val="en-US"/>
              </w:rPr>
              <w:t>-</w:t>
            </w:r>
          </w:p>
        </w:tc>
        <w:tc>
          <w:tcPr>
            <w:tcW w:w="311" w:type="dxa"/>
          </w:tcPr>
          <w:p w14:paraId="0A90CD6C" w14:textId="77777777" w:rsidR="001A7EDD" w:rsidRPr="00D5506A" w:rsidRDefault="001A7EDD" w:rsidP="001A7EDD">
            <w:pPr>
              <w:rPr>
                <w:lang w:val="en-US"/>
              </w:rPr>
            </w:pPr>
          </w:p>
        </w:tc>
      </w:tr>
      <w:tr w:rsidR="000F40B4" w:rsidRPr="00D5506A" w14:paraId="0D440E41" w14:textId="7025556A" w:rsidTr="002C4E81">
        <w:tc>
          <w:tcPr>
            <w:tcW w:w="1701" w:type="dxa"/>
          </w:tcPr>
          <w:p w14:paraId="25ADDA71" w14:textId="56D90872" w:rsidR="001A7EDD" w:rsidRPr="00D5506A" w:rsidRDefault="00FF4EF5" w:rsidP="001A7EDD">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oMath>
            </m:oMathPara>
          </w:p>
        </w:tc>
        <w:tc>
          <w:tcPr>
            <w:tcW w:w="872" w:type="dxa"/>
          </w:tcPr>
          <w:p w14:paraId="19A1EC6E" w14:textId="3D5F1CBF"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002</w:t>
            </w:r>
          </w:p>
        </w:tc>
        <w:tc>
          <w:tcPr>
            <w:tcW w:w="313" w:type="dxa"/>
          </w:tcPr>
          <w:p w14:paraId="4CE3282F" w14:textId="6C74B588" w:rsidR="001A7EDD" w:rsidRPr="00D5506A" w:rsidRDefault="006E3910" w:rsidP="001A7EDD">
            <w:pPr>
              <w:rPr>
                <w:lang w:val="en-US"/>
              </w:rPr>
            </w:pPr>
            <w:r w:rsidRPr="00D5506A">
              <w:rPr>
                <w:lang w:val="en-US"/>
              </w:rPr>
              <w:t>*</w:t>
            </w:r>
          </w:p>
        </w:tc>
        <w:tc>
          <w:tcPr>
            <w:tcW w:w="875" w:type="dxa"/>
          </w:tcPr>
          <w:p w14:paraId="73F80775" w14:textId="3E342844" w:rsidR="001A7EDD" w:rsidRPr="00D5506A" w:rsidRDefault="006E3910" w:rsidP="006E3910">
            <w:pPr>
              <w:jc w:val="right"/>
              <w:rPr>
                <w:lang w:val="en-US"/>
              </w:rPr>
            </w:pPr>
            <w:r w:rsidRPr="00D5506A">
              <w:rPr>
                <w:lang w:val="en-US"/>
              </w:rPr>
              <w:t>0</w:t>
            </w:r>
            <w:r w:rsidR="005148B8" w:rsidRPr="00D5506A">
              <w:rPr>
                <w:lang w:val="en-US"/>
              </w:rPr>
              <w:t>.</w:t>
            </w:r>
            <w:r w:rsidRPr="00D5506A">
              <w:rPr>
                <w:lang w:val="en-US"/>
              </w:rPr>
              <w:t>017</w:t>
            </w:r>
          </w:p>
        </w:tc>
        <w:tc>
          <w:tcPr>
            <w:tcW w:w="314" w:type="dxa"/>
          </w:tcPr>
          <w:p w14:paraId="0D4308FF" w14:textId="19D37CF3" w:rsidR="001A7EDD" w:rsidRPr="00D5506A" w:rsidRDefault="005852D4" w:rsidP="001A7EDD">
            <w:pPr>
              <w:rPr>
                <w:lang w:val="en-US"/>
              </w:rPr>
            </w:pPr>
            <w:r w:rsidRPr="00D5506A">
              <w:rPr>
                <w:lang w:val="en-US"/>
              </w:rPr>
              <w:t>*</w:t>
            </w:r>
          </w:p>
        </w:tc>
        <w:tc>
          <w:tcPr>
            <w:tcW w:w="263" w:type="dxa"/>
          </w:tcPr>
          <w:p w14:paraId="39094862" w14:textId="77777777" w:rsidR="001A7EDD" w:rsidRPr="00D5506A" w:rsidRDefault="001A7EDD" w:rsidP="001A7EDD">
            <w:pPr>
              <w:rPr>
                <w:lang w:val="en-US"/>
              </w:rPr>
            </w:pPr>
          </w:p>
        </w:tc>
        <w:tc>
          <w:tcPr>
            <w:tcW w:w="875" w:type="dxa"/>
          </w:tcPr>
          <w:p w14:paraId="5FBCCAEB" w14:textId="5B54C0C8" w:rsidR="001A7EDD" w:rsidRPr="00D5506A" w:rsidRDefault="00C125FD" w:rsidP="005852D4">
            <w:pPr>
              <w:jc w:val="right"/>
              <w:rPr>
                <w:lang w:val="en-US"/>
              </w:rPr>
            </w:pPr>
            <w:r w:rsidRPr="00D5506A">
              <w:rPr>
                <w:lang w:val="en-US"/>
              </w:rPr>
              <w:t>-</w:t>
            </w:r>
          </w:p>
        </w:tc>
        <w:tc>
          <w:tcPr>
            <w:tcW w:w="314" w:type="dxa"/>
          </w:tcPr>
          <w:p w14:paraId="16527ECF" w14:textId="77777777" w:rsidR="001A7EDD" w:rsidRPr="00D5506A" w:rsidRDefault="001A7EDD" w:rsidP="001A7EDD">
            <w:pPr>
              <w:rPr>
                <w:lang w:val="en-US"/>
              </w:rPr>
            </w:pPr>
          </w:p>
        </w:tc>
        <w:tc>
          <w:tcPr>
            <w:tcW w:w="1009" w:type="dxa"/>
          </w:tcPr>
          <w:p w14:paraId="68C1809F" w14:textId="34E0970E" w:rsidR="001A7EDD" w:rsidRPr="00D5506A" w:rsidRDefault="00C125FD" w:rsidP="00C125FD">
            <w:pPr>
              <w:jc w:val="right"/>
              <w:rPr>
                <w:lang w:val="en-US"/>
              </w:rPr>
            </w:pPr>
            <w:r w:rsidRPr="00D5506A">
              <w:rPr>
                <w:lang w:val="en-US"/>
              </w:rPr>
              <w:t>-</w:t>
            </w:r>
          </w:p>
        </w:tc>
        <w:tc>
          <w:tcPr>
            <w:tcW w:w="314" w:type="dxa"/>
          </w:tcPr>
          <w:p w14:paraId="5E8FCEC5" w14:textId="77777777" w:rsidR="001A7EDD" w:rsidRPr="00D5506A" w:rsidRDefault="001A7EDD" w:rsidP="001A7EDD">
            <w:pPr>
              <w:rPr>
                <w:lang w:val="en-US"/>
              </w:rPr>
            </w:pPr>
          </w:p>
        </w:tc>
        <w:tc>
          <w:tcPr>
            <w:tcW w:w="283" w:type="dxa"/>
          </w:tcPr>
          <w:p w14:paraId="62703923" w14:textId="21449188" w:rsidR="001A7EDD" w:rsidRPr="00D5506A" w:rsidRDefault="001A7EDD" w:rsidP="001A7EDD">
            <w:pPr>
              <w:rPr>
                <w:lang w:val="en-US"/>
              </w:rPr>
            </w:pPr>
          </w:p>
        </w:tc>
        <w:tc>
          <w:tcPr>
            <w:tcW w:w="1028" w:type="dxa"/>
          </w:tcPr>
          <w:p w14:paraId="064CEAB4" w14:textId="0B121A26" w:rsidR="001A7EDD" w:rsidRPr="00D5506A" w:rsidRDefault="00C125FD" w:rsidP="00C125FD">
            <w:pPr>
              <w:jc w:val="right"/>
              <w:rPr>
                <w:lang w:val="en-US"/>
              </w:rPr>
            </w:pPr>
            <w:r w:rsidRPr="00D5506A">
              <w:rPr>
                <w:lang w:val="en-US"/>
              </w:rPr>
              <w:t>1</w:t>
            </w:r>
            <w:r w:rsidR="005148B8" w:rsidRPr="00D5506A">
              <w:rPr>
                <w:lang w:val="en-US"/>
              </w:rPr>
              <w:t>.</w:t>
            </w:r>
            <w:r w:rsidRPr="00D5506A">
              <w:rPr>
                <w:lang w:val="en-US"/>
              </w:rPr>
              <w:t>983</w:t>
            </w:r>
          </w:p>
        </w:tc>
        <w:tc>
          <w:tcPr>
            <w:tcW w:w="314" w:type="dxa"/>
          </w:tcPr>
          <w:p w14:paraId="599046D4" w14:textId="734CFCAB" w:rsidR="001A7EDD" w:rsidRPr="00D5506A" w:rsidRDefault="00FF5E35" w:rsidP="001A7EDD">
            <w:pPr>
              <w:rPr>
                <w:lang w:val="en-US"/>
              </w:rPr>
            </w:pPr>
            <w:r w:rsidRPr="00D5506A">
              <w:rPr>
                <w:lang w:val="en-US"/>
              </w:rPr>
              <w:t>**</w:t>
            </w:r>
          </w:p>
        </w:tc>
        <w:tc>
          <w:tcPr>
            <w:tcW w:w="1009" w:type="dxa"/>
          </w:tcPr>
          <w:p w14:paraId="4FD4BFF3" w14:textId="15A5A15B" w:rsidR="001A7EDD" w:rsidRPr="00D5506A" w:rsidRDefault="00FF5E35" w:rsidP="00C125FD">
            <w:pPr>
              <w:jc w:val="right"/>
              <w:rPr>
                <w:lang w:val="en-US"/>
              </w:rPr>
            </w:pPr>
            <w:r w:rsidRPr="00D5506A">
              <w:rPr>
                <w:lang w:val="en-US"/>
              </w:rPr>
              <w:t>-0</w:t>
            </w:r>
            <w:r w:rsidR="005148B8" w:rsidRPr="00D5506A">
              <w:rPr>
                <w:lang w:val="en-US"/>
              </w:rPr>
              <w:t>.</w:t>
            </w:r>
            <w:r w:rsidRPr="00D5506A">
              <w:rPr>
                <w:lang w:val="en-US"/>
              </w:rPr>
              <w:t>498</w:t>
            </w:r>
          </w:p>
        </w:tc>
        <w:tc>
          <w:tcPr>
            <w:tcW w:w="311" w:type="dxa"/>
          </w:tcPr>
          <w:p w14:paraId="634AB1A7" w14:textId="2BA98C81" w:rsidR="001A7EDD" w:rsidRPr="00D5506A" w:rsidRDefault="00FF5E35" w:rsidP="001A7EDD">
            <w:pPr>
              <w:rPr>
                <w:lang w:val="en-US"/>
              </w:rPr>
            </w:pPr>
            <w:r w:rsidRPr="00D5506A">
              <w:rPr>
                <w:lang w:val="en-US"/>
              </w:rPr>
              <w:t>**</w:t>
            </w:r>
          </w:p>
        </w:tc>
      </w:tr>
      <w:tr w:rsidR="000F40B4" w:rsidRPr="00D5506A" w14:paraId="4BE7E332" w14:textId="438E2E1B" w:rsidTr="002C4E81">
        <w:tc>
          <w:tcPr>
            <w:tcW w:w="1701" w:type="dxa"/>
          </w:tcPr>
          <w:p w14:paraId="06E3842C" w14:textId="1508BE91" w:rsidR="001A7EDD" w:rsidRPr="00D5506A" w:rsidRDefault="00FF4EF5" w:rsidP="001A7EDD">
            <w:pPr>
              <w:rPr>
                <w:lang w:val="en-US"/>
              </w:rPr>
            </w:pPr>
            <m:oMathPara>
              <m:oMathParaPr>
                <m:jc m:val="left"/>
              </m:oMathParaPr>
              <m:oMath>
                <m:sSup>
                  <m:sSupPr>
                    <m:ctrlPr>
                      <w:rPr>
                        <w:rFonts w:ascii="Cambria Math" w:hAnsi="Cambria Math"/>
                        <w:i/>
                        <w:lang w:val="en-US"/>
                      </w:rPr>
                    </m:ctrlPr>
                  </m:sSup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e>
                  <m:sup>
                    <m:r>
                      <w:rPr>
                        <w:rFonts w:ascii="Cambria Math" w:hAnsi="Cambria Math"/>
                        <w:lang w:val="en-US"/>
                      </w:rPr>
                      <m:t>2</m:t>
                    </m:r>
                  </m:sup>
                </m:sSup>
              </m:oMath>
            </m:oMathPara>
          </w:p>
        </w:tc>
        <w:tc>
          <w:tcPr>
            <w:tcW w:w="872" w:type="dxa"/>
          </w:tcPr>
          <w:p w14:paraId="61523412" w14:textId="6E1640FD"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001</w:t>
            </w:r>
          </w:p>
        </w:tc>
        <w:tc>
          <w:tcPr>
            <w:tcW w:w="313" w:type="dxa"/>
          </w:tcPr>
          <w:p w14:paraId="52DBBF62" w14:textId="54651558" w:rsidR="001A7EDD" w:rsidRPr="00D5506A" w:rsidRDefault="006E3910" w:rsidP="001A7EDD">
            <w:pPr>
              <w:rPr>
                <w:lang w:val="en-US"/>
              </w:rPr>
            </w:pPr>
            <w:r w:rsidRPr="00D5506A">
              <w:rPr>
                <w:lang w:val="en-US"/>
              </w:rPr>
              <w:t>*</w:t>
            </w:r>
          </w:p>
        </w:tc>
        <w:tc>
          <w:tcPr>
            <w:tcW w:w="875" w:type="dxa"/>
          </w:tcPr>
          <w:p w14:paraId="29A47733" w14:textId="0F636591" w:rsidR="001A7EDD" w:rsidRPr="00D5506A" w:rsidRDefault="006E3910" w:rsidP="006E3910">
            <w:pPr>
              <w:jc w:val="right"/>
              <w:rPr>
                <w:lang w:val="en-US"/>
              </w:rPr>
            </w:pPr>
            <w:r w:rsidRPr="00D5506A">
              <w:rPr>
                <w:lang w:val="en-US"/>
              </w:rPr>
              <w:t>0</w:t>
            </w:r>
            <w:r w:rsidR="005148B8" w:rsidRPr="00D5506A">
              <w:rPr>
                <w:lang w:val="en-US"/>
              </w:rPr>
              <w:t>.</w:t>
            </w:r>
            <w:r w:rsidRPr="00D5506A">
              <w:rPr>
                <w:lang w:val="en-US"/>
              </w:rPr>
              <w:t>013</w:t>
            </w:r>
          </w:p>
        </w:tc>
        <w:tc>
          <w:tcPr>
            <w:tcW w:w="314" w:type="dxa"/>
          </w:tcPr>
          <w:p w14:paraId="257D9F25" w14:textId="616D3DC2" w:rsidR="001A7EDD" w:rsidRPr="00D5506A" w:rsidRDefault="005852D4" w:rsidP="001A7EDD">
            <w:pPr>
              <w:rPr>
                <w:lang w:val="en-US"/>
              </w:rPr>
            </w:pPr>
            <w:r w:rsidRPr="00D5506A">
              <w:rPr>
                <w:lang w:val="en-US"/>
              </w:rPr>
              <w:t>*</w:t>
            </w:r>
          </w:p>
        </w:tc>
        <w:tc>
          <w:tcPr>
            <w:tcW w:w="263" w:type="dxa"/>
          </w:tcPr>
          <w:p w14:paraId="636D7EAA" w14:textId="77777777" w:rsidR="001A7EDD" w:rsidRPr="00D5506A" w:rsidRDefault="001A7EDD" w:rsidP="001A7EDD">
            <w:pPr>
              <w:rPr>
                <w:lang w:val="en-US"/>
              </w:rPr>
            </w:pPr>
          </w:p>
        </w:tc>
        <w:tc>
          <w:tcPr>
            <w:tcW w:w="875" w:type="dxa"/>
          </w:tcPr>
          <w:p w14:paraId="5F4F0A15" w14:textId="35FE9B21" w:rsidR="001A7EDD" w:rsidRPr="00D5506A" w:rsidRDefault="00C125FD" w:rsidP="005852D4">
            <w:pPr>
              <w:jc w:val="right"/>
              <w:rPr>
                <w:lang w:val="en-US"/>
              </w:rPr>
            </w:pPr>
            <w:r w:rsidRPr="00D5506A">
              <w:rPr>
                <w:lang w:val="en-US"/>
              </w:rPr>
              <w:t>0</w:t>
            </w:r>
            <w:r w:rsidR="005148B8" w:rsidRPr="00D5506A">
              <w:rPr>
                <w:lang w:val="en-US"/>
              </w:rPr>
              <w:t>.</w:t>
            </w:r>
            <w:r w:rsidRPr="00D5506A">
              <w:rPr>
                <w:lang w:val="en-US"/>
              </w:rPr>
              <w:t>012</w:t>
            </w:r>
          </w:p>
        </w:tc>
        <w:tc>
          <w:tcPr>
            <w:tcW w:w="314" w:type="dxa"/>
          </w:tcPr>
          <w:p w14:paraId="69512B6E" w14:textId="36499560" w:rsidR="001A7EDD" w:rsidRPr="00D5506A" w:rsidRDefault="00C125FD" w:rsidP="001A7EDD">
            <w:pPr>
              <w:rPr>
                <w:lang w:val="en-US"/>
              </w:rPr>
            </w:pPr>
            <w:r w:rsidRPr="00D5506A">
              <w:rPr>
                <w:lang w:val="en-US"/>
              </w:rPr>
              <w:t>*</w:t>
            </w:r>
          </w:p>
        </w:tc>
        <w:tc>
          <w:tcPr>
            <w:tcW w:w="1009" w:type="dxa"/>
          </w:tcPr>
          <w:p w14:paraId="7642B7F2" w14:textId="23872C2E"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043</w:t>
            </w:r>
          </w:p>
        </w:tc>
        <w:tc>
          <w:tcPr>
            <w:tcW w:w="314" w:type="dxa"/>
          </w:tcPr>
          <w:p w14:paraId="5FC4C683" w14:textId="4AA8697E" w:rsidR="001A7EDD" w:rsidRPr="00D5506A" w:rsidRDefault="00C125FD" w:rsidP="001A7EDD">
            <w:pPr>
              <w:rPr>
                <w:lang w:val="en-US"/>
              </w:rPr>
            </w:pPr>
            <w:r w:rsidRPr="00D5506A">
              <w:rPr>
                <w:lang w:val="en-US"/>
              </w:rPr>
              <w:t>*</w:t>
            </w:r>
          </w:p>
        </w:tc>
        <w:tc>
          <w:tcPr>
            <w:tcW w:w="283" w:type="dxa"/>
          </w:tcPr>
          <w:p w14:paraId="7897A377" w14:textId="4DFC3687" w:rsidR="001A7EDD" w:rsidRPr="00D5506A" w:rsidRDefault="001A7EDD" w:rsidP="001A7EDD">
            <w:pPr>
              <w:rPr>
                <w:lang w:val="en-US"/>
              </w:rPr>
            </w:pPr>
          </w:p>
        </w:tc>
        <w:tc>
          <w:tcPr>
            <w:tcW w:w="1028" w:type="dxa"/>
          </w:tcPr>
          <w:p w14:paraId="6C670370" w14:textId="73F1CBFD"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35</w:t>
            </w:r>
            <w:r w:rsidR="00FF5E35" w:rsidRPr="00D5506A">
              <w:rPr>
                <w:lang w:val="en-US"/>
              </w:rPr>
              <w:t>1</w:t>
            </w:r>
          </w:p>
        </w:tc>
        <w:tc>
          <w:tcPr>
            <w:tcW w:w="314" w:type="dxa"/>
          </w:tcPr>
          <w:p w14:paraId="2D5B363C" w14:textId="6B862F78" w:rsidR="001A7EDD" w:rsidRPr="00D5506A" w:rsidRDefault="00FF5E35" w:rsidP="001A7EDD">
            <w:pPr>
              <w:rPr>
                <w:lang w:val="en-US"/>
              </w:rPr>
            </w:pPr>
            <w:r w:rsidRPr="00D5506A">
              <w:rPr>
                <w:lang w:val="en-US"/>
              </w:rPr>
              <w:t>*</w:t>
            </w:r>
          </w:p>
        </w:tc>
        <w:tc>
          <w:tcPr>
            <w:tcW w:w="1009" w:type="dxa"/>
          </w:tcPr>
          <w:p w14:paraId="46FBDF97" w14:textId="5A25028C" w:rsidR="001A7EDD" w:rsidRPr="00D5506A" w:rsidRDefault="00FF5E35" w:rsidP="00C125FD">
            <w:pPr>
              <w:jc w:val="right"/>
              <w:rPr>
                <w:lang w:val="en-US"/>
              </w:rPr>
            </w:pPr>
            <w:r w:rsidRPr="00D5506A">
              <w:rPr>
                <w:lang w:val="en-US"/>
              </w:rPr>
              <w:t>0</w:t>
            </w:r>
            <w:r w:rsidR="005148B8" w:rsidRPr="00D5506A">
              <w:rPr>
                <w:lang w:val="en-US"/>
              </w:rPr>
              <w:t>.</w:t>
            </w:r>
            <w:r w:rsidRPr="00D5506A">
              <w:rPr>
                <w:lang w:val="en-US"/>
              </w:rPr>
              <w:t>229</w:t>
            </w:r>
          </w:p>
        </w:tc>
        <w:tc>
          <w:tcPr>
            <w:tcW w:w="311" w:type="dxa"/>
          </w:tcPr>
          <w:p w14:paraId="408BA4DD" w14:textId="227FECA8" w:rsidR="001A7EDD" w:rsidRPr="00D5506A" w:rsidRDefault="00FF5E35" w:rsidP="001A7EDD">
            <w:pPr>
              <w:rPr>
                <w:lang w:val="en-US"/>
              </w:rPr>
            </w:pPr>
            <w:r w:rsidRPr="00D5506A">
              <w:rPr>
                <w:lang w:val="en-US"/>
              </w:rPr>
              <w:t>*</w:t>
            </w:r>
          </w:p>
        </w:tc>
      </w:tr>
      <w:tr w:rsidR="000F40B4" w:rsidRPr="00D5506A" w14:paraId="4D140DA9" w14:textId="48409112" w:rsidTr="002C4E81">
        <w:tc>
          <w:tcPr>
            <w:tcW w:w="1701" w:type="dxa"/>
          </w:tcPr>
          <w:p w14:paraId="1A03E423" w14:textId="7268E07A" w:rsidR="001A7EDD" w:rsidRPr="00D5506A" w:rsidRDefault="00FF4EF5" w:rsidP="001A7EDD">
            <w:pPr>
              <w:rPr>
                <w:lang w:val="en-US"/>
              </w:rPr>
            </w:pPr>
            <m:oMathPara>
              <m:oMathParaPr>
                <m:jc m:val="left"/>
              </m:oMathParaP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1</m:t>
                    </m:r>
                  </m:sub>
                </m:sSub>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2</m:t>
                    </m:r>
                  </m:sub>
                </m:sSub>
              </m:oMath>
            </m:oMathPara>
          </w:p>
        </w:tc>
        <w:tc>
          <w:tcPr>
            <w:tcW w:w="872" w:type="dxa"/>
          </w:tcPr>
          <w:p w14:paraId="2253C691" w14:textId="0BD77AF4" w:rsidR="001A7EDD" w:rsidRPr="00D5506A" w:rsidRDefault="001A7EDD" w:rsidP="001A7EDD">
            <w:pPr>
              <w:jc w:val="right"/>
              <w:rPr>
                <w:lang w:val="en-US"/>
              </w:rPr>
            </w:pPr>
            <w:r w:rsidRPr="00D5506A">
              <w:rPr>
                <w:lang w:val="en-US"/>
              </w:rPr>
              <w:t>-</w:t>
            </w:r>
          </w:p>
        </w:tc>
        <w:tc>
          <w:tcPr>
            <w:tcW w:w="313" w:type="dxa"/>
          </w:tcPr>
          <w:p w14:paraId="55F4FD3D" w14:textId="77777777" w:rsidR="001A7EDD" w:rsidRPr="00D5506A" w:rsidRDefault="001A7EDD" w:rsidP="001A7EDD">
            <w:pPr>
              <w:rPr>
                <w:lang w:val="en-US"/>
              </w:rPr>
            </w:pPr>
          </w:p>
        </w:tc>
        <w:tc>
          <w:tcPr>
            <w:tcW w:w="875" w:type="dxa"/>
          </w:tcPr>
          <w:p w14:paraId="02F576D4" w14:textId="5E0DB23D" w:rsidR="001A7EDD" w:rsidRPr="00D5506A" w:rsidRDefault="006E3910" w:rsidP="006E3910">
            <w:pPr>
              <w:jc w:val="right"/>
              <w:rPr>
                <w:lang w:val="en-US"/>
              </w:rPr>
            </w:pPr>
            <w:r w:rsidRPr="00D5506A">
              <w:rPr>
                <w:lang w:val="en-US"/>
              </w:rPr>
              <w:t>-</w:t>
            </w:r>
          </w:p>
        </w:tc>
        <w:tc>
          <w:tcPr>
            <w:tcW w:w="314" w:type="dxa"/>
          </w:tcPr>
          <w:p w14:paraId="1DDC67CD" w14:textId="77777777" w:rsidR="001A7EDD" w:rsidRPr="00D5506A" w:rsidRDefault="001A7EDD" w:rsidP="001A7EDD">
            <w:pPr>
              <w:rPr>
                <w:lang w:val="en-US"/>
              </w:rPr>
            </w:pPr>
          </w:p>
        </w:tc>
        <w:tc>
          <w:tcPr>
            <w:tcW w:w="263" w:type="dxa"/>
          </w:tcPr>
          <w:p w14:paraId="11B8F03F" w14:textId="77777777" w:rsidR="001A7EDD" w:rsidRPr="00D5506A" w:rsidRDefault="001A7EDD" w:rsidP="001A7EDD">
            <w:pPr>
              <w:rPr>
                <w:lang w:val="en-US"/>
              </w:rPr>
            </w:pPr>
          </w:p>
        </w:tc>
        <w:tc>
          <w:tcPr>
            <w:tcW w:w="875" w:type="dxa"/>
          </w:tcPr>
          <w:p w14:paraId="2B86F393" w14:textId="2835435C" w:rsidR="001A7EDD" w:rsidRPr="00D5506A" w:rsidRDefault="00C125FD" w:rsidP="005852D4">
            <w:pPr>
              <w:jc w:val="right"/>
              <w:rPr>
                <w:lang w:val="en-US"/>
              </w:rPr>
            </w:pPr>
            <w:r w:rsidRPr="00D5506A">
              <w:rPr>
                <w:lang w:val="en-US"/>
              </w:rPr>
              <w:t>-</w:t>
            </w:r>
          </w:p>
        </w:tc>
        <w:tc>
          <w:tcPr>
            <w:tcW w:w="314" w:type="dxa"/>
          </w:tcPr>
          <w:p w14:paraId="02C5A452" w14:textId="77777777" w:rsidR="001A7EDD" w:rsidRPr="00D5506A" w:rsidRDefault="001A7EDD" w:rsidP="001A7EDD">
            <w:pPr>
              <w:rPr>
                <w:lang w:val="en-US"/>
              </w:rPr>
            </w:pPr>
          </w:p>
        </w:tc>
        <w:tc>
          <w:tcPr>
            <w:tcW w:w="1009" w:type="dxa"/>
          </w:tcPr>
          <w:p w14:paraId="733B1F8C" w14:textId="2D7E8DBB" w:rsidR="001A7EDD" w:rsidRPr="00D5506A" w:rsidRDefault="00C125FD" w:rsidP="00C125FD">
            <w:pPr>
              <w:jc w:val="right"/>
              <w:rPr>
                <w:lang w:val="en-US"/>
              </w:rPr>
            </w:pPr>
            <w:r w:rsidRPr="00D5506A">
              <w:rPr>
                <w:lang w:val="en-US"/>
              </w:rPr>
              <w:t>-</w:t>
            </w:r>
          </w:p>
        </w:tc>
        <w:tc>
          <w:tcPr>
            <w:tcW w:w="314" w:type="dxa"/>
          </w:tcPr>
          <w:p w14:paraId="7C0439AB" w14:textId="77777777" w:rsidR="001A7EDD" w:rsidRPr="00D5506A" w:rsidRDefault="001A7EDD" w:rsidP="001A7EDD">
            <w:pPr>
              <w:rPr>
                <w:lang w:val="en-US"/>
              </w:rPr>
            </w:pPr>
          </w:p>
        </w:tc>
        <w:tc>
          <w:tcPr>
            <w:tcW w:w="283" w:type="dxa"/>
          </w:tcPr>
          <w:p w14:paraId="3E363333" w14:textId="1B0077E5" w:rsidR="001A7EDD" w:rsidRPr="00D5506A" w:rsidRDefault="001A7EDD" w:rsidP="001A7EDD">
            <w:pPr>
              <w:rPr>
                <w:lang w:val="en-US"/>
              </w:rPr>
            </w:pPr>
          </w:p>
        </w:tc>
        <w:tc>
          <w:tcPr>
            <w:tcW w:w="1028" w:type="dxa"/>
          </w:tcPr>
          <w:p w14:paraId="4056F063" w14:textId="46543A58" w:rsidR="001A7EDD" w:rsidRPr="00D5506A" w:rsidRDefault="00C125FD" w:rsidP="00C125FD">
            <w:pPr>
              <w:jc w:val="right"/>
              <w:rPr>
                <w:lang w:val="en-US"/>
              </w:rPr>
            </w:pPr>
            <w:r w:rsidRPr="00D5506A">
              <w:rPr>
                <w:lang w:val="en-US"/>
              </w:rPr>
              <w:t>-</w:t>
            </w:r>
          </w:p>
        </w:tc>
        <w:tc>
          <w:tcPr>
            <w:tcW w:w="314" w:type="dxa"/>
          </w:tcPr>
          <w:p w14:paraId="6D1AE427" w14:textId="77777777" w:rsidR="001A7EDD" w:rsidRPr="00D5506A" w:rsidRDefault="001A7EDD" w:rsidP="001A7EDD">
            <w:pPr>
              <w:rPr>
                <w:lang w:val="en-US"/>
              </w:rPr>
            </w:pPr>
          </w:p>
        </w:tc>
        <w:tc>
          <w:tcPr>
            <w:tcW w:w="1009" w:type="dxa"/>
          </w:tcPr>
          <w:p w14:paraId="6250DD08" w14:textId="23654B15" w:rsidR="001A7EDD" w:rsidRPr="00D5506A" w:rsidRDefault="00FF5E35" w:rsidP="00C125FD">
            <w:pPr>
              <w:jc w:val="right"/>
              <w:rPr>
                <w:lang w:val="en-US"/>
              </w:rPr>
            </w:pPr>
            <w:r w:rsidRPr="00D5506A">
              <w:rPr>
                <w:lang w:val="en-US"/>
              </w:rPr>
              <w:t>-</w:t>
            </w:r>
          </w:p>
        </w:tc>
        <w:tc>
          <w:tcPr>
            <w:tcW w:w="311" w:type="dxa"/>
          </w:tcPr>
          <w:p w14:paraId="700A30C2" w14:textId="77777777" w:rsidR="001A7EDD" w:rsidRPr="00D5506A" w:rsidRDefault="001A7EDD" w:rsidP="001A7EDD">
            <w:pPr>
              <w:rPr>
                <w:lang w:val="en-US"/>
              </w:rPr>
            </w:pPr>
          </w:p>
        </w:tc>
      </w:tr>
      <w:tr w:rsidR="000F40B4" w:rsidRPr="00D5506A" w14:paraId="0315A559" w14:textId="77777777" w:rsidTr="002C4E81">
        <w:tc>
          <w:tcPr>
            <w:tcW w:w="1701" w:type="dxa"/>
          </w:tcPr>
          <w:p w14:paraId="0E8B38A9" w14:textId="446287E6" w:rsidR="001A7EDD" w:rsidRPr="00D5506A" w:rsidRDefault="00691676" w:rsidP="001A7EDD">
            <w:pPr>
              <w:rPr>
                <w:rFonts w:eastAsia="Calibri"/>
                <w:lang w:val="en-US"/>
              </w:rPr>
            </w:pPr>
            <m:oMathPara>
              <m:oMathParaPr>
                <m:jc m:val="left"/>
              </m:oMathParaPr>
              <m:oMath>
                <m:r>
                  <w:rPr>
                    <w:rFonts w:ascii="Cambria Math" w:eastAsia="Calibri" w:hAnsi="Cambria Math"/>
                    <w:lang w:val="en-US"/>
                  </w:rPr>
                  <m:t>LoF</m:t>
                </m:r>
              </m:oMath>
            </m:oMathPara>
          </w:p>
        </w:tc>
        <w:tc>
          <w:tcPr>
            <w:tcW w:w="872" w:type="dxa"/>
          </w:tcPr>
          <w:p w14:paraId="0E09688A" w14:textId="24A33349"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001</w:t>
            </w:r>
          </w:p>
        </w:tc>
        <w:tc>
          <w:tcPr>
            <w:tcW w:w="313" w:type="dxa"/>
          </w:tcPr>
          <w:p w14:paraId="19FC3201" w14:textId="63846E73" w:rsidR="001A7EDD" w:rsidRPr="00D5506A" w:rsidRDefault="006E3910" w:rsidP="001A7EDD">
            <w:pPr>
              <w:rPr>
                <w:lang w:val="en-US"/>
              </w:rPr>
            </w:pPr>
            <w:r w:rsidRPr="00D5506A">
              <w:rPr>
                <w:color w:val="0000CC"/>
                <w:lang w:val="en-US"/>
              </w:rPr>
              <w:t>ns</w:t>
            </w:r>
          </w:p>
        </w:tc>
        <w:tc>
          <w:tcPr>
            <w:tcW w:w="875" w:type="dxa"/>
          </w:tcPr>
          <w:p w14:paraId="7B1708DB" w14:textId="4E7BB70F" w:rsidR="001A7EDD" w:rsidRPr="00D5506A" w:rsidRDefault="006E3910" w:rsidP="006E3910">
            <w:pPr>
              <w:jc w:val="right"/>
              <w:rPr>
                <w:lang w:val="en-US"/>
              </w:rPr>
            </w:pPr>
            <w:r w:rsidRPr="00D5506A">
              <w:rPr>
                <w:lang w:val="en-US"/>
              </w:rPr>
              <w:t>-</w:t>
            </w:r>
          </w:p>
        </w:tc>
        <w:tc>
          <w:tcPr>
            <w:tcW w:w="314" w:type="dxa"/>
          </w:tcPr>
          <w:p w14:paraId="3DBBB81D" w14:textId="77777777" w:rsidR="001A7EDD" w:rsidRPr="00D5506A" w:rsidRDefault="001A7EDD" w:rsidP="001A7EDD">
            <w:pPr>
              <w:rPr>
                <w:lang w:val="en-US"/>
              </w:rPr>
            </w:pPr>
          </w:p>
        </w:tc>
        <w:tc>
          <w:tcPr>
            <w:tcW w:w="263" w:type="dxa"/>
          </w:tcPr>
          <w:p w14:paraId="6593026E" w14:textId="77777777" w:rsidR="001A7EDD" w:rsidRPr="00D5506A" w:rsidRDefault="001A7EDD" w:rsidP="001A7EDD">
            <w:pPr>
              <w:rPr>
                <w:lang w:val="en-US"/>
              </w:rPr>
            </w:pPr>
          </w:p>
        </w:tc>
        <w:tc>
          <w:tcPr>
            <w:tcW w:w="875" w:type="dxa"/>
          </w:tcPr>
          <w:p w14:paraId="53D12441" w14:textId="0102884F" w:rsidR="001A7EDD" w:rsidRPr="00D5506A" w:rsidRDefault="00C125FD" w:rsidP="005852D4">
            <w:pPr>
              <w:jc w:val="right"/>
              <w:rPr>
                <w:lang w:val="en-US"/>
              </w:rPr>
            </w:pPr>
            <w:r w:rsidRPr="00D5506A">
              <w:rPr>
                <w:lang w:val="en-US"/>
              </w:rPr>
              <w:t>0</w:t>
            </w:r>
            <w:r w:rsidR="005148B8" w:rsidRPr="00D5506A">
              <w:rPr>
                <w:lang w:val="en-US"/>
              </w:rPr>
              <w:t>.</w:t>
            </w:r>
            <w:r w:rsidRPr="00D5506A">
              <w:rPr>
                <w:lang w:val="en-US"/>
              </w:rPr>
              <w:t>017</w:t>
            </w:r>
          </w:p>
        </w:tc>
        <w:tc>
          <w:tcPr>
            <w:tcW w:w="314" w:type="dxa"/>
          </w:tcPr>
          <w:p w14:paraId="1968B9D7" w14:textId="19FEA6B6" w:rsidR="001A7EDD" w:rsidRPr="00D5506A" w:rsidRDefault="00C125FD" w:rsidP="001A7EDD">
            <w:pPr>
              <w:rPr>
                <w:lang w:val="en-US"/>
              </w:rPr>
            </w:pPr>
            <w:r w:rsidRPr="00D5506A">
              <w:rPr>
                <w:color w:val="0000CC"/>
                <w:lang w:val="en-US"/>
              </w:rPr>
              <w:t>ns</w:t>
            </w:r>
          </w:p>
        </w:tc>
        <w:tc>
          <w:tcPr>
            <w:tcW w:w="1009" w:type="dxa"/>
          </w:tcPr>
          <w:p w14:paraId="61AE39FB" w14:textId="6B101121" w:rsidR="001A7EDD" w:rsidRPr="00D5506A" w:rsidRDefault="00C125FD" w:rsidP="00C125FD">
            <w:pPr>
              <w:jc w:val="right"/>
              <w:rPr>
                <w:lang w:val="en-US"/>
              </w:rPr>
            </w:pPr>
            <w:r w:rsidRPr="00D5506A">
              <w:rPr>
                <w:lang w:val="en-US"/>
              </w:rPr>
              <w:t>-</w:t>
            </w:r>
          </w:p>
        </w:tc>
        <w:tc>
          <w:tcPr>
            <w:tcW w:w="314" w:type="dxa"/>
          </w:tcPr>
          <w:p w14:paraId="73F339F5" w14:textId="77777777" w:rsidR="001A7EDD" w:rsidRPr="00D5506A" w:rsidRDefault="001A7EDD" w:rsidP="001A7EDD">
            <w:pPr>
              <w:rPr>
                <w:lang w:val="en-US"/>
              </w:rPr>
            </w:pPr>
          </w:p>
        </w:tc>
        <w:tc>
          <w:tcPr>
            <w:tcW w:w="283" w:type="dxa"/>
          </w:tcPr>
          <w:p w14:paraId="55035BCC" w14:textId="77777777" w:rsidR="001A7EDD" w:rsidRPr="00D5506A" w:rsidRDefault="001A7EDD" w:rsidP="001A7EDD">
            <w:pPr>
              <w:rPr>
                <w:lang w:val="en-US"/>
              </w:rPr>
            </w:pPr>
          </w:p>
        </w:tc>
        <w:tc>
          <w:tcPr>
            <w:tcW w:w="1028" w:type="dxa"/>
          </w:tcPr>
          <w:p w14:paraId="7CE57B3F" w14:textId="30AAB8F9"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688</w:t>
            </w:r>
          </w:p>
        </w:tc>
        <w:tc>
          <w:tcPr>
            <w:tcW w:w="314" w:type="dxa"/>
          </w:tcPr>
          <w:p w14:paraId="0AB60D6F" w14:textId="1963E066" w:rsidR="001A7EDD" w:rsidRPr="00D5506A" w:rsidRDefault="00FF5E35" w:rsidP="001A7EDD">
            <w:pPr>
              <w:rPr>
                <w:lang w:val="en-US"/>
              </w:rPr>
            </w:pPr>
            <w:r w:rsidRPr="00D5506A">
              <w:rPr>
                <w:color w:val="0000CC"/>
                <w:lang w:val="en-US"/>
              </w:rPr>
              <w:t>ns</w:t>
            </w:r>
          </w:p>
        </w:tc>
        <w:tc>
          <w:tcPr>
            <w:tcW w:w="1009" w:type="dxa"/>
          </w:tcPr>
          <w:p w14:paraId="052E2462" w14:textId="7FFE298F" w:rsidR="001A7EDD" w:rsidRPr="00D5506A" w:rsidRDefault="00FF5E35" w:rsidP="00C125FD">
            <w:pPr>
              <w:jc w:val="right"/>
              <w:rPr>
                <w:lang w:val="en-US"/>
              </w:rPr>
            </w:pPr>
            <w:r w:rsidRPr="00D5506A">
              <w:rPr>
                <w:lang w:val="en-US"/>
              </w:rPr>
              <w:t>-</w:t>
            </w:r>
          </w:p>
        </w:tc>
        <w:tc>
          <w:tcPr>
            <w:tcW w:w="311" w:type="dxa"/>
          </w:tcPr>
          <w:p w14:paraId="56367AE6" w14:textId="77777777" w:rsidR="001A7EDD" w:rsidRPr="00D5506A" w:rsidRDefault="001A7EDD" w:rsidP="001A7EDD">
            <w:pPr>
              <w:rPr>
                <w:lang w:val="en-US"/>
              </w:rPr>
            </w:pPr>
          </w:p>
        </w:tc>
      </w:tr>
      <w:tr w:rsidR="000F40B4" w:rsidRPr="00D5506A" w14:paraId="3783C341" w14:textId="77777777" w:rsidTr="002C4E81">
        <w:tc>
          <w:tcPr>
            <w:tcW w:w="1701" w:type="dxa"/>
          </w:tcPr>
          <w:p w14:paraId="7074E800" w14:textId="017333C5" w:rsidR="001A7EDD" w:rsidRPr="00D5506A" w:rsidRDefault="00691676" w:rsidP="001A7EDD">
            <w:pPr>
              <w:rPr>
                <w:rFonts w:eastAsia="Calibri"/>
                <w:lang w:val="en-US"/>
              </w:rPr>
            </w:pPr>
            <m:oMathPara>
              <m:oMathParaPr>
                <m:jc m:val="left"/>
              </m:oMathParaPr>
              <m:oMath>
                <m:r>
                  <w:rPr>
                    <w:rFonts w:ascii="Cambria Math" w:eastAsia="Calibri" w:hAnsi="Cambria Math"/>
                    <w:lang w:val="en-US"/>
                  </w:rPr>
                  <m:t>PE</m:t>
                </m:r>
              </m:oMath>
            </m:oMathPara>
          </w:p>
        </w:tc>
        <w:tc>
          <w:tcPr>
            <w:tcW w:w="872" w:type="dxa"/>
          </w:tcPr>
          <w:p w14:paraId="4FF52955" w14:textId="46B63CEA"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00</w:t>
            </w:r>
            <w:r w:rsidR="006E3910" w:rsidRPr="00D5506A">
              <w:rPr>
                <w:lang w:val="en-US"/>
              </w:rPr>
              <w:t>1</w:t>
            </w:r>
          </w:p>
        </w:tc>
        <w:tc>
          <w:tcPr>
            <w:tcW w:w="313" w:type="dxa"/>
          </w:tcPr>
          <w:p w14:paraId="0B3F90DA" w14:textId="77777777" w:rsidR="001A7EDD" w:rsidRPr="00D5506A" w:rsidRDefault="001A7EDD" w:rsidP="001A7EDD">
            <w:pPr>
              <w:rPr>
                <w:lang w:val="en-US"/>
              </w:rPr>
            </w:pPr>
          </w:p>
        </w:tc>
        <w:tc>
          <w:tcPr>
            <w:tcW w:w="875" w:type="dxa"/>
          </w:tcPr>
          <w:p w14:paraId="20A4AF0C" w14:textId="7B2A9FAD" w:rsidR="001A7EDD" w:rsidRPr="00D5506A" w:rsidRDefault="006E3910" w:rsidP="006E3910">
            <w:pPr>
              <w:jc w:val="right"/>
              <w:rPr>
                <w:lang w:val="en-US"/>
              </w:rPr>
            </w:pPr>
            <w:r w:rsidRPr="00D5506A">
              <w:rPr>
                <w:lang w:val="en-US"/>
              </w:rPr>
              <w:t>-</w:t>
            </w:r>
          </w:p>
        </w:tc>
        <w:tc>
          <w:tcPr>
            <w:tcW w:w="314" w:type="dxa"/>
          </w:tcPr>
          <w:p w14:paraId="68DC2D82" w14:textId="77777777" w:rsidR="001A7EDD" w:rsidRPr="00D5506A" w:rsidRDefault="001A7EDD" w:rsidP="001A7EDD">
            <w:pPr>
              <w:rPr>
                <w:lang w:val="en-US"/>
              </w:rPr>
            </w:pPr>
          </w:p>
        </w:tc>
        <w:tc>
          <w:tcPr>
            <w:tcW w:w="263" w:type="dxa"/>
          </w:tcPr>
          <w:p w14:paraId="61CABF5F" w14:textId="77777777" w:rsidR="001A7EDD" w:rsidRPr="00D5506A" w:rsidRDefault="001A7EDD" w:rsidP="001A7EDD">
            <w:pPr>
              <w:rPr>
                <w:lang w:val="en-US"/>
              </w:rPr>
            </w:pPr>
          </w:p>
        </w:tc>
        <w:tc>
          <w:tcPr>
            <w:tcW w:w="875" w:type="dxa"/>
          </w:tcPr>
          <w:p w14:paraId="3A1C95F9" w14:textId="386A6F58" w:rsidR="001A7EDD" w:rsidRPr="00D5506A" w:rsidRDefault="00C125FD" w:rsidP="005852D4">
            <w:pPr>
              <w:jc w:val="right"/>
              <w:rPr>
                <w:lang w:val="en-US"/>
              </w:rPr>
            </w:pPr>
            <w:r w:rsidRPr="00D5506A">
              <w:rPr>
                <w:lang w:val="en-US"/>
              </w:rPr>
              <w:t>0</w:t>
            </w:r>
            <w:r w:rsidR="005148B8" w:rsidRPr="00D5506A">
              <w:rPr>
                <w:lang w:val="en-US"/>
              </w:rPr>
              <w:t>.</w:t>
            </w:r>
            <w:r w:rsidRPr="00D5506A">
              <w:rPr>
                <w:lang w:val="en-US"/>
              </w:rPr>
              <w:t>003</w:t>
            </w:r>
          </w:p>
        </w:tc>
        <w:tc>
          <w:tcPr>
            <w:tcW w:w="314" w:type="dxa"/>
          </w:tcPr>
          <w:p w14:paraId="75B251F6" w14:textId="77777777" w:rsidR="001A7EDD" w:rsidRPr="00D5506A" w:rsidRDefault="001A7EDD" w:rsidP="001A7EDD">
            <w:pPr>
              <w:rPr>
                <w:lang w:val="en-US"/>
              </w:rPr>
            </w:pPr>
          </w:p>
        </w:tc>
        <w:tc>
          <w:tcPr>
            <w:tcW w:w="1009" w:type="dxa"/>
          </w:tcPr>
          <w:p w14:paraId="54FF48C5" w14:textId="626E02CA" w:rsidR="001A7EDD" w:rsidRPr="00D5506A" w:rsidRDefault="00C125FD" w:rsidP="00C125FD">
            <w:pPr>
              <w:jc w:val="right"/>
              <w:rPr>
                <w:lang w:val="en-US"/>
              </w:rPr>
            </w:pPr>
            <w:r w:rsidRPr="00D5506A">
              <w:rPr>
                <w:lang w:val="en-US"/>
              </w:rPr>
              <w:t>-</w:t>
            </w:r>
          </w:p>
        </w:tc>
        <w:tc>
          <w:tcPr>
            <w:tcW w:w="314" w:type="dxa"/>
          </w:tcPr>
          <w:p w14:paraId="609797E3" w14:textId="77777777" w:rsidR="001A7EDD" w:rsidRPr="00D5506A" w:rsidRDefault="001A7EDD" w:rsidP="001A7EDD">
            <w:pPr>
              <w:rPr>
                <w:lang w:val="en-US"/>
              </w:rPr>
            </w:pPr>
          </w:p>
        </w:tc>
        <w:tc>
          <w:tcPr>
            <w:tcW w:w="283" w:type="dxa"/>
          </w:tcPr>
          <w:p w14:paraId="32AAD601" w14:textId="77777777" w:rsidR="001A7EDD" w:rsidRPr="00D5506A" w:rsidRDefault="001A7EDD" w:rsidP="001A7EDD">
            <w:pPr>
              <w:rPr>
                <w:lang w:val="en-US"/>
              </w:rPr>
            </w:pPr>
          </w:p>
        </w:tc>
        <w:tc>
          <w:tcPr>
            <w:tcW w:w="1028" w:type="dxa"/>
          </w:tcPr>
          <w:p w14:paraId="5EE0A579" w14:textId="4EFA5069" w:rsidR="001A7EDD" w:rsidRPr="00D5506A" w:rsidRDefault="00C125FD" w:rsidP="00C125FD">
            <w:pPr>
              <w:jc w:val="right"/>
              <w:rPr>
                <w:lang w:val="en-US"/>
              </w:rPr>
            </w:pPr>
            <w:r w:rsidRPr="00D5506A">
              <w:rPr>
                <w:lang w:val="en-US"/>
              </w:rPr>
              <w:t>0</w:t>
            </w:r>
            <w:r w:rsidR="005148B8" w:rsidRPr="00D5506A">
              <w:rPr>
                <w:lang w:val="en-US"/>
              </w:rPr>
              <w:t>.</w:t>
            </w:r>
            <w:r w:rsidRPr="00D5506A">
              <w:rPr>
                <w:lang w:val="en-US"/>
              </w:rPr>
              <w:t>046</w:t>
            </w:r>
          </w:p>
        </w:tc>
        <w:tc>
          <w:tcPr>
            <w:tcW w:w="314" w:type="dxa"/>
          </w:tcPr>
          <w:p w14:paraId="6B390D3D" w14:textId="77777777" w:rsidR="001A7EDD" w:rsidRPr="00D5506A" w:rsidRDefault="001A7EDD" w:rsidP="001A7EDD">
            <w:pPr>
              <w:rPr>
                <w:lang w:val="en-US"/>
              </w:rPr>
            </w:pPr>
          </w:p>
        </w:tc>
        <w:tc>
          <w:tcPr>
            <w:tcW w:w="1009" w:type="dxa"/>
          </w:tcPr>
          <w:p w14:paraId="06BDC7C9" w14:textId="548D5759" w:rsidR="001A7EDD" w:rsidRPr="00D5506A" w:rsidRDefault="00FF5E35" w:rsidP="00C125FD">
            <w:pPr>
              <w:jc w:val="right"/>
              <w:rPr>
                <w:lang w:val="en-US"/>
              </w:rPr>
            </w:pPr>
            <w:r w:rsidRPr="00D5506A">
              <w:rPr>
                <w:lang w:val="en-US"/>
              </w:rPr>
              <w:t>-</w:t>
            </w:r>
          </w:p>
        </w:tc>
        <w:tc>
          <w:tcPr>
            <w:tcW w:w="311" w:type="dxa"/>
          </w:tcPr>
          <w:p w14:paraId="39A62FC7" w14:textId="77777777" w:rsidR="001A7EDD" w:rsidRPr="00D5506A" w:rsidRDefault="001A7EDD" w:rsidP="001A7EDD">
            <w:pPr>
              <w:rPr>
                <w:lang w:val="en-US"/>
              </w:rPr>
            </w:pPr>
          </w:p>
        </w:tc>
      </w:tr>
      <w:tr w:rsidR="000F40B4" w:rsidRPr="00D5506A" w14:paraId="584DD612" w14:textId="77777777" w:rsidTr="002C4E81">
        <w:tc>
          <w:tcPr>
            <w:tcW w:w="1701" w:type="dxa"/>
          </w:tcPr>
          <w:p w14:paraId="75A6703A" w14:textId="0917F816" w:rsidR="001A7EDD" w:rsidRPr="00D5506A" w:rsidRDefault="00FF4EF5" w:rsidP="001A7EDD">
            <w:pPr>
              <w:rPr>
                <w:rFonts w:eastAsia="Calibri"/>
                <w:lang w:val="en-US"/>
              </w:rPr>
            </w:pPr>
            <m:oMathPara>
              <m:oMathParaPr>
                <m:jc m:val="left"/>
              </m:oMathParaPr>
              <m:oMath>
                <m:sSub>
                  <m:sSubPr>
                    <m:ctrlPr>
                      <w:rPr>
                        <w:rFonts w:ascii="Cambria Math" w:eastAsia="Calibri" w:hAnsi="Cambria Math"/>
                        <w:i/>
                        <w:lang w:val="en-US"/>
                      </w:rPr>
                    </m:ctrlPr>
                  </m:sSubPr>
                  <m:e>
                    <w:bookmarkStart w:id="3" w:name="_Hlk104140842"/>
                    <m:r>
                      <w:rPr>
                        <w:rFonts w:ascii="Cambria Math" w:eastAsia="Calibri" w:hAnsi="Cambria Math"/>
                        <w:lang w:val="en-US"/>
                      </w:rPr>
                      <m:t>SS</m:t>
                    </m:r>
                    <w:bookmarkEnd w:id="3"/>
                  </m:e>
                  <m:sub>
                    <m:r>
                      <w:rPr>
                        <w:rFonts w:ascii="Cambria Math" w:eastAsia="Calibri" w:hAnsi="Cambria Math"/>
                        <w:lang w:val="en-US"/>
                      </w:rPr>
                      <m:t>total</m:t>
                    </m:r>
                  </m:sub>
                </m:sSub>
              </m:oMath>
            </m:oMathPara>
          </w:p>
        </w:tc>
        <w:tc>
          <w:tcPr>
            <w:tcW w:w="872" w:type="dxa"/>
          </w:tcPr>
          <w:p w14:paraId="0D2C6519" w14:textId="6D5341C0" w:rsidR="001A7EDD" w:rsidRPr="00D5506A" w:rsidRDefault="001A7EDD" w:rsidP="001A7EDD">
            <w:pPr>
              <w:jc w:val="right"/>
              <w:rPr>
                <w:lang w:val="en-US"/>
              </w:rPr>
            </w:pPr>
            <w:r w:rsidRPr="00D5506A">
              <w:rPr>
                <w:lang w:val="en-US"/>
              </w:rPr>
              <w:t>0</w:t>
            </w:r>
            <w:r w:rsidR="005148B8" w:rsidRPr="00D5506A">
              <w:rPr>
                <w:lang w:val="en-US"/>
              </w:rPr>
              <w:t>.</w:t>
            </w:r>
            <w:r w:rsidRPr="00D5506A">
              <w:rPr>
                <w:lang w:val="en-US"/>
              </w:rPr>
              <w:t>015</w:t>
            </w:r>
          </w:p>
        </w:tc>
        <w:tc>
          <w:tcPr>
            <w:tcW w:w="313" w:type="dxa"/>
          </w:tcPr>
          <w:p w14:paraId="7B2F25A7" w14:textId="77777777" w:rsidR="001A7EDD" w:rsidRPr="00D5506A" w:rsidRDefault="001A7EDD" w:rsidP="001A7EDD">
            <w:pPr>
              <w:rPr>
                <w:lang w:val="en-US"/>
              </w:rPr>
            </w:pPr>
          </w:p>
        </w:tc>
        <w:tc>
          <w:tcPr>
            <w:tcW w:w="875" w:type="dxa"/>
          </w:tcPr>
          <w:p w14:paraId="5AC47300" w14:textId="2D3C98E6" w:rsidR="001A7EDD" w:rsidRPr="00D5506A" w:rsidRDefault="006E3910" w:rsidP="006E3910">
            <w:pPr>
              <w:jc w:val="right"/>
              <w:rPr>
                <w:lang w:val="en-US"/>
              </w:rPr>
            </w:pPr>
            <w:r w:rsidRPr="00D5506A">
              <w:rPr>
                <w:lang w:val="en-US"/>
              </w:rPr>
              <w:t>-</w:t>
            </w:r>
          </w:p>
        </w:tc>
        <w:tc>
          <w:tcPr>
            <w:tcW w:w="314" w:type="dxa"/>
          </w:tcPr>
          <w:p w14:paraId="3D7CA03D" w14:textId="77777777" w:rsidR="001A7EDD" w:rsidRPr="00D5506A" w:rsidRDefault="001A7EDD" w:rsidP="001A7EDD">
            <w:pPr>
              <w:rPr>
                <w:lang w:val="en-US"/>
              </w:rPr>
            </w:pPr>
          </w:p>
        </w:tc>
        <w:tc>
          <w:tcPr>
            <w:tcW w:w="263" w:type="dxa"/>
          </w:tcPr>
          <w:p w14:paraId="711C2ACF" w14:textId="77777777" w:rsidR="001A7EDD" w:rsidRPr="00D5506A" w:rsidRDefault="001A7EDD" w:rsidP="001A7EDD">
            <w:pPr>
              <w:rPr>
                <w:lang w:val="en-US"/>
              </w:rPr>
            </w:pPr>
          </w:p>
        </w:tc>
        <w:tc>
          <w:tcPr>
            <w:tcW w:w="875" w:type="dxa"/>
          </w:tcPr>
          <w:p w14:paraId="60A3418E" w14:textId="51C01BE8" w:rsidR="001A7EDD" w:rsidRPr="00D5506A" w:rsidRDefault="00C125FD" w:rsidP="005852D4">
            <w:pPr>
              <w:jc w:val="right"/>
              <w:rPr>
                <w:lang w:val="en-US"/>
              </w:rPr>
            </w:pPr>
            <w:r w:rsidRPr="00D5506A">
              <w:rPr>
                <w:lang w:val="en-US"/>
              </w:rPr>
              <w:t>0</w:t>
            </w:r>
            <w:r w:rsidR="005148B8" w:rsidRPr="00D5506A">
              <w:rPr>
                <w:lang w:val="en-US"/>
              </w:rPr>
              <w:t>.</w:t>
            </w:r>
            <w:r w:rsidRPr="00D5506A">
              <w:rPr>
                <w:lang w:val="en-US"/>
              </w:rPr>
              <w:t>070</w:t>
            </w:r>
          </w:p>
        </w:tc>
        <w:tc>
          <w:tcPr>
            <w:tcW w:w="314" w:type="dxa"/>
          </w:tcPr>
          <w:p w14:paraId="7216D640" w14:textId="77777777" w:rsidR="001A7EDD" w:rsidRPr="00D5506A" w:rsidRDefault="001A7EDD" w:rsidP="001A7EDD">
            <w:pPr>
              <w:rPr>
                <w:lang w:val="en-US"/>
              </w:rPr>
            </w:pPr>
          </w:p>
        </w:tc>
        <w:tc>
          <w:tcPr>
            <w:tcW w:w="1009" w:type="dxa"/>
          </w:tcPr>
          <w:p w14:paraId="71264424" w14:textId="316DFD7D" w:rsidR="001A7EDD" w:rsidRPr="00D5506A" w:rsidRDefault="00C125FD" w:rsidP="00C125FD">
            <w:pPr>
              <w:jc w:val="right"/>
              <w:rPr>
                <w:lang w:val="en-US"/>
              </w:rPr>
            </w:pPr>
            <w:r w:rsidRPr="00D5506A">
              <w:rPr>
                <w:lang w:val="en-US"/>
              </w:rPr>
              <w:t>-</w:t>
            </w:r>
          </w:p>
        </w:tc>
        <w:tc>
          <w:tcPr>
            <w:tcW w:w="314" w:type="dxa"/>
          </w:tcPr>
          <w:p w14:paraId="641112AF" w14:textId="77777777" w:rsidR="001A7EDD" w:rsidRPr="00D5506A" w:rsidRDefault="001A7EDD" w:rsidP="001A7EDD">
            <w:pPr>
              <w:rPr>
                <w:lang w:val="en-US"/>
              </w:rPr>
            </w:pPr>
          </w:p>
        </w:tc>
        <w:tc>
          <w:tcPr>
            <w:tcW w:w="283" w:type="dxa"/>
          </w:tcPr>
          <w:p w14:paraId="7E06BC48" w14:textId="77777777" w:rsidR="001A7EDD" w:rsidRPr="00D5506A" w:rsidRDefault="001A7EDD" w:rsidP="001A7EDD">
            <w:pPr>
              <w:rPr>
                <w:lang w:val="en-US"/>
              </w:rPr>
            </w:pPr>
          </w:p>
        </w:tc>
        <w:tc>
          <w:tcPr>
            <w:tcW w:w="1028" w:type="dxa"/>
          </w:tcPr>
          <w:p w14:paraId="637207E5" w14:textId="61E93E5F" w:rsidR="001A7EDD" w:rsidRPr="00D5506A" w:rsidRDefault="00C125FD" w:rsidP="00C125FD">
            <w:pPr>
              <w:jc w:val="right"/>
              <w:rPr>
                <w:lang w:val="en-US"/>
              </w:rPr>
            </w:pPr>
            <w:r w:rsidRPr="00D5506A">
              <w:rPr>
                <w:lang w:val="en-US"/>
              </w:rPr>
              <w:t>3</w:t>
            </w:r>
            <w:r w:rsidR="005148B8" w:rsidRPr="00D5506A">
              <w:rPr>
                <w:lang w:val="en-US"/>
              </w:rPr>
              <w:t>.</w:t>
            </w:r>
            <w:r w:rsidRPr="00D5506A">
              <w:rPr>
                <w:lang w:val="en-US"/>
              </w:rPr>
              <w:t>332</w:t>
            </w:r>
          </w:p>
        </w:tc>
        <w:tc>
          <w:tcPr>
            <w:tcW w:w="314" w:type="dxa"/>
          </w:tcPr>
          <w:p w14:paraId="28A5D235" w14:textId="77777777" w:rsidR="001A7EDD" w:rsidRPr="00D5506A" w:rsidRDefault="001A7EDD" w:rsidP="001A7EDD">
            <w:pPr>
              <w:rPr>
                <w:lang w:val="en-US"/>
              </w:rPr>
            </w:pPr>
          </w:p>
        </w:tc>
        <w:tc>
          <w:tcPr>
            <w:tcW w:w="1009" w:type="dxa"/>
          </w:tcPr>
          <w:p w14:paraId="7C7DF1F3" w14:textId="4D5CC9AC" w:rsidR="001A7EDD" w:rsidRPr="00D5506A" w:rsidRDefault="00FF5E35" w:rsidP="00C125FD">
            <w:pPr>
              <w:jc w:val="right"/>
              <w:rPr>
                <w:lang w:val="en-US"/>
              </w:rPr>
            </w:pPr>
            <w:r w:rsidRPr="00D5506A">
              <w:rPr>
                <w:lang w:val="en-US"/>
              </w:rPr>
              <w:t>-</w:t>
            </w:r>
          </w:p>
        </w:tc>
        <w:tc>
          <w:tcPr>
            <w:tcW w:w="311" w:type="dxa"/>
          </w:tcPr>
          <w:p w14:paraId="06B7E80C" w14:textId="77777777" w:rsidR="001A7EDD" w:rsidRPr="00D5506A" w:rsidRDefault="001A7EDD" w:rsidP="001A7EDD">
            <w:pPr>
              <w:rPr>
                <w:lang w:val="en-US"/>
              </w:rPr>
            </w:pPr>
          </w:p>
        </w:tc>
      </w:tr>
      <w:tr w:rsidR="000F40B4" w:rsidRPr="00D5506A" w14:paraId="2A9CCD0A" w14:textId="77777777" w:rsidTr="002C4E81">
        <w:tc>
          <w:tcPr>
            <w:tcW w:w="1701" w:type="dxa"/>
          </w:tcPr>
          <w:p w14:paraId="54E665E9" w14:textId="4A4CDDAF" w:rsidR="00FF5E35" w:rsidRPr="00D5506A" w:rsidRDefault="00FF4EF5" w:rsidP="001A7EDD">
            <w:pPr>
              <w:rPr>
                <w:rFonts w:eastAsia="Calibri"/>
                <w:lang w:val="en-US"/>
              </w:rPr>
            </w:pPr>
            <m:oMathPara>
              <m:oMathParaPr>
                <m:jc m:val="left"/>
              </m:oMathParaPr>
              <m:oMath>
                <m:sSup>
                  <m:sSupPr>
                    <m:ctrlPr>
                      <w:rPr>
                        <w:rFonts w:ascii="Cambria Math" w:eastAsia="Calibri" w:hAnsi="Cambria Math"/>
                        <w:i/>
                        <w:lang w:val="en-US"/>
                      </w:rPr>
                    </m:ctrlPr>
                  </m:sSupPr>
                  <m:e>
                    <m:r>
                      <w:rPr>
                        <w:rFonts w:ascii="Cambria Math" w:eastAsia="Calibri" w:hAnsi="Cambria Math"/>
                        <w:lang w:val="en-US"/>
                      </w:rPr>
                      <m:t>R</m:t>
                    </m:r>
                  </m:e>
                  <m:sup>
                    <m:r>
                      <w:rPr>
                        <w:rFonts w:ascii="Cambria Math" w:eastAsia="Calibri" w:hAnsi="Cambria Math"/>
                        <w:lang w:val="en-US"/>
                      </w:rPr>
                      <m:t>2</m:t>
                    </m:r>
                  </m:sup>
                </m:sSup>
              </m:oMath>
            </m:oMathPara>
          </w:p>
        </w:tc>
        <w:tc>
          <w:tcPr>
            <w:tcW w:w="2374" w:type="dxa"/>
            <w:gridSpan w:val="4"/>
          </w:tcPr>
          <w:p w14:paraId="1BC53F57" w14:textId="658C60F1" w:rsidR="00FF5E35" w:rsidRPr="00D5506A" w:rsidRDefault="00FF5E35" w:rsidP="00FF5E35">
            <w:pPr>
              <w:jc w:val="center"/>
              <w:rPr>
                <w:lang w:val="en-US"/>
              </w:rPr>
            </w:pPr>
            <w:r w:rsidRPr="00D5506A">
              <w:rPr>
                <w:lang w:val="en-US"/>
              </w:rPr>
              <w:t>0</w:t>
            </w:r>
            <w:r w:rsidR="005148B8" w:rsidRPr="00D5506A">
              <w:rPr>
                <w:lang w:val="en-US"/>
              </w:rPr>
              <w:t>.</w:t>
            </w:r>
            <w:r w:rsidRPr="00D5506A">
              <w:rPr>
                <w:lang w:val="en-US"/>
              </w:rPr>
              <w:t>888</w:t>
            </w:r>
          </w:p>
        </w:tc>
        <w:tc>
          <w:tcPr>
            <w:tcW w:w="263" w:type="dxa"/>
          </w:tcPr>
          <w:p w14:paraId="791B9B0F" w14:textId="77777777" w:rsidR="00FF5E35" w:rsidRPr="00D5506A" w:rsidRDefault="00FF5E35" w:rsidP="001A7EDD">
            <w:pPr>
              <w:rPr>
                <w:lang w:val="en-US"/>
              </w:rPr>
            </w:pPr>
          </w:p>
        </w:tc>
        <w:tc>
          <w:tcPr>
            <w:tcW w:w="2512" w:type="dxa"/>
            <w:gridSpan w:val="4"/>
          </w:tcPr>
          <w:p w14:paraId="54987F02" w14:textId="3F47E1C2" w:rsidR="00FF5E35" w:rsidRPr="00D5506A" w:rsidRDefault="00FF5E35" w:rsidP="00FF5E35">
            <w:pPr>
              <w:jc w:val="center"/>
              <w:rPr>
                <w:lang w:val="en-US"/>
              </w:rPr>
            </w:pPr>
            <w:r w:rsidRPr="00D5506A">
              <w:rPr>
                <w:lang w:val="en-US"/>
              </w:rPr>
              <w:t>0</w:t>
            </w:r>
            <w:r w:rsidR="005148B8" w:rsidRPr="00D5506A">
              <w:rPr>
                <w:lang w:val="en-US"/>
              </w:rPr>
              <w:t>.</w:t>
            </w:r>
            <w:r w:rsidRPr="00D5506A">
              <w:rPr>
                <w:lang w:val="en-US"/>
              </w:rPr>
              <w:t>712</w:t>
            </w:r>
          </w:p>
        </w:tc>
        <w:tc>
          <w:tcPr>
            <w:tcW w:w="283" w:type="dxa"/>
          </w:tcPr>
          <w:p w14:paraId="794D61EA" w14:textId="77777777" w:rsidR="00FF5E35" w:rsidRPr="00D5506A" w:rsidRDefault="00FF5E35" w:rsidP="001A7EDD">
            <w:pPr>
              <w:rPr>
                <w:lang w:val="en-US"/>
              </w:rPr>
            </w:pPr>
          </w:p>
        </w:tc>
        <w:tc>
          <w:tcPr>
            <w:tcW w:w="2662" w:type="dxa"/>
            <w:gridSpan w:val="4"/>
          </w:tcPr>
          <w:p w14:paraId="2C1E89E4" w14:textId="6FC1B414" w:rsidR="00FF5E35" w:rsidRPr="00D5506A" w:rsidRDefault="00FF5E35" w:rsidP="00FF5E35">
            <w:pPr>
              <w:jc w:val="center"/>
              <w:rPr>
                <w:lang w:val="en-US"/>
              </w:rPr>
            </w:pPr>
            <w:r w:rsidRPr="00D5506A">
              <w:rPr>
                <w:lang w:val="en-US"/>
              </w:rPr>
              <w:t>0</w:t>
            </w:r>
            <w:r w:rsidR="005148B8" w:rsidRPr="00D5506A">
              <w:rPr>
                <w:lang w:val="en-US"/>
              </w:rPr>
              <w:t>.</w:t>
            </w:r>
            <w:r w:rsidRPr="00D5506A">
              <w:rPr>
                <w:lang w:val="en-US"/>
              </w:rPr>
              <w:t>779</w:t>
            </w:r>
          </w:p>
        </w:tc>
      </w:tr>
    </w:tbl>
    <w:p w14:paraId="0672B9B7" w14:textId="6B2E6953" w:rsidR="00D40EB4" w:rsidRPr="00D5506A" w:rsidRDefault="00FF4EF5" w:rsidP="000F40B4">
      <w:pPr>
        <w:rPr>
          <w:rFonts w:eastAsiaTheme="minorEastAsia"/>
          <w:sz w:val="20"/>
          <w:szCs w:val="20"/>
          <w:lang w:val="en-US"/>
        </w:rPr>
        <w:sectPr w:rsidR="00D40EB4" w:rsidRPr="00D5506A" w:rsidSect="002C4E81">
          <w:pgSz w:w="11906" w:h="16838"/>
          <w:pgMar w:top="907" w:right="680" w:bottom="907" w:left="1361" w:header="709" w:footer="709" w:gutter="0"/>
          <w:lnNumType w:countBy="1" w:restart="continuous"/>
          <w:cols w:space="708"/>
          <w:docGrid w:linePitch="360"/>
        </w:sectPr>
      </w:pPr>
      <m:oMath>
        <m:sSub>
          <m:sSubPr>
            <m:ctrlPr>
              <w:rPr>
                <w:rFonts w:ascii="Cambria Math" w:hAnsi="Cambria Math"/>
                <w:i/>
                <w:sz w:val="20"/>
                <w:szCs w:val="20"/>
                <w:lang w:val="en-US"/>
              </w:rPr>
            </m:ctrlPr>
          </m:sSubPr>
          <m:e>
            <m:r>
              <w:rPr>
                <w:rFonts w:ascii="Cambria Math" w:hAnsi="Cambria Math"/>
                <w:sz w:val="20"/>
                <w:szCs w:val="20"/>
                <w:lang w:val="en-US"/>
              </w:rPr>
              <m:t>X</m:t>
            </m:r>
          </m:e>
          <m:sub>
            <m:r>
              <w:rPr>
                <w:rFonts w:ascii="Cambria Math" w:hAnsi="Cambria Math"/>
                <w:sz w:val="20"/>
                <w:szCs w:val="20"/>
                <w:lang w:val="en-US"/>
              </w:rPr>
              <m:t>1</m:t>
            </m:r>
          </m:sub>
        </m:sSub>
      </m:oMath>
      <w:r w:rsidR="00A24BBF" w:rsidRPr="00D5506A">
        <w:rPr>
          <w:rFonts w:eastAsiaTheme="minorEastAsia"/>
          <w:sz w:val="20"/>
          <w:szCs w:val="20"/>
          <w:lang w:val="en-US"/>
        </w:rPr>
        <w:t xml:space="preserve">: </w:t>
      </w:r>
      <m:oMath>
        <m:r>
          <w:rPr>
            <w:rFonts w:ascii="Cambria Math" w:hAnsi="Cambria Math"/>
            <w:sz w:val="20"/>
            <w:szCs w:val="20"/>
            <w:lang w:val="en-US"/>
          </w:rPr>
          <m:t>PBF</m:t>
        </m:r>
      </m:oMath>
      <w:r w:rsidR="00A24BBF" w:rsidRPr="00D5506A">
        <w:rPr>
          <w:sz w:val="20"/>
          <w:szCs w:val="20"/>
          <w:lang w:val="en-US"/>
        </w:rPr>
        <w:t xml:space="preserve"> </w:t>
      </w:r>
      <w:r w:rsidR="00296F3B" w:rsidRPr="00D5506A">
        <w:rPr>
          <w:sz w:val="20"/>
          <w:szCs w:val="20"/>
          <w:lang w:val="en-US"/>
        </w:rPr>
        <w:t>addition</w:t>
      </w:r>
      <w:r w:rsidR="00A24BBF" w:rsidRPr="00D5506A">
        <w:rPr>
          <w:sz w:val="20"/>
          <w:szCs w:val="20"/>
          <w:lang w:val="en-US"/>
        </w:rPr>
        <w:t xml:space="preserve"> (g/100 g);  </w:t>
      </w:r>
      <m:oMath>
        <m:sSub>
          <m:sSubPr>
            <m:ctrlPr>
              <w:rPr>
                <w:rFonts w:ascii="Cambria Math" w:hAnsi="Cambria Math"/>
                <w:i/>
                <w:sz w:val="20"/>
                <w:szCs w:val="20"/>
                <w:lang w:val="en-US"/>
              </w:rPr>
            </m:ctrlPr>
          </m:sSubPr>
          <m:e>
            <m:r>
              <w:rPr>
                <w:rFonts w:ascii="Cambria Math" w:hAnsi="Cambria Math"/>
                <w:sz w:val="20"/>
                <w:szCs w:val="20"/>
                <w:lang w:val="en-US"/>
              </w:rPr>
              <m:t>X</m:t>
            </m:r>
          </m:e>
          <m:sub>
            <m:r>
              <w:rPr>
                <w:rFonts w:ascii="Cambria Math" w:hAnsi="Cambria Math"/>
                <w:sz w:val="20"/>
                <w:szCs w:val="20"/>
                <w:lang w:val="en-US"/>
              </w:rPr>
              <m:t>2</m:t>
            </m:r>
          </m:sub>
        </m:sSub>
      </m:oMath>
      <w:r w:rsidR="00A24BBF" w:rsidRPr="00D5506A">
        <w:rPr>
          <w:rFonts w:eastAsiaTheme="minorEastAsia"/>
          <w:sz w:val="20"/>
          <w:szCs w:val="20"/>
          <w:lang w:val="en-US"/>
        </w:rPr>
        <w:t xml:space="preserve">:  </w:t>
      </w:r>
      <w:r w:rsidR="00A24BBF" w:rsidRPr="00D5506A">
        <w:rPr>
          <w:sz w:val="20"/>
          <w:szCs w:val="20"/>
          <w:lang w:val="en-US"/>
        </w:rPr>
        <w:t>margarine (g/100 g</w:t>
      </w:r>
      <w:r w:rsidR="00174372" w:rsidRPr="00D5506A">
        <w:rPr>
          <w:sz w:val="20"/>
          <w:szCs w:val="20"/>
          <w:lang w:val="en-US"/>
        </w:rPr>
        <w:t xml:space="preserve"> dough</w:t>
      </w:r>
      <w:r w:rsidR="00A24BBF" w:rsidRPr="00D5506A">
        <w:rPr>
          <w:sz w:val="20"/>
          <w:szCs w:val="20"/>
          <w:lang w:val="en-US"/>
        </w:rPr>
        <w:t>);</w:t>
      </w:r>
      <m:oMath>
        <m:r>
          <w:rPr>
            <w:rFonts w:ascii="Cambria Math" w:hAnsi="Cambria Math"/>
            <w:sz w:val="20"/>
            <w:szCs w:val="20"/>
            <w:lang w:val="en-US"/>
          </w:rPr>
          <m:t xml:space="preserve"> LoF</m:t>
        </m:r>
      </m:oMath>
      <w:r w:rsidR="00A24BBF" w:rsidRPr="00D5506A">
        <w:rPr>
          <w:rFonts w:eastAsiaTheme="minorEastAsia"/>
          <w:sz w:val="20"/>
          <w:szCs w:val="20"/>
          <w:lang w:val="en-US"/>
        </w:rPr>
        <w:t>: lack of</w:t>
      </w:r>
      <w:r w:rsidR="00CC2F24" w:rsidRPr="00D5506A">
        <w:rPr>
          <w:rFonts w:eastAsiaTheme="minorEastAsia"/>
          <w:sz w:val="20"/>
          <w:szCs w:val="20"/>
          <w:lang w:val="en-US"/>
        </w:rPr>
        <w:t xml:space="preserve"> f</w:t>
      </w:r>
      <w:r w:rsidR="00A24BBF" w:rsidRPr="00D5506A">
        <w:rPr>
          <w:rFonts w:eastAsiaTheme="minorEastAsia"/>
          <w:sz w:val="20"/>
          <w:szCs w:val="20"/>
          <w:lang w:val="en-US"/>
        </w:rPr>
        <w:t>it;</w:t>
      </w:r>
      <w:r w:rsidR="00174372" w:rsidRPr="00D5506A">
        <w:rPr>
          <w:rFonts w:eastAsiaTheme="minorEastAsia"/>
          <w:sz w:val="20"/>
          <w:szCs w:val="20"/>
          <w:lang w:val="en-US"/>
        </w:rPr>
        <w:t xml:space="preserve"> </w:t>
      </w:r>
      <m:oMath>
        <m:r>
          <w:rPr>
            <w:rFonts w:ascii="Cambria Math" w:eastAsiaTheme="minorEastAsia" w:hAnsi="Cambria Math"/>
            <w:sz w:val="20"/>
            <w:szCs w:val="20"/>
            <w:lang w:val="en-US"/>
          </w:rPr>
          <m:t>PE</m:t>
        </m:r>
      </m:oMath>
      <w:r w:rsidR="00A24BBF" w:rsidRPr="00D5506A">
        <w:rPr>
          <w:rFonts w:eastAsiaTheme="minorEastAsia"/>
          <w:sz w:val="20"/>
          <w:szCs w:val="20"/>
          <w:lang w:val="en-US"/>
        </w:rPr>
        <w:t xml:space="preserve">: </w:t>
      </w:r>
      <w:r w:rsidR="00CC2F24" w:rsidRPr="00D5506A">
        <w:rPr>
          <w:rFonts w:eastAsiaTheme="minorEastAsia"/>
          <w:sz w:val="20"/>
          <w:szCs w:val="20"/>
          <w:lang w:val="en-US"/>
        </w:rPr>
        <w:t>pure</w:t>
      </w:r>
      <w:r w:rsidR="00A24BBF" w:rsidRPr="00D5506A">
        <w:rPr>
          <w:rFonts w:eastAsiaTheme="minorEastAsia"/>
          <w:sz w:val="20"/>
          <w:szCs w:val="20"/>
          <w:lang w:val="en-US"/>
        </w:rPr>
        <w:t xml:space="preserve"> </w:t>
      </w:r>
      <w:r w:rsidR="00CC2F24" w:rsidRPr="00D5506A">
        <w:rPr>
          <w:rFonts w:eastAsiaTheme="minorEastAsia"/>
          <w:sz w:val="20"/>
          <w:szCs w:val="20"/>
          <w:lang w:val="en-US"/>
        </w:rPr>
        <w:t>error</w:t>
      </w:r>
      <w:r w:rsidR="00A24BBF" w:rsidRPr="00D5506A">
        <w:rPr>
          <w:rFonts w:eastAsiaTheme="minorEastAsia"/>
          <w:sz w:val="20"/>
          <w:szCs w:val="20"/>
          <w:lang w:val="en-US"/>
        </w:rPr>
        <w:t>;</w:t>
      </w:r>
      <w:r w:rsidR="00174372" w:rsidRPr="00D5506A">
        <w:rPr>
          <w:rFonts w:eastAsiaTheme="minorEastAsia"/>
          <w:sz w:val="20"/>
          <w:szCs w:val="20"/>
          <w:lang w:val="en-US"/>
        </w:rPr>
        <w:t xml:space="preserve"> </w:t>
      </w:r>
      <m:oMath>
        <m:sSub>
          <m:sSubPr>
            <m:ctrlPr>
              <w:rPr>
                <w:rFonts w:ascii="Cambria Math" w:eastAsiaTheme="minorEastAsia" w:hAnsi="Cambria Math"/>
                <w:i/>
                <w:sz w:val="20"/>
                <w:szCs w:val="20"/>
                <w:lang w:val="en-US"/>
              </w:rPr>
            </m:ctrlPr>
          </m:sSubPr>
          <m:e>
            <m:r>
              <w:rPr>
                <w:rFonts w:ascii="Cambria Math" w:eastAsiaTheme="minorEastAsia" w:hAnsi="Cambria Math"/>
                <w:sz w:val="20"/>
                <w:szCs w:val="20"/>
                <w:lang w:val="en-US"/>
              </w:rPr>
              <m:t>SS</m:t>
            </m:r>
          </m:e>
          <m:sub>
            <m:r>
              <w:rPr>
                <w:rFonts w:ascii="Cambria Math" w:eastAsiaTheme="minorEastAsia" w:hAnsi="Cambria Math"/>
                <w:sz w:val="20"/>
                <w:szCs w:val="20"/>
                <w:lang w:val="en-US"/>
              </w:rPr>
              <m:t>total</m:t>
            </m:r>
          </m:sub>
        </m:sSub>
      </m:oMath>
      <w:r w:rsidR="00A24BBF" w:rsidRPr="00D5506A">
        <w:rPr>
          <w:rFonts w:eastAsiaTheme="minorEastAsia"/>
          <w:sz w:val="20"/>
          <w:szCs w:val="20"/>
          <w:lang w:val="en-US"/>
        </w:rPr>
        <w:t>:</w:t>
      </w:r>
      <w:r w:rsidR="00CC2F24" w:rsidRPr="00D5506A">
        <w:rPr>
          <w:rFonts w:eastAsiaTheme="minorEastAsia"/>
          <w:sz w:val="20"/>
          <w:szCs w:val="20"/>
          <w:lang w:val="en-US"/>
        </w:rPr>
        <w:t xml:space="preserve"> total sum of squares</w:t>
      </w:r>
      <w:r w:rsidR="005148B8" w:rsidRPr="00D5506A">
        <w:rPr>
          <w:rFonts w:eastAsiaTheme="minorEastAsia"/>
          <w:sz w:val="20"/>
          <w:szCs w:val="20"/>
          <w:lang w:val="en-US"/>
        </w:rPr>
        <w:t>.</w:t>
      </w:r>
      <w:r w:rsidR="005148B8" w:rsidRPr="00D5506A">
        <w:rPr>
          <w:lang w:val="en-US"/>
        </w:rPr>
        <w:t xml:space="preserve"> </w:t>
      </w:r>
      <w:r w:rsidR="005148B8" w:rsidRPr="00D5506A">
        <w:rPr>
          <w:rFonts w:eastAsiaTheme="minorEastAsia"/>
          <w:sz w:val="20"/>
          <w:szCs w:val="20"/>
          <w:lang w:val="en-US"/>
        </w:rPr>
        <w:t xml:space="preserve">* Significant at p &lt; 0.05, ** Significant at p &lt; 0.01, </w:t>
      </w:r>
      <w:r w:rsidR="005148B8" w:rsidRPr="00D5506A">
        <w:rPr>
          <w:rFonts w:eastAsiaTheme="minorEastAsia"/>
          <w:color w:val="0000CC"/>
          <w:sz w:val="20"/>
          <w:szCs w:val="20"/>
          <w:lang w:val="en-US"/>
        </w:rPr>
        <w:t>ns</w:t>
      </w:r>
      <w:r w:rsidR="005148B8" w:rsidRPr="00D5506A">
        <w:rPr>
          <w:rFonts w:eastAsiaTheme="minorEastAsia"/>
          <w:sz w:val="20"/>
          <w:szCs w:val="20"/>
          <w:lang w:val="en-US"/>
        </w:rPr>
        <w:t xml:space="preserve"> not significan</w:t>
      </w:r>
      <w:r w:rsidR="000F40B4" w:rsidRPr="00D5506A">
        <w:rPr>
          <w:rFonts w:eastAsiaTheme="minorEastAsia"/>
          <w:sz w:val="20"/>
          <w:szCs w:val="20"/>
          <w:lang w:val="en-US"/>
        </w:rPr>
        <w:t>t</w:t>
      </w:r>
    </w:p>
    <w:p w14:paraId="260B5EA1" w14:textId="3E37A47B" w:rsidR="00D40EB4" w:rsidRPr="00D5506A" w:rsidRDefault="00D40EB4" w:rsidP="00D40EB4">
      <w:pPr>
        <w:pStyle w:val="Ttulo1"/>
        <w:spacing w:line="480" w:lineRule="auto"/>
        <w:jc w:val="left"/>
        <w:rPr>
          <w:lang w:val="en-US"/>
        </w:rPr>
      </w:pPr>
      <w:r w:rsidRPr="00D5506A">
        <w:rPr>
          <w:lang w:val="en-US"/>
        </w:rPr>
        <w:lastRenderedPageBreak/>
        <w:t>Supplementary Figures</w:t>
      </w:r>
    </w:p>
    <w:p w14:paraId="6DA945B6" w14:textId="747519D5" w:rsidR="00E46CFA" w:rsidRPr="00D5506A" w:rsidRDefault="00296F3B" w:rsidP="00E46CFA">
      <w:pPr>
        <w:keepNext/>
        <w:spacing w:line="480" w:lineRule="auto"/>
        <w:rPr>
          <w:lang w:val="en-US"/>
        </w:rPr>
      </w:pPr>
      <w:r w:rsidRPr="00D5506A">
        <w:rPr>
          <w:noProof/>
          <w:lang w:val="en-US"/>
        </w:rPr>
        <w:drawing>
          <wp:inline distT="0" distB="0" distL="0" distR="0" wp14:anchorId="4B6CEE13" wp14:editId="65D3F984">
            <wp:extent cx="6264275" cy="3971925"/>
            <wp:effectExtent l="0" t="0" r="3175"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rotWithShape="1">
                    <a:blip r:embed="rId9" cstate="print">
                      <a:extLst>
                        <a:ext uri="{28A0092B-C50C-407E-A947-70E740481C1C}">
                          <a14:useLocalDpi xmlns:a14="http://schemas.microsoft.com/office/drawing/2010/main" val="0"/>
                        </a:ext>
                      </a:extLst>
                    </a:blip>
                    <a:srcRect b="15485"/>
                    <a:stretch/>
                  </pic:blipFill>
                  <pic:spPr bwMode="auto">
                    <a:xfrm>
                      <a:off x="0" y="0"/>
                      <a:ext cx="6264275" cy="3971925"/>
                    </a:xfrm>
                    <a:prstGeom prst="rect">
                      <a:avLst/>
                    </a:prstGeom>
                    <a:ln>
                      <a:noFill/>
                    </a:ln>
                    <a:extLst>
                      <a:ext uri="{53640926-AAD7-44D8-BBD7-CCE9431645EC}">
                        <a14:shadowObscured xmlns:a14="http://schemas.microsoft.com/office/drawing/2010/main"/>
                      </a:ext>
                    </a:extLst>
                  </pic:spPr>
                </pic:pic>
              </a:graphicData>
            </a:graphic>
          </wp:inline>
        </w:drawing>
      </w:r>
    </w:p>
    <w:p w14:paraId="35A05535" w14:textId="70BC03EE" w:rsidR="00E46CFA" w:rsidRPr="00D5506A" w:rsidRDefault="00E46CFA" w:rsidP="0037063E">
      <w:pPr>
        <w:pStyle w:val="Legenda"/>
        <w:spacing w:line="480" w:lineRule="auto"/>
        <w:rPr>
          <w:i w:val="0"/>
          <w:iCs w:val="0"/>
          <w:color w:val="auto"/>
          <w:sz w:val="24"/>
          <w:szCs w:val="24"/>
          <w:lang w:val="en-US"/>
        </w:rPr>
        <w:sectPr w:rsidR="00E46CFA" w:rsidRPr="00D5506A" w:rsidSect="002C4E81">
          <w:pgSz w:w="11906" w:h="16838"/>
          <w:pgMar w:top="907" w:right="680" w:bottom="907" w:left="1361" w:header="709" w:footer="709" w:gutter="0"/>
          <w:lnNumType w:countBy="1" w:restart="continuous"/>
          <w:cols w:space="708"/>
          <w:docGrid w:linePitch="360"/>
        </w:sectPr>
      </w:pPr>
      <w:r w:rsidRPr="00D5506A">
        <w:rPr>
          <w:b/>
          <w:bCs/>
          <w:i w:val="0"/>
          <w:iCs w:val="0"/>
          <w:color w:val="auto"/>
          <w:sz w:val="24"/>
          <w:szCs w:val="24"/>
          <w:lang w:val="en-US"/>
        </w:rPr>
        <w:t>Fig</w:t>
      </w:r>
      <w:r w:rsidR="00D40EB4" w:rsidRPr="00D5506A">
        <w:rPr>
          <w:b/>
          <w:bCs/>
          <w:i w:val="0"/>
          <w:iCs w:val="0"/>
          <w:color w:val="auto"/>
          <w:sz w:val="24"/>
          <w:szCs w:val="24"/>
          <w:lang w:val="en-US"/>
        </w:rPr>
        <w:t>.</w:t>
      </w:r>
      <w:r w:rsidRPr="00D5506A">
        <w:rPr>
          <w:b/>
          <w:bCs/>
          <w:i w:val="0"/>
          <w:iCs w:val="0"/>
          <w:color w:val="auto"/>
          <w:sz w:val="24"/>
          <w:szCs w:val="24"/>
          <w:lang w:val="en-US"/>
        </w:rPr>
        <w:t xml:space="preserve"> S</w:t>
      </w:r>
      <w:r w:rsidRPr="00D5506A">
        <w:rPr>
          <w:b/>
          <w:bCs/>
          <w:i w:val="0"/>
          <w:iCs w:val="0"/>
          <w:color w:val="auto"/>
          <w:sz w:val="24"/>
          <w:szCs w:val="24"/>
          <w:lang w:val="en-US"/>
        </w:rPr>
        <w:fldChar w:fldCharType="begin"/>
      </w:r>
      <w:r w:rsidRPr="00D5506A">
        <w:rPr>
          <w:b/>
          <w:bCs/>
          <w:i w:val="0"/>
          <w:iCs w:val="0"/>
          <w:color w:val="auto"/>
          <w:sz w:val="24"/>
          <w:szCs w:val="24"/>
          <w:lang w:val="en-US"/>
        </w:rPr>
        <w:instrText xml:space="preserve"> SEQ Figure \* ARABIC </w:instrText>
      </w:r>
      <w:r w:rsidRPr="00D5506A">
        <w:rPr>
          <w:b/>
          <w:bCs/>
          <w:i w:val="0"/>
          <w:iCs w:val="0"/>
          <w:color w:val="auto"/>
          <w:sz w:val="24"/>
          <w:szCs w:val="24"/>
          <w:lang w:val="en-US"/>
        </w:rPr>
        <w:fldChar w:fldCharType="separate"/>
      </w:r>
      <w:r w:rsidRPr="00D5506A">
        <w:rPr>
          <w:b/>
          <w:bCs/>
          <w:i w:val="0"/>
          <w:iCs w:val="0"/>
          <w:noProof/>
          <w:color w:val="auto"/>
          <w:sz w:val="24"/>
          <w:szCs w:val="24"/>
          <w:lang w:val="en-US"/>
        </w:rPr>
        <w:t>1</w:t>
      </w:r>
      <w:r w:rsidRPr="00D5506A">
        <w:rPr>
          <w:b/>
          <w:bCs/>
          <w:i w:val="0"/>
          <w:iCs w:val="0"/>
          <w:color w:val="auto"/>
          <w:sz w:val="24"/>
          <w:szCs w:val="24"/>
          <w:lang w:val="en-US"/>
        </w:rPr>
        <w:fldChar w:fldCharType="end"/>
      </w:r>
      <w:r w:rsidRPr="00D5506A">
        <w:rPr>
          <w:i w:val="0"/>
          <w:iCs w:val="0"/>
          <w:color w:val="auto"/>
          <w:sz w:val="24"/>
          <w:szCs w:val="24"/>
          <w:lang w:val="en-US"/>
        </w:rPr>
        <w:t xml:space="preserve"> </w:t>
      </w:r>
      <w:r w:rsidR="0037063E" w:rsidRPr="00D5506A">
        <w:rPr>
          <w:i w:val="0"/>
          <w:iCs w:val="0"/>
          <w:color w:val="auto"/>
          <w:sz w:val="24"/>
          <w:szCs w:val="24"/>
          <w:lang w:val="en-US"/>
        </w:rPr>
        <w:t xml:space="preserve"> Response surface plot for diameter ratio (</w:t>
      </w:r>
      <m:oMath>
        <m:r>
          <w:rPr>
            <w:rFonts w:ascii="Cambria Math" w:hAnsi="Cambria Math"/>
            <w:color w:val="auto"/>
            <w:sz w:val="24"/>
            <w:szCs w:val="24"/>
            <w:lang w:val="en-US"/>
          </w:rPr>
          <m:t>DR</m:t>
        </m:r>
      </m:oMath>
      <w:r w:rsidR="0037063E" w:rsidRPr="00D5506A">
        <w:rPr>
          <w:i w:val="0"/>
          <w:iCs w:val="0"/>
          <w:color w:val="auto"/>
          <w:sz w:val="24"/>
          <w:szCs w:val="24"/>
          <w:lang w:val="en-US"/>
        </w:rPr>
        <w:t>, cm/cm) as a function of pinto beans flour (</w:t>
      </w:r>
      <m:oMath>
        <m:r>
          <w:rPr>
            <w:rFonts w:ascii="Cambria Math" w:hAnsi="Cambria Math"/>
            <w:color w:val="auto"/>
            <w:sz w:val="24"/>
            <w:szCs w:val="24"/>
            <w:lang w:val="en-US"/>
          </w:rPr>
          <m:t>PBF</m:t>
        </m:r>
      </m:oMath>
      <w:r w:rsidR="0037063E" w:rsidRPr="00D5506A">
        <w:rPr>
          <w:i w:val="0"/>
          <w:iCs w:val="0"/>
          <w:color w:val="auto"/>
          <w:sz w:val="24"/>
          <w:szCs w:val="24"/>
          <w:lang w:val="en-US"/>
        </w:rPr>
        <w:t xml:space="preserve">) </w:t>
      </w:r>
      <w:r w:rsidR="00296F3B" w:rsidRPr="00D5506A">
        <w:rPr>
          <w:i w:val="0"/>
          <w:iCs w:val="0"/>
          <w:color w:val="auto"/>
          <w:sz w:val="24"/>
          <w:szCs w:val="24"/>
          <w:lang w:val="en-US"/>
        </w:rPr>
        <w:t>addition</w:t>
      </w:r>
      <w:r w:rsidR="0037063E" w:rsidRPr="00D5506A">
        <w:rPr>
          <w:i w:val="0"/>
          <w:iCs w:val="0"/>
          <w:color w:val="auto"/>
          <w:sz w:val="24"/>
          <w:szCs w:val="24"/>
          <w:lang w:val="en-US"/>
        </w:rPr>
        <w:t xml:space="preserve">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1</m:t>
            </m:r>
          </m:sub>
        </m:sSub>
      </m:oMath>
      <w:r w:rsidR="0037063E" w:rsidRPr="00D5506A">
        <w:rPr>
          <w:i w:val="0"/>
          <w:iCs w:val="0"/>
          <w:color w:val="auto"/>
          <w:sz w:val="24"/>
          <w:szCs w:val="24"/>
          <w:lang w:val="en-US"/>
        </w:rPr>
        <w:t>) and margarine content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2</m:t>
            </m:r>
          </m:sub>
        </m:sSub>
      </m:oMath>
      <w:r w:rsidR="0037063E" w:rsidRPr="00D5506A">
        <w:rPr>
          <w:i w:val="0"/>
          <w:iCs w:val="0"/>
          <w:color w:val="auto"/>
          <w:sz w:val="24"/>
          <w:szCs w:val="24"/>
          <w:lang w:val="en-US"/>
        </w:rPr>
        <w:t>).</w:t>
      </w:r>
    </w:p>
    <w:p w14:paraId="6F3D773C" w14:textId="5E07AA4B" w:rsidR="00E46CFA" w:rsidRPr="00D5506A" w:rsidRDefault="00296F3B" w:rsidP="00E46CFA">
      <w:pPr>
        <w:pStyle w:val="Legenda"/>
        <w:rPr>
          <w:color w:val="auto"/>
          <w:lang w:val="en-US"/>
        </w:rPr>
      </w:pPr>
      <w:r w:rsidRPr="00D5506A">
        <w:rPr>
          <w:noProof/>
          <w:color w:val="auto"/>
          <w:lang w:val="en-US"/>
        </w:rPr>
        <w:lastRenderedPageBreak/>
        <w:drawing>
          <wp:inline distT="0" distB="0" distL="0" distR="0" wp14:anchorId="671CEBE4" wp14:editId="00032414">
            <wp:extent cx="6264275" cy="3981450"/>
            <wp:effectExtent l="0" t="0" r="317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rotWithShape="1">
                    <a:blip r:embed="rId10" cstate="print">
                      <a:extLst>
                        <a:ext uri="{28A0092B-C50C-407E-A947-70E740481C1C}">
                          <a14:useLocalDpi xmlns:a14="http://schemas.microsoft.com/office/drawing/2010/main" val="0"/>
                        </a:ext>
                      </a:extLst>
                    </a:blip>
                    <a:srcRect b="15282"/>
                    <a:stretch/>
                  </pic:blipFill>
                  <pic:spPr bwMode="auto">
                    <a:xfrm>
                      <a:off x="0" y="0"/>
                      <a:ext cx="6264275" cy="3981450"/>
                    </a:xfrm>
                    <a:prstGeom prst="rect">
                      <a:avLst/>
                    </a:prstGeom>
                    <a:ln>
                      <a:noFill/>
                    </a:ln>
                    <a:extLst>
                      <a:ext uri="{53640926-AAD7-44D8-BBD7-CCE9431645EC}">
                        <a14:shadowObscured xmlns:a14="http://schemas.microsoft.com/office/drawing/2010/main"/>
                      </a:ext>
                    </a:extLst>
                  </pic:spPr>
                </pic:pic>
              </a:graphicData>
            </a:graphic>
          </wp:inline>
        </w:drawing>
      </w:r>
    </w:p>
    <w:p w14:paraId="15E19372" w14:textId="7EE8AD48" w:rsidR="00E46CFA" w:rsidRPr="00D5506A" w:rsidRDefault="00E46CFA" w:rsidP="0037063E">
      <w:pPr>
        <w:pStyle w:val="Legenda"/>
        <w:spacing w:line="480" w:lineRule="auto"/>
        <w:rPr>
          <w:i w:val="0"/>
          <w:iCs w:val="0"/>
          <w:color w:val="auto"/>
          <w:sz w:val="24"/>
          <w:szCs w:val="24"/>
          <w:lang w:val="en-US"/>
        </w:rPr>
        <w:sectPr w:rsidR="00E46CFA" w:rsidRPr="00D5506A" w:rsidSect="002C4E81">
          <w:pgSz w:w="11906" w:h="16838"/>
          <w:pgMar w:top="907" w:right="680" w:bottom="907" w:left="1361" w:header="709" w:footer="709" w:gutter="0"/>
          <w:lnNumType w:countBy="1" w:restart="continuous"/>
          <w:cols w:space="708"/>
          <w:docGrid w:linePitch="360"/>
        </w:sectPr>
      </w:pPr>
      <w:r w:rsidRPr="00D5506A">
        <w:rPr>
          <w:b/>
          <w:bCs/>
          <w:i w:val="0"/>
          <w:iCs w:val="0"/>
          <w:color w:val="auto"/>
          <w:sz w:val="24"/>
          <w:szCs w:val="24"/>
          <w:lang w:val="en-US"/>
        </w:rPr>
        <w:t>Fig</w:t>
      </w:r>
      <w:r w:rsidR="00D40EB4" w:rsidRPr="00D5506A">
        <w:rPr>
          <w:b/>
          <w:bCs/>
          <w:i w:val="0"/>
          <w:iCs w:val="0"/>
          <w:color w:val="auto"/>
          <w:sz w:val="24"/>
          <w:szCs w:val="24"/>
          <w:lang w:val="en-US"/>
        </w:rPr>
        <w:t>.</w:t>
      </w:r>
      <w:r w:rsidRPr="00D5506A">
        <w:rPr>
          <w:b/>
          <w:bCs/>
          <w:i w:val="0"/>
          <w:iCs w:val="0"/>
          <w:color w:val="auto"/>
          <w:sz w:val="24"/>
          <w:szCs w:val="24"/>
          <w:lang w:val="en-US"/>
        </w:rPr>
        <w:t xml:space="preserve"> S</w:t>
      </w:r>
      <w:r w:rsidRPr="00D5506A">
        <w:rPr>
          <w:b/>
          <w:bCs/>
          <w:i w:val="0"/>
          <w:iCs w:val="0"/>
          <w:color w:val="auto"/>
          <w:sz w:val="24"/>
          <w:szCs w:val="24"/>
          <w:lang w:val="en-US"/>
        </w:rPr>
        <w:fldChar w:fldCharType="begin"/>
      </w:r>
      <w:r w:rsidRPr="00D5506A">
        <w:rPr>
          <w:b/>
          <w:bCs/>
          <w:i w:val="0"/>
          <w:iCs w:val="0"/>
          <w:color w:val="auto"/>
          <w:sz w:val="24"/>
          <w:szCs w:val="24"/>
          <w:lang w:val="en-US"/>
        </w:rPr>
        <w:instrText xml:space="preserve"> SEQ Figure \* ARABIC </w:instrText>
      </w:r>
      <w:r w:rsidRPr="00D5506A">
        <w:rPr>
          <w:b/>
          <w:bCs/>
          <w:i w:val="0"/>
          <w:iCs w:val="0"/>
          <w:color w:val="auto"/>
          <w:sz w:val="24"/>
          <w:szCs w:val="24"/>
          <w:lang w:val="en-US"/>
        </w:rPr>
        <w:fldChar w:fldCharType="separate"/>
      </w:r>
      <w:r w:rsidRPr="00D5506A">
        <w:rPr>
          <w:b/>
          <w:bCs/>
          <w:i w:val="0"/>
          <w:iCs w:val="0"/>
          <w:noProof/>
          <w:color w:val="auto"/>
          <w:sz w:val="24"/>
          <w:szCs w:val="24"/>
          <w:lang w:val="en-US"/>
        </w:rPr>
        <w:t>2</w:t>
      </w:r>
      <w:r w:rsidRPr="00D5506A">
        <w:rPr>
          <w:b/>
          <w:bCs/>
          <w:i w:val="0"/>
          <w:iCs w:val="0"/>
          <w:color w:val="auto"/>
          <w:sz w:val="24"/>
          <w:szCs w:val="24"/>
          <w:lang w:val="en-US"/>
        </w:rPr>
        <w:fldChar w:fldCharType="end"/>
      </w:r>
      <w:r w:rsidRPr="00D5506A">
        <w:rPr>
          <w:i w:val="0"/>
          <w:iCs w:val="0"/>
          <w:color w:val="auto"/>
          <w:sz w:val="24"/>
          <w:szCs w:val="24"/>
          <w:lang w:val="en-US"/>
        </w:rPr>
        <w:t xml:space="preserve"> </w:t>
      </w:r>
      <w:r w:rsidR="0037063E" w:rsidRPr="00D5506A">
        <w:rPr>
          <w:i w:val="0"/>
          <w:iCs w:val="0"/>
          <w:color w:val="auto"/>
          <w:sz w:val="24"/>
          <w:szCs w:val="24"/>
          <w:lang w:val="en-US"/>
        </w:rPr>
        <w:t xml:space="preserve"> Response surface plot for specific volume (</w:t>
      </w:r>
      <m:oMath>
        <m:r>
          <w:rPr>
            <w:rFonts w:ascii="Cambria Math" w:hAnsi="Cambria Math"/>
            <w:color w:val="auto"/>
            <w:sz w:val="24"/>
            <w:szCs w:val="24"/>
            <w:lang w:val="en-US"/>
          </w:rPr>
          <m:t>SV</m:t>
        </m:r>
      </m:oMath>
      <w:r w:rsidR="0037063E" w:rsidRPr="00D5506A">
        <w:rPr>
          <w:i w:val="0"/>
          <w:iCs w:val="0"/>
          <w:color w:val="auto"/>
          <w:sz w:val="24"/>
          <w:szCs w:val="24"/>
          <w:lang w:val="en-US"/>
        </w:rPr>
        <w:t>, mL/g) as a function of pinto beans flour (</w:t>
      </w:r>
      <m:oMath>
        <m:r>
          <w:rPr>
            <w:rFonts w:ascii="Cambria Math" w:hAnsi="Cambria Math"/>
            <w:color w:val="auto"/>
            <w:sz w:val="24"/>
            <w:szCs w:val="24"/>
            <w:lang w:val="en-US"/>
          </w:rPr>
          <m:t>PBF</m:t>
        </m:r>
      </m:oMath>
      <w:r w:rsidR="0037063E" w:rsidRPr="00D5506A">
        <w:rPr>
          <w:i w:val="0"/>
          <w:iCs w:val="0"/>
          <w:color w:val="auto"/>
          <w:sz w:val="24"/>
          <w:szCs w:val="24"/>
          <w:lang w:val="en-US"/>
        </w:rPr>
        <w:t xml:space="preserve">) </w:t>
      </w:r>
      <w:r w:rsidR="00296F3B" w:rsidRPr="00D5506A">
        <w:rPr>
          <w:i w:val="0"/>
          <w:iCs w:val="0"/>
          <w:color w:val="auto"/>
          <w:sz w:val="24"/>
          <w:szCs w:val="24"/>
          <w:lang w:val="en-US"/>
        </w:rPr>
        <w:t>addit</w:t>
      </w:r>
      <w:r w:rsidR="0037063E" w:rsidRPr="00D5506A">
        <w:rPr>
          <w:i w:val="0"/>
          <w:iCs w:val="0"/>
          <w:color w:val="auto"/>
          <w:sz w:val="24"/>
          <w:szCs w:val="24"/>
          <w:lang w:val="en-US"/>
        </w:rPr>
        <w:t>ion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1</m:t>
            </m:r>
          </m:sub>
        </m:sSub>
      </m:oMath>
      <w:r w:rsidR="0037063E" w:rsidRPr="00D5506A">
        <w:rPr>
          <w:i w:val="0"/>
          <w:iCs w:val="0"/>
          <w:color w:val="auto"/>
          <w:sz w:val="24"/>
          <w:szCs w:val="24"/>
          <w:lang w:val="en-US"/>
        </w:rPr>
        <w:t>) and margarine content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2</m:t>
            </m:r>
          </m:sub>
        </m:sSub>
      </m:oMath>
      <w:r w:rsidR="0037063E" w:rsidRPr="00D5506A">
        <w:rPr>
          <w:i w:val="0"/>
          <w:iCs w:val="0"/>
          <w:color w:val="auto"/>
          <w:sz w:val="24"/>
          <w:szCs w:val="24"/>
          <w:lang w:val="en-US"/>
        </w:rPr>
        <w:t>).</w:t>
      </w:r>
    </w:p>
    <w:p w14:paraId="3F87D7D7" w14:textId="386627BC" w:rsidR="00E46CFA" w:rsidRPr="00D5506A" w:rsidRDefault="006555F8" w:rsidP="00E46CFA">
      <w:pPr>
        <w:spacing w:line="480" w:lineRule="auto"/>
        <w:rPr>
          <w:lang w:val="en-US"/>
        </w:rPr>
      </w:pPr>
      <w:r w:rsidRPr="00D5506A">
        <w:rPr>
          <w:noProof/>
          <w:lang w:val="en-US"/>
        </w:rPr>
        <w:lastRenderedPageBreak/>
        <w:drawing>
          <wp:inline distT="0" distB="0" distL="0" distR="0" wp14:anchorId="420F1C62" wp14:editId="23FAB628">
            <wp:extent cx="6264275" cy="3981450"/>
            <wp:effectExtent l="0" t="0" r="3175"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pic:nvPicPr>
                  <pic:blipFill rotWithShape="1">
                    <a:blip r:embed="rId11" cstate="print">
                      <a:extLst>
                        <a:ext uri="{28A0092B-C50C-407E-A947-70E740481C1C}">
                          <a14:useLocalDpi xmlns:a14="http://schemas.microsoft.com/office/drawing/2010/main" val="0"/>
                        </a:ext>
                      </a:extLst>
                    </a:blip>
                    <a:srcRect b="15282"/>
                    <a:stretch/>
                  </pic:blipFill>
                  <pic:spPr bwMode="auto">
                    <a:xfrm>
                      <a:off x="0" y="0"/>
                      <a:ext cx="6264275" cy="3981450"/>
                    </a:xfrm>
                    <a:prstGeom prst="rect">
                      <a:avLst/>
                    </a:prstGeom>
                    <a:ln>
                      <a:noFill/>
                    </a:ln>
                    <a:extLst>
                      <a:ext uri="{53640926-AAD7-44D8-BBD7-CCE9431645EC}">
                        <a14:shadowObscured xmlns:a14="http://schemas.microsoft.com/office/drawing/2010/main"/>
                      </a:ext>
                    </a:extLst>
                  </pic:spPr>
                </pic:pic>
              </a:graphicData>
            </a:graphic>
          </wp:inline>
        </w:drawing>
      </w:r>
    </w:p>
    <w:p w14:paraId="4E1BC3F6" w14:textId="3B7F63D3" w:rsidR="00E46CFA" w:rsidRPr="00D5506A" w:rsidRDefault="00E46CFA" w:rsidP="00F65023">
      <w:pPr>
        <w:pStyle w:val="Legenda"/>
        <w:spacing w:line="480" w:lineRule="auto"/>
        <w:rPr>
          <w:i w:val="0"/>
          <w:iCs w:val="0"/>
          <w:lang w:val="en-US"/>
        </w:rPr>
      </w:pPr>
      <w:r w:rsidRPr="00D5506A">
        <w:rPr>
          <w:b/>
          <w:bCs/>
          <w:i w:val="0"/>
          <w:iCs w:val="0"/>
          <w:color w:val="auto"/>
          <w:sz w:val="24"/>
          <w:szCs w:val="24"/>
          <w:lang w:val="en-US"/>
        </w:rPr>
        <w:t>Fig</w:t>
      </w:r>
      <w:r w:rsidR="00D40EB4" w:rsidRPr="00D5506A">
        <w:rPr>
          <w:b/>
          <w:bCs/>
          <w:i w:val="0"/>
          <w:iCs w:val="0"/>
          <w:color w:val="auto"/>
          <w:sz w:val="24"/>
          <w:szCs w:val="24"/>
          <w:lang w:val="en-US"/>
        </w:rPr>
        <w:t>.</w:t>
      </w:r>
      <w:r w:rsidRPr="00D5506A">
        <w:rPr>
          <w:b/>
          <w:bCs/>
          <w:i w:val="0"/>
          <w:iCs w:val="0"/>
          <w:color w:val="auto"/>
          <w:sz w:val="24"/>
          <w:szCs w:val="24"/>
          <w:lang w:val="en-US"/>
        </w:rPr>
        <w:t xml:space="preserve"> S</w:t>
      </w:r>
      <w:r w:rsidRPr="00D5506A">
        <w:rPr>
          <w:b/>
          <w:bCs/>
          <w:i w:val="0"/>
          <w:iCs w:val="0"/>
          <w:color w:val="auto"/>
          <w:sz w:val="24"/>
          <w:szCs w:val="24"/>
          <w:lang w:val="en-US"/>
        </w:rPr>
        <w:fldChar w:fldCharType="begin"/>
      </w:r>
      <w:r w:rsidRPr="00D5506A">
        <w:rPr>
          <w:b/>
          <w:bCs/>
          <w:i w:val="0"/>
          <w:iCs w:val="0"/>
          <w:color w:val="auto"/>
          <w:sz w:val="24"/>
          <w:szCs w:val="24"/>
          <w:lang w:val="en-US"/>
        </w:rPr>
        <w:instrText xml:space="preserve"> SEQ Figure \* ARABIC </w:instrText>
      </w:r>
      <w:r w:rsidRPr="00D5506A">
        <w:rPr>
          <w:b/>
          <w:bCs/>
          <w:i w:val="0"/>
          <w:iCs w:val="0"/>
          <w:color w:val="auto"/>
          <w:sz w:val="24"/>
          <w:szCs w:val="24"/>
          <w:lang w:val="en-US"/>
        </w:rPr>
        <w:fldChar w:fldCharType="separate"/>
      </w:r>
      <w:r w:rsidRPr="00D5506A">
        <w:rPr>
          <w:b/>
          <w:bCs/>
          <w:i w:val="0"/>
          <w:iCs w:val="0"/>
          <w:noProof/>
          <w:color w:val="auto"/>
          <w:sz w:val="24"/>
          <w:szCs w:val="24"/>
          <w:lang w:val="en-US"/>
        </w:rPr>
        <w:t>3</w:t>
      </w:r>
      <w:r w:rsidRPr="00D5506A">
        <w:rPr>
          <w:b/>
          <w:bCs/>
          <w:i w:val="0"/>
          <w:iCs w:val="0"/>
          <w:color w:val="auto"/>
          <w:sz w:val="24"/>
          <w:szCs w:val="24"/>
          <w:lang w:val="en-US"/>
        </w:rPr>
        <w:fldChar w:fldCharType="end"/>
      </w:r>
      <w:r w:rsidRPr="00D5506A">
        <w:rPr>
          <w:i w:val="0"/>
          <w:iCs w:val="0"/>
          <w:color w:val="auto"/>
          <w:sz w:val="24"/>
          <w:szCs w:val="24"/>
          <w:lang w:val="en-US"/>
        </w:rPr>
        <w:t xml:space="preserve"> </w:t>
      </w:r>
      <w:r w:rsidR="0037063E" w:rsidRPr="00D5506A">
        <w:rPr>
          <w:i w:val="0"/>
          <w:iCs w:val="0"/>
          <w:color w:val="auto"/>
          <w:sz w:val="24"/>
          <w:szCs w:val="24"/>
          <w:lang w:val="en-US"/>
        </w:rPr>
        <w:t>Response surface plot for hardness (</w:t>
      </w:r>
      <m:oMath>
        <m:r>
          <w:rPr>
            <w:rFonts w:ascii="Cambria Math" w:hAnsi="Cambria Math"/>
            <w:color w:val="auto"/>
            <w:sz w:val="24"/>
            <w:szCs w:val="24"/>
            <w:lang w:val="en-US"/>
          </w:rPr>
          <m:t>H</m:t>
        </m:r>
      </m:oMath>
      <w:r w:rsidR="0037063E" w:rsidRPr="00D5506A">
        <w:rPr>
          <w:i w:val="0"/>
          <w:iCs w:val="0"/>
          <w:color w:val="auto"/>
          <w:sz w:val="24"/>
          <w:szCs w:val="24"/>
          <w:lang w:val="en-US"/>
        </w:rPr>
        <w:t>, N) as a function of pinto beans flour (</w:t>
      </w:r>
      <m:oMath>
        <m:r>
          <w:rPr>
            <w:rFonts w:ascii="Cambria Math" w:hAnsi="Cambria Math"/>
            <w:color w:val="auto"/>
            <w:sz w:val="24"/>
            <w:szCs w:val="24"/>
            <w:lang w:val="en-US"/>
          </w:rPr>
          <m:t>PBF</m:t>
        </m:r>
      </m:oMath>
      <w:r w:rsidR="0037063E" w:rsidRPr="00D5506A">
        <w:rPr>
          <w:i w:val="0"/>
          <w:iCs w:val="0"/>
          <w:color w:val="auto"/>
          <w:sz w:val="24"/>
          <w:szCs w:val="24"/>
          <w:lang w:val="en-US"/>
        </w:rPr>
        <w:t xml:space="preserve">) </w:t>
      </w:r>
      <w:r w:rsidR="00296F3B" w:rsidRPr="00D5506A">
        <w:rPr>
          <w:i w:val="0"/>
          <w:iCs w:val="0"/>
          <w:color w:val="auto"/>
          <w:sz w:val="24"/>
          <w:szCs w:val="24"/>
          <w:lang w:val="en-US"/>
        </w:rPr>
        <w:t>addi</w:t>
      </w:r>
      <w:r w:rsidR="0037063E" w:rsidRPr="00D5506A">
        <w:rPr>
          <w:i w:val="0"/>
          <w:iCs w:val="0"/>
          <w:color w:val="auto"/>
          <w:sz w:val="24"/>
          <w:szCs w:val="24"/>
          <w:lang w:val="en-US"/>
        </w:rPr>
        <w:t>tion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1</m:t>
            </m:r>
          </m:sub>
        </m:sSub>
      </m:oMath>
      <w:r w:rsidR="0037063E" w:rsidRPr="00D5506A">
        <w:rPr>
          <w:i w:val="0"/>
          <w:iCs w:val="0"/>
          <w:color w:val="auto"/>
          <w:sz w:val="24"/>
          <w:szCs w:val="24"/>
          <w:lang w:val="en-US"/>
        </w:rPr>
        <w:t>) and margarine content (</w:t>
      </w:r>
      <m:oMath>
        <m:sSub>
          <m:sSubPr>
            <m:ctrlPr>
              <w:rPr>
                <w:rFonts w:ascii="Cambria Math" w:hAnsi="Cambria Math"/>
                <w:i w:val="0"/>
                <w:color w:val="auto"/>
                <w:sz w:val="24"/>
                <w:szCs w:val="24"/>
                <w:lang w:val="en-US"/>
              </w:rPr>
            </m:ctrlPr>
          </m:sSubPr>
          <m:e>
            <m:r>
              <w:rPr>
                <w:rFonts w:ascii="Cambria Math" w:hAnsi="Cambria Math"/>
                <w:color w:val="auto"/>
                <w:sz w:val="24"/>
                <w:szCs w:val="24"/>
                <w:lang w:val="en-US"/>
              </w:rPr>
              <m:t>X</m:t>
            </m:r>
          </m:e>
          <m:sub>
            <m:r>
              <w:rPr>
                <w:rFonts w:ascii="Cambria Math" w:hAnsi="Cambria Math"/>
                <w:color w:val="auto"/>
                <w:sz w:val="24"/>
                <w:szCs w:val="24"/>
                <w:lang w:val="en-US"/>
              </w:rPr>
              <m:t>2</m:t>
            </m:r>
          </m:sub>
        </m:sSub>
      </m:oMath>
      <w:r w:rsidR="0037063E" w:rsidRPr="00D5506A">
        <w:rPr>
          <w:i w:val="0"/>
          <w:iCs w:val="0"/>
          <w:color w:val="auto"/>
          <w:sz w:val="24"/>
          <w:szCs w:val="24"/>
          <w:lang w:val="en-US"/>
        </w:rPr>
        <w:t>).</w:t>
      </w:r>
    </w:p>
    <w:sectPr w:rsidR="00E46CFA" w:rsidRPr="00D5506A" w:rsidSect="0096264D">
      <w:pgSz w:w="11906" w:h="16838"/>
      <w:pgMar w:top="907" w:right="680" w:bottom="907" w:left="1361" w:header="720" w:footer="283"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9EEE1" w14:textId="77777777" w:rsidR="00B82674" w:rsidRDefault="00B82674" w:rsidP="00990E4F">
      <w:r>
        <w:separator/>
      </w:r>
    </w:p>
  </w:endnote>
  <w:endnote w:type="continuationSeparator" w:id="0">
    <w:p w14:paraId="1F7BFC79" w14:textId="77777777" w:rsidR="00B82674" w:rsidRDefault="00B82674" w:rsidP="00990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1682"/>
      <w:docPartObj>
        <w:docPartGallery w:val="Page Numbers (Bottom of Page)"/>
        <w:docPartUnique/>
      </w:docPartObj>
    </w:sdtPr>
    <w:sdtEndPr/>
    <w:sdtContent>
      <w:p w14:paraId="6BBD9FBC" w14:textId="77777777" w:rsidR="002C4E81" w:rsidRDefault="002C4E81">
        <w:pPr>
          <w:pStyle w:val="Rodap"/>
          <w:jc w:val="right"/>
        </w:pPr>
        <w:r>
          <w:fldChar w:fldCharType="begin"/>
        </w:r>
        <w:r>
          <w:instrText>PAGE   \* MERGEFORMAT</w:instrText>
        </w:r>
        <w:r>
          <w:fldChar w:fldCharType="separate"/>
        </w:r>
        <w:r w:rsidR="009E0B63">
          <w:rPr>
            <w:noProof/>
          </w:rPr>
          <w:t>1</w:t>
        </w:r>
        <w:r>
          <w:fldChar w:fldCharType="end"/>
        </w:r>
      </w:p>
    </w:sdtContent>
  </w:sdt>
  <w:p w14:paraId="64A5DF17" w14:textId="77777777" w:rsidR="002C4E81" w:rsidRDefault="002C4E81" w:rsidP="005974E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5369000"/>
      <w:docPartObj>
        <w:docPartGallery w:val="Page Numbers (Bottom of Page)"/>
        <w:docPartUnique/>
      </w:docPartObj>
    </w:sdtPr>
    <w:sdtEndPr/>
    <w:sdtContent>
      <w:p w14:paraId="095D54E6" w14:textId="67D80358" w:rsidR="0096264D" w:rsidRDefault="0096264D">
        <w:pPr>
          <w:pStyle w:val="Rodap"/>
          <w:jc w:val="right"/>
        </w:pPr>
        <w:r>
          <w:fldChar w:fldCharType="begin"/>
        </w:r>
        <w:r>
          <w:instrText>PAGE   \* MERGEFORMAT</w:instrText>
        </w:r>
        <w:r>
          <w:fldChar w:fldCharType="separate"/>
        </w:r>
        <w:r w:rsidR="009E0B63">
          <w:rPr>
            <w:noProof/>
          </w:rPr>
          <w:t>2</w:t>
        </w:r>
        <w:r>
          <w:fldChar w:fldCharType="end"/>
        </w:r>
      </w:p>
    </w:sdtContent>
  </w:sdt>
  <w:p w14:paraId="04D2DB33" w14:textId="77777777" w:rsidR="00990E4F" w:rsidRDefault="00990E4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01B1B" w14:textId="77777777" w:rsidR="00B82674" w:rsidRDefault="00B82674" w:rsidP="00990E4F">
      <w:r>
        <w:separator/>
      </w:r>
    </w:p>
  </w:footnote>
  <w:footnote w:type="continuationSeparator" w:id="0">
    <w:p w14:paraId="6EC1057A" w14:textId="77777777" w:rsidR="00B82674" w:rsidRDefault="00B82674" w:rsidP="00990E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6385"/>
  </w:hdrShapeDefaults>
  <w:footnotePr>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Q0NbYwMjE3Mjc1NDBV0lEKTi0uzszPAykwNKwFALarbpgtAAAA"/>
  </w:docVars>
  <w:rsids>
    <w:rsidRoot w:val="003C185C"/>
    <w:rsid w:val="00006AFD"/>
    <w:rsid w:val="00027EE7"/>
    <w:rsid w:val="000F40B4"/>
    <w:rsid w:val="000F770E"/>
    <w:rsid w:val="00123D77"/>
    <w:rsid w:val="00147A0B"/>
    <w:rsid w:val="00150B87"/>
    <w:rsid w:val="00174372"/>
    <w:rsid w:val="001A7EDD"/>
    <w:rsid w:val="001C4A94"/>
    <w:rsid w:val="001F6295"/>
    <w:rsid w:val="00214A4C"/>
    <w:rsid w:val="00230152"/>
    <w:rsid w:val="0025110E"/>
    <w:rsid w:val="00256AD8"/>
    <w:rsid w:val="0027313A"/>
    <w:rsid w:val="00291C9C"/>
    <w:rsid w:val="00296F3B"/>
    <w:rsid w:val="002C4E81"/>
    <w:rsid w:val="002F1E09"/>
    <w:rsid w:val="00321890"/>
    <w:rsid w:val="003303A4"/>
    <w:rsid w:val="00355E72"/>
    <w:rsid w:val="0037063E"/>
    <w:rsid w:val="003943B4"/>
    <w:rsid w:val="003C185C"/>
    <w:rsid w:val="0045091B"/>
    <w:rsid w:val="00466447"/>
    <w:rsid w:val="0048046A"/>
    <w:rsid w:val="004C0B91"/>
    <w:rsid w:val="004C31F1"/>
    <w:rsid w:val="004D6267"/>
    <w:rsid w:val="005017EB"/>
    <w:rsid w:val="0051332C"/>
    <w:rsid w:val="005148B8"/>
    <w:rsid w:val="0053248A"/>
    <w:rsid w:val="00581A50"/>
    <w:rsid w:val="005852D4"/>
    <w:rsid w:val="005A7702"/>
    <w:rsid w:val="005C16B0"/>
    <w:rsid w:val="005D00D8"/>
    <w:rsid w:val="005D295B"/>
    <w:rsid w:val="005F3BE9"/>
    <w:rsid w:val="00633F1C"/>
    <w:rsid w:val="006555F8"/>
    <w:rsid w:val="00666F1E"/>
    <w:rsid w:val="00681CCE"/>
    <w:rsid w:val="00691676"/>
    <w:rsid w:val="00693273"/>
    <w:rsid w:val="00694051"/>
    <w:rsid w:val="0069662F"/>
    <w:rsid w:val="006B72FB"/>
    <w:rsid w:val="006D4A37"/>
    <w:rsid w:val="006E3910"/>
    <w:rsid w:val="006F3EC7"/>
    <w:rsid w:val="0073450B"/>
    <w:rsid w:val="00744788"/>
    <w:rsid w:val="00762B02"/>
    <w:rsid w:val="007C2B07"/>
    <w:rsid w:val="007C7CA9"/>
    <w:rsid w:val="008A55EC"/>
    <w:rsid w:val="008E18C0"/>
    <w:rsid w:val="008E79FC"/>
    <w:rsid w:val="00917B88"/>
    <w:rsid w:val="0096264D"/>
    <w:rsid w:val="009628CE"/>
    <w:rsid w:val="00990E4F"/>
    <w:rsid w:val="009C273A"/>
    <w:rsid w:val="009E0939"/>
    <w:rsid w:val="009E0B63"/>
    <w:rsid w:val="009E6352"/>
    <w:rsid w:val="00A00F56"/>
    <w:rsid w:val="00A24BBF"/>
    <w:rsid w:val="00A76F50"/>
    <w:rsid w:val="00A82D00"/>
    <w:rsid w:val="00AA5E83"/>
    <w:rsid w:val="00AB296C"/>
    <w:rsid w:val="00AC5750"/>
    <w:rsid w:val="00AE6CE5"/>
    <w:rsid w:val="00AF5F43"/>
    <w:rsid w:val="00B0394D"/>
    <w:rsid w:val="00B13443"/>
    <w:rsid w:val="00B82674"/>
    <w:rsid w:val="00B9293D"/>
    <w:rsid w:val="00BB2006"/>
    <w:rsid w:val="00BE3D11"/>
    <w:rsid w:val="00BF77F4"/>
    <w:rsid w:val="00C125FD"/>
    <w:rsid w:val="00C16890"/>
    <w:rsid w:val="00C20F53"/>
    <w:rsid w:val="00C54EA3"/>
    <w:rsid w:val="00C803A7"/>
    <w:rsid w:val="00C8532F"/>
    <w:rsid w:val="00C87963"/>
    <w:rsid w:val="00CA3643"/>
    <w:rsid w:val="00CB3805"/>
    <w:rsid w:val="00CC2F24"/>
    <w:rsid w:val="00D02A3D"/>
    <w:rsid w:val="00D40EB4"/>
    <w:rsid w:val="00D5506A"/>
    <w:rsid w:val="00D61FDE"/>
    <w:rsid w:val="00DD544E"/>
    <w:rsid w:val="00E21A02"/>
    <w:rsid w:val="00E46CFA"/>
    <w:rsid w:val="00E47798"/>
    <w:rsid w:val="00E77AB5"/>
    <w:rsid w:val="00E84E15"/>
    <w:rsid w:val="00EB5591"/>
    <w:rsid w:val="00ED4C71"/>
    <w:rsid w:val="00F56D35"/>
    <w:rsid w:val="00F57949"/>
    <w:rsid w:val="00F65023"/>
    <w:rsid w:val="00F83718"/>
    <w:rsid w:val="00FB4CD9"/>
    <w:rsid w:val="00FB5AC2"/>
    <w:rsid w:val="00FF4EF5"/>
    <w:rsid w:val="00FF5E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24692E7E"/>
  <w14:defaultImageDpi w14:val="32767"/>
  <w15:chartTrackingRefBased/>
  <w15:docId w15:val="{53BFF87C-0574-424F-BA62-A0CECDE06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85C"/>
    <w:pPr>
      <w:spacing w:after="0" w:line="240" w:lineRule="auto"/>
    </w:pPr>
    <w:rPr>
      <w:rFonts w:ascii="Times New Roman" w:hAnsi="Times New Roman" w:cs="Times New Roman"/>
      <w:sz w:val="24"/>
      <w:szCs w:val="24"/>
    </w:rPr>
  </w:style>
  <w:style w:type="paragraph" w:styleId="Ttulo1">
    <w:name w:val="heading 1"/>
    <w:basedOn w:val="Normal"/>
    <w:next w:val="Normal"/>
    <w:link w:val="Ttulo1Char"/>
    <w:uiPriority w:val="9"/>
    <w:qFormat/>
    <w:rsid w:val="000F40B4"/>
    <w:pPr>
      <w:jc w:val="center"/>
      <w:outlineLvl w:val="0"/>
    </w:pPr>
    <w:rPr>
      <w:b/>
      <w:bCs/>
      <w:lang w:val="es-PE"/>
    </w:rPr>
  </w:style>
  <w:style w:type="paragraph" w:styleId="Ttulo2">
    <w:name w:val="heading 2"/>
    <w:basedOn w:val="Ttulo1"/>
    <w:next w:val="Normal"/>
    <w:link w:val="Ttulo2Char"/>
    <w:uiPriority w:val="9"/>
    <w:unhideWhenUsed/>
    <w:qFormat/>
    <w:rsid w:val="00691676"/>
    <w:pPr>
      <w:spacing w:line="480" w:lineRule="auto"/>
      <w:jc w:val="left"/>
      <w:outlineLvl w:val="1"/>
    </w:pPr>
  </w:style>
  <w:style w:type="paragraph" w:styleId="Ttulo3">
    <w:name w:val="heading 3"/>
    <w:basedOn w:val="Normal"/>
    <w:next w:val="Normal"/>
    <w:link w:val="Ttulo3Char"/>
    <w:uiPriority w:val="9"/>
    <w:unhideWhenUsed/>
    <w:qFormat/>
    <w:rsid w:val="0027313A"/>
    <w:pPr>
      <w:spacing w:line="480" w:lineRule="auto"/>
      <w:outlineLvl w:val="2"/>
    </w:pPr>
    <w:rPr>
      <w:i/>
      <w:iCs/>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C1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1C4A94"/>
    <w:rPr>
      <w:color w:val="808080"/>
    </w:rPr>
  </w:style>
  <w:style w:type="paragraph" w:styleId="Legenda">
    <w:name w:val="caption"/>
    <w:basedOn w:val="Normal"/>
    <w:next w:val="Normal"/>
    <w:uiPriority w:val="35"/>
    <w:unhideWhenUsed/>
    <w:qFormat/>
    <w:rsid w:val="009628CE"/>
    <w:pPr>
      <w:spacing w:after="200"/>
    </w:pPr>
    <w:rPr>
      <w:i/>
      <w:iCs/>
      <w:color w:val="44546A" w:themeColor="text2"/>
      <w:sz w:val="18"/>
      <w:szCs w:val="18"/>
    </w:rPr>
  </w:style>
  <w:style w:type="paragraph" w:styleId="Cabealho">
    <w:name w:val="header"/>
    <w:basedOn w:val="Normal"/>
    <w:link w:val="CabealhoChar"/>
    <w:uiPriority w:val="99"/>
    <w:unhideWhenUsed/>
    <w:rsid w:val="00990E4F"/>
    <w:pPr>
      <w:tabs>
        <w:tab w:val="center" w:pos="4252"/>
        <w:tab w:val="right" w:pos="8504"/>
      </w:tabs>
    </w:pPr>
  </w:style>
  <w:style w:type="character" w:customStyle="1" w:styleId="CabealhoChar">
    <w:name w:val="Cabeçalho Char"/>
    <w:basedOn w:val="Fontepargpadro"/>
    <w:link w:val="Cabealho"/>
    <w:uiPriority w:val="99"/>
    <w:rsid w:val="00990E4F"/>
    <w:rPr>
      <w:rFonts w:ascii="Times New Roman" w:hAnsi="Times New Roman" w:cs="Times New Roman"/>
      <w:sz w:val="24"/>
      <w:szCs w:val="24"/>
    </w:rPr>
  </w:style>
  <w:style w:type="paragraph" w:styleId="Rodap">
    <w:name w:val="footer"/>
    <w:basedOn w:val="Normal"/>
    <w:link w:val="RodapChar"/>
    <w:uiPriority w:val="99"/>
    <w:unhideWhenUsed/>
    <w:rsid w:val="00990E4F"/>
    <w:pPr>
      <w:tabs>
        <w:tab w:val="center" w:pos="4252"/>
        <w:tab w:val="right" w:pos="8504"/>
      </w:tabs>
    </w:pPr>
  </w:style>
  <w:style w:type="character" w:customStyle="1" w:styleId="RodapChar">
    <w:name w:val="Rodapé Char"/>
    <w:basedOn w:val="Fontepargpadro"/>
    <w:link w:val="Rodap"/>
    <w:uiPriority w:val="99"/>
    <w:rsid w:val="00990E4F"/>
    <w:rPr>
      <w:rFonts w:ascii="Times New Roman" w:hAnsi="Times New Roman" w:cs="Times New Roman"/>
      <w:sz w:val="24"/>
      <w:szCs w:val="24"/>
    </w:rPr>
  </w:style>
  <w:style w:type="character" w:styleId="Nmerodelinha">
    <w:name w:val="line number"/>
    <w:basedOn w:val="Fontepargpadro"/>
    <w:uiPriority w:val="99"/>
    <w:semiHidden/>
    <w:unhideWhenUsed/>
    <w:rsid w:val="00990E4F"/>
  </w:style>
  <w:style w:type="character" w:customStyle="1" w:styleId="Ttulo1Char">
    <w:name w:val="Título 1 Char"/>
    <w:basedOn w:val="Fontepargpadro"/>
    <w:link w:val="Ttulo1"/>
    <w:uiPriority w:val="9"/>
    <w:rsid w:val="000F40B4"/>
    <w:rPr>
      <w:rFonts w:ascii="Times New Roman" w:hAnsi="Times New Roman" w:cs="Times New Roman"/>
      <w:b/>
      <w:bCs/>
      <w:sz w:val="24"/>
      <w:szCs w:val="24"/>
      <w:lang w:val="es-PE"/>
    </w:rPr>
  </w:style>
  <w:style w:type="character" w:styleId="Hyperlink">
    <w:name w:val="Hyperlink"/>
    <w:basedOn w:val="Fontepargpadro"/>
    <w:uiPriority w:val="99"/>
    <w:unhideWhenUsed/>
    <w:rsid w:val="000F40B4"/>
    <w:rPr>
      <w:color w:val="0563C1" w:themeColor="hyperlink"/>
      <w:u w:val="single"/>
    </w:rPr>
  </w:style>
  <w:style w:type="character" w:customStyle="1" w:styleId="MenoPendente1">
    <w:name w:val="Menção Pendente1"/>
    <w:basedOn w:val="Fontepargpadro"/>
    <w:uiPriority w:val="99"/>
    <w:semiHidden/>
    <w:unhideWhenUsed/>
    <w:rsid w:val="009E0939"/>
    <w:rPr>
      <w:color w:val="605E5C"/>
      <w:shd w:val="clear" w:color="auto" w:fill="E1DFDD"/>
    </w:rPr>
  </w:style>
  <w:style w:type="character" w:customStyle="1" w:styleId="Ttulo2Char">
    <w:name w:val="Título 2 Char"/>
    <w:basedOn w:val="Fontepargpadro"/>
    <w:link w:val="Ttulo2"/>
    <w:uiPriority w:val="9"/>
    <w:rsid w:val="00691676"/>
    <w:rPr>
      <w:rFonts w:ascii="Times New Roman" w:hAnsi="Times New Roman" w:cs="Times New Roman"/>
      <w:b/>
      <w:bCs/>
      <w:sz w:val="24"/>
      <w:szCs w:val="24"/>
      <w:lang w:val="es-PE"/>
    </w:rPr>
  </w:style>
  <w:style w:type="character" w:customStyle="1" w:styleId="Ttulo3Char">
    <w:name w:val="Título 3 Char"/>
    <w:basedOn w:val="Fontepargpadro"/>
    <w:link w:val="Ttulo3"/>
    <w:uiPriority w:val="9"/>
    <w:rsid w:val="0027313A"/>
    <w:rPr>
      <w:rFonts w:ascii="Times New Roman" w:hAnsi="Times New Roman" w:cs="Times New Roman"/>
      <w:i/>
      <w:i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747313">
      <w:bodyDiv w:val="1"/>
      <w:marLeft w:val="0"/>
      <w:marRight w:val="0"/>
      <w:marTop w:val="0"/>
      <w:marBottom w:val="0"/>
      <w:divBdr>
        <w:top w:val="none" w:sz="0" w:space="0" w:color="auto"/>
        <w:left w:val="none" w:sz="0" w:space="0" w:color="auto"/>
        <w:bottom w:val="none" w:sz="0" w:space="0" w:color="auto"/>
        <w:right w:val="none" w:sz="0" w:space="0" w:color="auto"/>
      </w:divBdr>
    </w:div>
    <w:div w:id="208787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1FF95-4FAC-49D7-8C24-B251521A8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5236</Words>
  <Characters>28279</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Ronel Joel Bazan Colque</dc:creator>
  <cp:keywords/>
  <dc:description/>
  <cp:lastModifiedBy>Ronel Joel Bazán-Colque</cp:lastModifiedBy>
  <cp:revision>7</cp:revision>
  <dcterms:created xsi:type="dcterms:W3CDTF">2022-06-13T17:41:00Z</dcterms:created>
  <dcterms:modified xsi:type="dcterms:W3CDTF">2022-06-15T23:36:00Z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http://www.zotero.org/styles/journal-of-food-measurement-and-characterization</vt:lpwstr>
  </property>
  <property fmtid="{D5CDD505-2E9C-101B-9397-08002B2CF9AE}" pid="13" name="Mendeley Recent Style Name 5_1">
    <vt:lpwstr>Journal of Food Measurement and Characterization</vt:lpwstr>
  </property>
  <property fmtid="{D5CDD505-2E9C-101B-9397-08002B2CF9AE}" pid="14" name="Mendeley Recent Style Id 6_1">
    <vt:lpwstr>http://www.zotero.org/styles/journal-of-food-science-and-technology</vt:lpwstr>
  </property>
  <property fmtid="{D5CDD505-2E9C-101B-9397-08002B2CF9AE}" pid="15" name="Mendeley Recent Style Name 6_1">
    <vt:lpwstr>Journal of Food Science and Technology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http://www.zotero.org/styles/plant-foods-for-human-nutrition</vt:lpwstr>
  </property>
  <property fmtid="{D5CDD505-2E9C-101B-9397-08002B2CF9AE}" pid="19" name="Mendeley Recent Style Name 8_1">
    <vt:lpwstr>Plant Foods for Human Nutrition</vt:lpwstr>
  </property>
  <property fmtid="{D5CDD505-2E9C-101B-9397-08002B2CF9AE}" pid="20" name="Mendeley Recent Style Id 9_1">
    <vt:lpwstr>http://www.zotero.org/styles/trends-in-food-science-and-technology</vt:lpwstr>
  </property>
  <property fmtid="{D5CDD505-2E9C-101B-9397-08002B2CF9AE}" pid="21" name="Mendeley Recent Style Name 9_1">
    <vt:lpwstr>Trends in Food Science &amp; Technology</vt:lpwstr>
  </property>
  <property fmtid="{D5CDD505-2E9C-101B-9397-08002B2CF9AE}" pid="22" name="Mendeley Document_1">
    <vt:lpwstr>True</vt:lpwstr>
  </property>
  <property fmtid="{D5CDD505-2E9C-101B-9397-08002B2CF9AE}" pid="23" name="Mendeley Unique User Id_1">
    <vt:lpwstr>ef7fdf3e-643e-3708-af2b-3f97edb666dc</vt:lpwstr>
  </property>
  <property fmtid="{D5CDD505-2E9C-101B-9397-08002B2CF9AE}" pid="24" name="Mendeley Citation Style_1">
    <vt:lpwstr>http://www.zotero.org/styles/plant-foods-for-human-nutrition</vt:lpwstr>
  </property>
</Properties>
</file>