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93E" w:rsidRPr="00B8675A" w:rsidRDefault="0062193E" w:rsidP="0062193E">
      <w:pPr>
        <w:spacing w:line="220" w:lineRule="atLeast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T</w:t>
      </w:r>
      <w:r>
        <w:rPr>
          <w:rFonts w:ascii="Times New Roman" w:hAnsi="Times New Roman" w:cs="Times New Roman" w:hint="eastAsia"/>
          <w:sz w:val="21"/>
          <w:szCs w:val="21"/>
        </w:rPr>
        <w:t>able S1  Expression levels of 34 honeybee genes in response to insecticides</w:t>
      </w:r>
    </w:p>
    <w:tbl>
      <w:tblPr>
        <w:tblStyle w:val="a5"/>
        <w:tblW w:w="8362" w:type="dxa"/>
        <w:jc w:val="center"/>
        <w:tblInd w:w="39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6"/>
        <w:gridCol w:w="4331"/>
        <w:gridCol w:w="1418"/>
        <w:gridCol w:w="1337"/>
      </w:tblGrid>
      <w:tr w:rsidR="0062193E" w:rsidRPr="00BE744F" w:rsidTr="00E42884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193E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Locus</w:t>
            </w:r>
          </w:p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(Gene)</w:t>
            </w:r>
          </w:p>
        </w:tc>
        <w:tc>
          <w:tcPr>
            <w:tcW w:w="4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193E" w:rsidRPr="00BE744F" w:rsidRDefault="0062193E" w:rsidP="00E4288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Description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1"/>
                <w:szCs w:val="21"/>
                <w:shd w:val="clear" w:color="auto" w:fill="FFFFFF"/>
              </w:rPr>
              <w:t>I</w:t>
            </w:r>
            <w:r w:rsidRPr="00BE744F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midacloprid</w:t>
            </w:r>
            <w:proofErr w:type="spellEnd"/>
            <w:r w:rsidRPr="00BE744F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BE744F">
              <w:rPr>
                <w:rFonts w:ascii="Times New Roman" w:hAnsi="Times New Roman" w:cs="Times New Roman"/>
                <w:i/>
                <w:sz w:val="21"/>
                <w:szCs w:val="21"/>
                <w:shd w:val="clear" w:color="auto" w:fill="FFFFFF"/>
              </w:rPr>
              <w:t>vs</w:t>
            </w:r>
            <w:proofErr w:type="spellEnd"/>
            <w:r w:rsidRPr="00BE744F">
              <w:rPr>
                <w:rFonts w:ascii="Times New Roman" w:hAnsi="Times New Roman" w:cs="Times New Roman"/>
                <w:i/>
                <w:sz w:val="21"/>
                <w:szCs w:val="21"/>
                <w:shd w:val="clear" w:color="auto" w:fill="FFFFFF"/>
              </w:rPr>
              <w:t xml:space="preserve"> </w:t>
            </w:r>
            <w:r w:rsidRPr="00BE744F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control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Deltamethrin</w:t>
            </w:r>
            <w:proofErr w:type="spellEnd"/>
            <w:r w:rsidRPr="00BE744F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BE744F">
              <w:rPr>
                <w:rFonts w:ascii="Times New Roman" w:hAnsi="Times New Roman" w:cs="Times New Roman"/>
                <w:i/>
                <w:sz w:val="21"/>
                <w:szCs w:val="21"/>
                <w:shd w:val="clear" w:color="auto" w:fill="FFFFFF"/>
              </w:rPr>
              <w:t>vs</w:t>
            </w:r>
            <w:proofErr w:type="spellEnd"/>
            <w:r w:rsidRPr="00BE744F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control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413083</w:t>
            </w:r>
          </w:p>
        </w:tc>
        <w:tc>
          <w:tcPr>
            <w:tcW w:w="4331" w:type="dxa"/>
            <w:tcBorders>
              <w:top w:val="single" w:sz="4" w:space="0" w:color="auto"/>
            </w:tcBorders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 xml:space="preserve">probable </w:t>
            </w: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cytochrome</w:t>
            </w:r>
            <w:proofErr w:type="spellEnd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 xml:space="preserve"> P450 6a14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1.26(0.000)</w:t>
            </w:r>
          </w:p>
        </w:tc>
        <w:tc>
          <w:tcPr>
            <w:tcW w:w="1337" w:type="dxa"/>
            <w:tcBorders>
              <w:top w:val="single" w:sz="4" w:space="0" w:color="auto"/>
            </w:tcBorders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1.65(0.000)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413908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cytochrome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P450 6A1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2.22(0.056)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2.86(0.001)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107965921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cytochrome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P450 6B2-like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1.48(0.105)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1.54(0.049)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552229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esterase B1-like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0.40(0.075)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1.16(0.000)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100576090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cuticular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protein 11 precursor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1.10(0.008)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0.95(0.035)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725051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multidrug resistance-associated protein 4-like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1.04(0.000)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0.67(0.024)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727584</w:t>
            </w:r>
          </w:p>
        </w:tc>
        <w:tc>
          <w:tcPr>
            <w:tcW w:w="4331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peroxisomal</w:t>
            </w:r>
            <w:proofErr w:type="spellEnd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 xml:space="preserve"> multifunctional enzyme type 2-like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10.25(0.000)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10.40(0.000)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410744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glucose </w:t>
            </w: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dehydrogenase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[FAD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-0.25(0.839)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-2.87(0.001)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551044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glucose </w:t>
            </w: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dehydrogenase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[FAD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-0.32(0.000)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-1.39(0.000)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552457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glucose </w:t>
            </w: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dehydrogenase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[FAD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-0.27(0.706)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-1.29(0.006)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102654136</w:t>
            </w:r>
          </w:p>
        </w:tc>
        <w:tc>
          <w:tcPr>
            <w:tcW w:w="4331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apidaecins</w:t>
            </w:r>
            <w:proofErr w:type="spellEnd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 xml:space="preserve"> type 73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1.14(0.000)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2.06(0.000)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406115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apidaecins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type 73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0.69(0.000)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2.47(0.000)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406140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apidaecins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type 14 precursor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0.93(0.000)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2.53(0.000)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406142</w:t>
            </w:r>
          </w:p>
        </w:tc>
        <w:tc>
          <w:tcPr>
            <w:tcW w:w="4331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hymenoptaecin</w:t>
            </w:r>
            <w:proofErr w:type="spellEnd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 xml:space="preserve"> </w:t>
            </w: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preproprotein</w:t>
            </w:r>
            <w:proofErr w:type="spellEnd"/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2.65(0.000)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3.28(0.000)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406143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defensin-1 </w:t>
            </w: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preproprotein</w:t>
            </w:r>
            <w:proofErr w:type="spellEnd"/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-0.06(0.000)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-1.23(0.000)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406144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abaecin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precursor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0.76(0.000)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1.00(0.000)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551367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apidermin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1 precursor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3.06(0.000)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0.18(1.000)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727161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apidermin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2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1.22(0.000)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0.56(0.000)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726848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hexamerin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70a precursor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2.01(0.000)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0.26(0.222)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100578402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odorant receptor 4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-0.30(0.941)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-7.16(0.019)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100578520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odorant receptor 58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-1.77(0.019)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-0.46(0.707)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107963999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odorant receptor Or2-like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1.44(0.013)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0.49(0.752)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107964991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odorant receptor 94b-like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-0.51(0.608)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-1.61(0.038)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677671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odorant binding protein 3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1.15(0.000)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0.12(0.047)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677674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odorant binding protein 13 precursor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2.55(0.015)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1.86(0.209)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411659</w:t>
            </w:r>
          </w:p>
        </w:tc>
        <w:tc>
          <w:tcPr>
            <w:tcW w:w="4331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troponin</w:t>
            </w:r>
            <w:proofErr w:type="spellEnd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 xml:space="preserve"> C type I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1.03(0.000)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1.06(0.000)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494501</w:t>
            </w:r>
          </w:p>
        </w:tc>
        <w:tc>
          <w:tcPr>
            <w:tcW w:w="4331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troponin</w:t>
            </w:r>
            <w:proofErr w:type="spellEnd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 xml:space="preserve"> C type </w:t>
            </w: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IIb</w:t>
            </w:r>
            <w:proofErr w:type="spellEnd"/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3.03(0.008)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3.66(0.000)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552666</w:t>
            </w:r>
          </w:p>
        </w:tc>
        <w:tc>
          <w:tcPr>
            <w:tcW w:w="4331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proofErr w:type="spellStart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calmodulin</w:t>
            </w:r>
            <w:proofErr w:type="spellEnd"/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-like protein 4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10.20(0.000)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9.98(0.000)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412869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sarcoplasmic</w:t>
            </w:r>
            <w:proofErr w:type="spellEnd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calcium-binding protein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0.72(0.216)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1.52(0.000)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727346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glutamate receptor</w:t>
            </w:r>
            <w:bookmarkStart w:id="0" w:name="OLE_LINK7"/>
            <w:bookmarkStart w:id="1" w:name="OLE_LINK8"/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bookmarkEnd w:id="0"/>
            <w:bookmarkEnd w:id="1"/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0.67(0.650)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1.37(0.011)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551813</w:t>
            </w:r>
          </w:p>
        </w:tc>
        <w:tc>
          <w:tcPr>
            <w:tcW w:w="4331" w:type="dxa"/>
            <w:vAlign w:val="center"/>
          </w:tcPr>
          <w:p w:rsidR="0062193E" w:rsidRPr="008722B6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722B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major royal jelly protein 1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-1.18(0.000)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-2.97(0.000)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406090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major royal jelly protein 1 precursor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-0.54(0.000)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-2.79(0.000)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406091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major royal jelly protein 2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-0.36(0.000)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-3.24(0.000)</w:t>
            </w:r>
          </w:p>
        </w:tc>
      </w:tr>
      <w:tr w:rsidR="0062193E" w:rsidRPr="00BE744F" w:rsidTr="00E42884">
        <w:trPr>
          <w:jc w:val="center"/>
        </w:trPr>
        <w:tc>
          <w:tcPr>
            <w:tcW w:w="1276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409555</w:t>
            </w:r>
          </w:p>
        </w:tc>
        <w:tc>
          <w:tcPr>
            <w:tcW w:w="4331" w:type="dxa"/>
            <w:vAlign w:val="center"/>
          </w:tcPr>
          <w:p w:rsidR="0062193E" w:rsidRPr="00BE744F" w:rsidRDefault="0062193E" w:rsidP="00E42884">
            <w:pPr>
              <w:adjustRightInd/>
              <w:snapToGrid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BE744F">
              <w:rPr>
                <w:rFonts w:ascii="Times New Roman" w:eastAsia="宋体" w:hAnsi="Times New Roman" w:cs="Times New Roman"/>
                <w:sz w:val="21"/>
                <w:szCs w:val="21"/>
              </w:rPr>
              <w:t>major royal jelly protein 7 precursor</w:t>
            </w:r>
          </w:p>
        </w:tc>
        <w:tc>
          <w:tcPr>
            <w:tcW w:w="1418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-0.08</w:t>
            </w: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0.001</w:t>
            </w:r>
            <w:r w:rsidRPr="00BE744F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337" w:type="dxa"/>
            <w:vAlign w:val="center"/>
          </w:tcPr>
          <w:p w:rsidR="0062193E" w:rsidRPr="00BE744F" w:rsidRDefault="0062193E" w:rsidP="00E42884">
            <w:pPr>
              <w:spacing w:line="220" w:lineRule="atLeast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E744F">
              <w:rPr>
                <w:rFonts w:ascii="Times New Roman" w:hAnsi="Times New Roman" w:cs="Times New Roman"/>
                <w:b/>
                <w:sz w:val="21"/>
                <w:szCs w:val="21"/>
              </w:rPr>
              <w:t>-3.07(0.000)</w:t>
            </w:r>
          </w:p>
        </w:tc>
      </w:tr>
    </w:tbl>
    <w:p w:rsidR="0062193E" w:rsidRPr="00481A7F" w:rsidRDefault="0062193E" w:rsidP="0062193E">
      <w:pPr>
        <w:spacing w:line="220" w:lineRule="atLeast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Note: </w:t>
      </w:r>
      <w:r>
        <w:rPr>
          <w:rFonts w:ascii="Times New Roman" w:hAnsi="Times New Roman" w:cs="Times New Roman"/>
          <w:sz w:val="21"/>
          <w:szCs w:val="21"/>
        </w:rPr>
        <w:t>The log</w:t>
      </w:r>
      <w:r w:rsidRPr="00805D45">
        <w:rPr>
          <w:rFonts w:ascii="Times New Roman" w:hAnsi="Times New Roman" w:cs="Times New Roman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805D45">
        <w:rPr>
          <w:rFonts w:ascii="Times New Roman" w:hAnsi="Times New Roman" w:cs="Times New Roman"/>
          <w:sz w:val="21"/>
          <w:szCs w:val="21"/>
        </w:rPr>
        <w:t>ratio of the normalized transcript content relativ</w:t>
      </w:r>
      <w:r>
        <w:rPr>
          <w:rFonts w:ascii="Times New Roman" w:hAnsi="Times New Roman" w:cs="Times New Roman"/>
          <w:sz w:val="21"/>
          <w:szCs w:val="21"/>
        </w:rPr>
        <w:t xml:space="preserve">e to the control at the same </w:t>
      </w:r>
      <w:r>
        <w:rPr>
          <w:rFonts w:ascii="Times New Roman" w:hAnsi="Times New Roman" w:cs="Times New Roman" w:hint="eastAsia"/>
          <w:sz w:val="21"/>
          <w:szCs w:val="21"/>
        </w:rPr>
        <w:t>colony</w:t>
      </w:r>
      <w:r w:rsidRPr="00805D45">
        <w:rPr>
          <w:rFonts w:ascii="Times New Roman" w:hAnsi="Times New Roman" w:cs="Times New Roman"/>
          <w:sz w:val="21"/>
          <w:szCs w:val="21"/>
        </w:rPr>
        <w:t xml:space="preserve"> is given together with the </w:t>
      </w:r>
      <w:r>
        <w:rPr>
          <w:rFonts w:ascii="Times New Roman" w:hAnsi="Times New Roman" w:cs="Times New Roman" w:hint="eastAsia"/>
          <w:sz w:val="21"/>
          <w:szCs w:val="21"/>
        </w:rPr>
        <w:t>RDR</w:t>
      </w:r>
      <w:r>
        <w:rPr>
          <w:rFonts w:ascii="Times New Roman" w:hAnsi="Times New Roman" w:cs="Times New Roman"/>
          <w:sz w:val="21"/>
          <w:szCs w:val="21"/>
        </w:rPr>
        <w:t xml:space="preserve"> in parentheses. Signifi</w:t>
      </w:r>
      <w:r w:rsidRPr="00805D45">
        <w:rPr>
          <w:rFonts w:ascii="Times New Roman" w:hAnsi="Times New Roman" w:cs="Times New Roman"/>
          <w:sz w:val="21"/>
          <w:szCs w:val="21"/>
        </w:rPr>
        <w:t>cant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805D45">
        <w:rPr>
          <w:rFonts w:ascii="Times New Roman" w:hAnsi="Times New Roman" w:cs="Times New Roman"/>
          <w:sz w:val="21"/>
          <w:szCs w:val="21"/>
        </w:rPr>
        <w:t>expression changes (</w:t>
      </w:r>
      <w:r w:rsidRPr="00805D45">
        <w:rPr>
          <w:rFonts w:ascii="Times New Roman" w:hAnsi="Times New Roman" w:cs="Times New Roman" w:hint="eastAsia"/>
          <w:sz w:val="21"/>
          <w:szCs w:val="21"/>
        </w:rPr>
        <w:t xml:space="preserve">FDR&lt;0.05 </w:t>
      </w:r>
      <w:r>
        <w:rPr>
          <w:rFonts w:ascii="Times New Roman" w:hAnsi="Times New Roman" w:cs="Times New Roman" w:hint="eastAsia"/>
          <w:sz w:val="21"/>
          <w:szCs w:val="21"/>
        </w:rPr>
        <w:t>and</w:t>
      </w:r>
      <w:r w:rsidRPr="00805D45">
        <w:rPr>
          <w:rFonts w:ascii="Times New Roman" w:hAnsi="Times New Roman" w:cs="Times New Roman" w:hint="eastAsia"/>
          <w:sz w:val="21"/>
          <w:szCs w:val="21"/>
        </w:rPr>
        <w:t xml:space="preserve"> |log2FC|&gt;1</w:t>
      </w:r>
      <w:r w:rsidRPr="00805D45">
        <w:rPr>
          <w:rFonts w:ascii="Times New Roman" w:hAnsi="Times New Roman" w:cs="Times New Roman"/>
          <w:sz w:val="21"/>
          <w:szCs w:val="21"/>
        </w:rPr>
        <w:t>) are shown in bold.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193E" w:rsidRDefault="0062193E" w:rsidP="0062193E">
      <w:pPr>
        <w:spacing w:after="0"/>
      </w:pPr>
      <w:r>
        <w:separator/>
      </w:r>
    </w:p>
  </w:endnote>
  <w:endnote w:type="continuationSeparator" w:id="0">
    <w:p w:rsidR="0062193E" w:rsidRDefault="0062193E" w:rsidP="0062193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193E" w:rsidRDefault="0062193E" w:rsidP="0062193E">
      <w:pPr>
        <w:spacing w:after="0"/>
      </w:pPr>
      <w:r>
        <w:separator/>
      </w:r>
    </w:p>
  </w:footnote>
  <w:footnote w:type="continuationSeparator" w:id="0">
    <w:p w:rsidR="0062193E" w:rsidRDefault="0062193E" w:rsidP="0062193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E3397"/>
    <w:rsid w:val="0062193E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93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93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93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93E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6219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2020-08-02T00:45:00Z</dcterms:modified>
</cp:coreProperties>
</file>