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83A886" w14:textId="77777777" w:rsidR="005A2A5F" w:rsidRDefault="005A2A5F" w:rsidP="005A2A5F">
      <w:pPr>
        <w:rPr>
          <w:rFonts w:ascii="Times New Roman" w:hAnsi="Times New Roman" w:cs="Times New Roman"/>
          <w:b/>
        </w:rPr>
      </w:pPr>
      <w:bookmarkStart w:id="0" w:name="_Hlk105768006"/>
      <w:r>
        <w:rPr>
          <w:rFonts w:ascii="Times New Roman" w:hAnsi="Times New Roman" w:cs="Times New Roman"/>
          <w:b/>
        </w:rPr>
        <w:t>Supplemental Material</w:t>
      </w:r>
    </w:p>
    <w:p w14:paraId="18E4E643" w14:textId="77777777" w:rsidR="005A2A5F" w:rsidRDefault="005A2A5F" w:rsidP="005A2A5F">
      <w:pPr>
        <w:jc w:val="both"/>
        <w:rPr>
          <w:rFonts w:ascii="Times New Roman" w:hAnsi="Times New Roman" w:cs="Times New Roman"/>
        </w:rPr>
      </w:pPr>
      <w:r>
        <w:rPr>
          <w:rFonts w:ascii="Times New Roman" w:hAnsi="Times New Roman" w:cs="Times New Roman"/>
        </w:rPr>
        <w:t xml:space="preserve">Total discharge volume to shark river slough (SRS) and </w:t>
      </w:r>
      <w:r>
        <w:rPr>
          <w:rFonts w:ascii="Times New Roman" w:hAnsi="Times New Roman" w:cs="Times New Roman"/>
          <w:color w:val="131413"/>
          <w:sz w:val="24"/>
          <w:szCs w:val="24"/>
        </w:rPr>
        <w:t>Taylor Slough and Coastal Basins (TSCB</w:t>
      </w:r>
      <w:r>
        <w:rPr>
          <w:rFonts w:ascii="Times New Roman" w:hAnsi="Times New Roman" w:cs="Times New Roman"/>
        </w:rPr>
        <w:t xml:space="preserve">) is estimated as the total discharge volume from several water control structures discharging to each respective drainage within the freshwater Everglades. The terms in the equations below are daily discharge from water control structures specific to each drainage (Fig. 6). Discharge to SRS is estimated using equation S1 accounts for water from Water Conservation Area 3 (to the north) minus water returning from seepage and water moving east.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010"/>
        <w:gridCol w:w="1340"/>
      </w:tblGrid>
      <w:tr w:rsidR="005A2A5F" w:rsidRPr="00F25543" w14:paraId="532CF832" w14:textId="77777777" w:rsidTr="00E41855">
        <w:tc>
          <w:tcPr>
            <w:tcW w:w="8010" w:type="dxa"/>
            <w:vAlign w:val="center"/>
          </w:tcPr>
          <w:p w14:paraId="20625A0E" w14:textId="77777777" w:rsidR="005A2A5F" w:rsidRPr="00F25543" w:rsidRDefault="005A2A5F" w:rsidP="00E4185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SRS</m:t>
                    </m:r>
                  </m:sub>
                </m:sSub>
                <m:r>
                  <w:rPr>
                    <w:rFonts w:ascii="Cambria Math" w:hAnsi="Cambria Math" w:cs="Times New Roman"/>
                    <w:sz w:val="24"/>
                    <w:szCs w:val="24"/>
                  </w:rPr>
                  <m:t>=S12s+</m:t>
                </m:r>
                <m:d>
                  <m:dPr>
                    <m:begChr m:val="["/>
                    <m:endChr m:val="]"/>
                    <m:ctrlPr>
                      <w:rPr>
                        <w:rFonts w:ascii="Cambria Math" w:hAnsi="Cambria Math" w:cs="Times New Roman"/>
                        <w:i/>
                        <w:sz w:val="24"/>
                        <w:szCs w:val="24"/>
                      </w:rPr>
                    </m:ctrlPr>
                  </m:dPr>
                  <m:e>
                    <m:r>
                      <w:rPr>
                        <w:rFonts w:ascii="Cambria Math" w:hAnsi="Cambria Math" w:cs="Times New Roman"/>
                        <w:sz w:val="24"/>
                        <w:szCs w:val="24"/>
                      </w:rPr>
                      <m:t xml:space="preserve">S333s+S355s+minimum </m:t>
                    </m:r>
                    <m:d>
                      <m:dPr>
                        <m:ctrlPr>
                          <w:rPr>
                            <w:rFonts w:ascii="Cambria Math" w:hAnsi="Cambria Math" w:cs="Times New Roman"/>
                            <w:i/>
                            <w:sz w:val="24"/>
                            <w:szCs w:val="24"/>
                          </w:rPr>
                        </m:ctrlPr>
                      </m:dPr>
                      <m:e>
                        <m:r>
                          <w:rPr>
                            <w:rFonts w:ascii="Cambria Math" w:hAnsi="Cambria Math" w:cs="Times New Roman"/>
                            <w:sz w:val="24"/>
                            <w:szCs w:val="24"/>
                          </w:rPr>
                          <m:t>S356,S335</m:t>
                        </m:r>
                      </m:e>
                    </m:d>
                    <m:r>
                      <w:rPr>
                        <w:rFonts w:ascii="Cambria Math" w:hAnsi="Cambria Math" w:cs="Times New Roman"/>
                        <w:sz w:val="24"/>
                        <w:szCs w:val="24"/>
                      </w:rPr>
                      <m:t>-S334</m:t>
                    </m:r>
                  </m:e>
                </m:d>
              </m:oMath>
            </m:oMathPara>
          </w:p>
        </w:tc>
        <w:tc>
          <w:tcPr>
            <w:tcW w:w="1340" w:type="dxa"/>
            <w:vAlign w:val="center"/>
          </w:tcPr>
          <w:p w14:paraId="78258A06" w14:textId="77777777" w:rsidR="005A2A5F" w:rsidRPr="00F25543" w:rsidRDefault="005A2A5F" w:rsidP="00E41855">
            <w:pPr>
              <w:jc w:val="center"/>
              <w:rPr>
                <w:rFonts w:ascii="Times New Roman" w:hAnsi="Times New Roman" w:cs="Times New Roman"/>
                <w:sz w:val="24"/>
                <w:szCs w:val="24"/>
              </w:rPr>
            </w:pPr>
            <w:r w:rsidRPr="00F25543">
              <w:rPr>
                <w:rFonts w:ascii="Times New Roman" w:hAnsi="Times New Roman" w:cs="Times New Roman"/>
                <w:sz w:val="24"/>
                <w:szCs w:val="24"/>
              </w:rPr>
              <w:t>Eq S1</w:t>
            </w:r>
          </w:p>
        </w:tc>
      </w:tr>
    </w:tbl>
    <w:p w14:paraId="7F3A8547" w14:textId="77777777" w:rsidR="005A2A5F" w:rsidRDefault="005A2A5F" w:rsidP="005A2A5F">
      <w:pPr>
        <w:jc w:val="both"/>
        <w:rPr>
          <w:rFonts w:ascii="Times New Roman" w:hAnsi="Times New Roman" w:cs="Times New Roman"/>
        </w:rPr>
      </w:pPr>
    </w:p>
    <w:p w14:paraId="03180350" w14:textId="77777777" w:rsidR="005A2A5F" w:rsidRDefault="005A2A5F" w:rsidP="005A2A5F">
      <w:pPr>
        <w:jc w:val="both"/>
        <w:rPr>
          <w:rFonts w:ascii="Times New Roman" w:hAnsi="Times New Roman" w:cs="Times New Roman"/>
        </w:rPr>
      </w:pPr>
      <w:r>
        <w:rPr>
          <w:rFonts w:ascii="Times New Roman" w:hAnsi="Times New Roman" w:cs="Times New Roman"/>
        </w:rPr>
        <w:t xml:space="preserve">Discharge to TSCB is estimated using equation S2 where discharges are estimates entering Taylor Slough and the Coastal Basins accounting for infrastructure changes as part of restoration and water management operations.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5"/>
        <w:gridCol w:w="6660"/>
        <w:gridCol w:w="1075"/>
      </w:tblGrid>
      <w:tr w:rsidR="005A2A5F" w:rsidRPr="00F25543" w14:paraId="4DE1B410" w14:textId="77777777" w:rsidTr="00E41855">
        <w:trPr>
          <w:trHeight w:val="432"/>
        </w:trPr>
        <w:tc>
          <w:tcPr>
            <w:tcW w:w="1615" w:type="dxa"/>
            <w:vAlign w:val="center"/>
          </w:tcPr>
          <w:p w14:paraId="4B43B3C2" w14:textId="77777777" w:rsidR="005A2A5F" w:rsidRPr="00F25543" w:rsidRDefault="005A2A5F" w:rsidP="00E41855">
            <w:pPr>
              <w:jc w:val="center"/>
              <w:rPr>
                <w:rFonts w:ascii="Times New Roman" w:hAnsi="Times New Roman" w:cs="Times New Roman"/>
                <w:sz w:val="24"/>
                <w:szCs w:val="24"/>
              </w:rPr>
            </w:pPr>
            <w:r w:rsidRPr="00F25543">
              <w:rPr>
                <w:rFonts w:ascii="Times New Roman" w:hAnsi="Times New Roman" w:cs="Times New Roman"/>
                <w:sz w:val="24"/>
                <w:szCs w:val="24"/>
              </w:rPr>
              <w:t>Pre Oct 1999</w:t>
            </w:r>
          </w:p>
        </w:tc>
        <w:tc>
          <w:tcPr>
            <w:tcW w:w="6660" w:type="dxa"/>
            <w:vAlign w:val="center"/>
          </w:tcPr>
          <w:p w14:paraId="7F53ECF2" w14:textId="77777777" w:rsidR="005A2A5F" w:rsidRPr="00F25543" w:rsidRDefault="005A2A5F" w:rsidP="00E4185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TSCB</m:t>
                    </m:r>
                  </m:sub>
                </m:sSub>
                <m:r>
                  <w:rPr>
                    <w:rFonts w:ascii="Cambria Math" w:hAnsi="Cambria Math" w:cs="Times New Roman"/>
                    <w:sz w:val="24"/>
                    <w:szCs w:val="24"/>
                  </w:rPr>
                  <m:t>=S332+S175+S18C</m:t>
                </m:r>
              </m:oMath>
            </m:oMathPara>
          </w:p>
        </w:tc>
        <w:tc>
          <w:tcPr>
            <w:tcW w:w="1075" w:type="dxa"/>
            <w:vMerge w:val="restart"/>
            <w:vAlign w:val="center"/>
          </w:tcPr>
          <w:p w14:paraId="51B5FE18" w14:textId="77777777" w:rsidR="005A2A5F" w:rsidRPr="00F25543" w:rsidRDefault="005A2A5F" w:rsidP="00E41855">
            <w:pPr>
              <w:jc w:val="center"/>
              <w:rPr>
                <w:rFonts w:ascii="Times New Roman" w:hAnsi="Times New Roman" w:cs="Times New Roman"/>
                <w:sz w:val="24"/>
                <w:szCs w:val="24"/>
              </w:rPr>
            </w:pPr>
            <w:r>
              <w:rPr>
                <w:rFonts w:ascii="Times New Roman" w:hAnsi="Times New Roman" w:cs="Times New Roman"/>
                <w:sz w:val="24"/>
                <w:szCs w:val="24"/>
              </w:rPr>
              <w:t>Eq S2</w:t>
            </w:r>
          </w:p>
        </w:tc>
      </w:tr>
      <w:tr w:rsidR="005A2A5F" w:rsidRPr="00F25543" w14:paraId="3A8B0A4E" w14:textId="77777777" w:rsidTr="00E41855">
        <w:trPr>
          <w:trHeight w:val="432"/>
        </w:trPr>
        <w:tc>
          <w:tcPr>
            <w:tcW w:w="1615" w:type="dxa"/>
            <w:vAlign w:val="center"/>
          </w:tcPr>
          <w:p w14:paraId="66C59F61" w14:textId="77777777" w:rsidR="005A2A5F" w:rsidRPr="00F25543" w:rsidRDefault="005A2A5F" w:rsidP="00E41855">
            <w:pPr>
              <w:jc w:val="center"/>
              <w:rPr>
                <w:rFonts w:ascii="Times New Roman" w:hAnsi="Times New Roman" w:cs="Times New Roman"/>
                <w:sz w:val="24"/>
                <w:szCs w:val="24"/>
              </w:rPr>
            </w:pPr>
            <w:r w:rsidRPr="00F25543">
              <w:rPr>
                <w:rFonts w:ascii="Times New Roman" w:hAnsi="Times New Roman" w:cs="Times New Roman"/>
                <w:sz w:val="24"/>
                <w:szCs w:val="24"/>
              </w:rPr>
              <w:t>Post Oct 1999</w:t>
            </w:r>
          </w:p>
        </w:tc>
        <w:tc>
          <w:tcPr>
            <w:tcW w:w="6660" w:type="dxa"/>
            <w:vAlign w:val="center"/>
          </w:tcPr>
          <w:p w14:paraId="468036B6" w14:textId="77777777" w:rsidR="005A2A5F" w:rsidRPr="00F25543" w:rsidRDefault="005A2A5F" w:rsidP="00E4185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TSCB</m:t>
                    </m:r>
                  </m:sub>
                </m:sSub>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S332D-S332DX1-S328</m:t>
                    </m:r>
                  </m:e>
                </m:d>
                <m:r>
                  <w:rPr>
                    <w:rFonts w:ascii="Cambria Math" w:hAnsi="Cambria Math" w:cs="Times New Roman"/>
                    <w:sz w:val="24"/>
                    <w:szCs w:val="24"/>
                  </w:rPr>
                  <m:t>+S328+G737+S18C</m:t>
                </m:r>
              </m:oMath>
            </m:oMathPara>
          </w:p>
        </w:tc>
        <w:tc>
          <w:tcPr>
            <w:tcW w:w="1075" w:type="dxa"/>
            <w:vMerge/>
          </w:tcPr>
          <w:p w14:paraId="3FBFC23A" w14:textId="77777777" w:rsidR="005A2A5F" w:rsidRPr="00F25543" w:rsidRDefault="005A2A5F" w:rsidP="00E41855">
            <w:pPr>
              <w:jc w:val="both"/>
              <w:rPr>
                <w:rFonts w:ascii="Times New Roman" w:hAnsi="Times New Roman" w:cs="Times New Roman"/>
                <w:sz w:val="24"/>
                <w:szCs w:val="24"/>
              </w:rPr>
            </w:pPr>
          </w:p>
        </w:tc>
      </w:tr>
    </w:tbl>
    <w:p w14:paraId="03172702" w14:textId="77777777" w:rsidR="005A2A5F" w:rsidRDefault="005A2A5F" w:rsidP="005A2A5F">
      <w:pPr>
        <w:jc w:val="both"/>
        <w:rPr>
          <w:rFonts w:ascii="Times New Roman" w:hAnsi="Times New Roman" w:cs="Times New Roman"/>
        </w:rPr>
      </w:pPr>
    </w:p>
    <w:p w14:paraId="2A4034F2" w14:textId="77777777" w:rsidR="005A2A5F" w:rsidRPr="00F25543" w:rsidRDefault="005A2A5F" w:rsidP="005A2A5F">
      <w:pPr>
        <w:jc w:val="both"/>
        <w:rPr>
          <w:rFonts w:ascii="Times New Roman" w:hAnsi="Times New Roman" w:cs="Times New Roman"/>
        </w:rPr>
      </w:pPr>
      <w:r w:rsidRPr="00F25543">
        <w:rPr>
          <w:rFonts w:ascii="Times New Roman" w:hAnsi="Times New Roman" w:cs="Times New Roman"/>
        </w:rPr>
        <w:br w:type="page"/>
      </w:r>
    </w:p>
    <w:p w14:paraId="7C3BEAC0" w14:textId="77777777" w:rsidR="005A2A5F" w:rsidRDefault="005A2A5F" w:rsidP="005A2A5F">
      <w:pPr>
        <w:rPr>
          <w:rFonts w:ascii="Times New Roman" w:hAnsi="Times New Roman" w:cs="Times New Roman"/>
        </w:rPr>
      </w:pPr>
      <w:r>
        <w:rPr>
          <w:rFonts w:ascii="Times New Roman" w:hAnsi="Times New Roman" w:cs="Times New Roman"/>
        </w:rPr>
        <w:lastRenderedPageBreak/>
        <w:t xml:space="preserve">Table S1. Monitoring location with latitude, longitude, and region. Latitude and longitude are in meters spatial coordinate system is North American Datum 1983 Universal Transverse Mercator Zone 17 (NAD83 UTM Zone 17). </w:t>
      </w:r>
    </w:p>
    <w:p w14:paraId="21A9B97E" w14:textId="77777777" w:rsidR="005A2A5F" w:rsidRPr="00F25543" w:rsidRDefault="005A2A5F" w:rsidP="005A2A5F">
      <w:pPr>
        <w:rPr>
          <w:rFonts w:ascii="Times New Roman" w:hAnsi="Times New Roman" w:cs="Times New Roman"/>
          <w:b/>
          <w:i/>
          <w:u w:val="single"/>
        </w:rPr>
      </w:pPr>
      <w:r w:rsidRPr="00F25543">
        <w:rPr>
          <w:rFonts w:ascii="Times New Roman" w:hAnsi="Times New Roman" w:cs="Times New Roman"/>
          <w:i/>
        </w:rPr>
        <w:t xml:space="preserve">Provided as csv file – </w:t>
      </w:r>
      <w:r w:rsidRPr="00F25543">
        <w:rPr>
          <w:rFonts w:ascii="Times New Roman" w:hAnsi="Times New Roman" w:cs="Times New Roman"/>
          <w:b/>
          <w:i/>
          <w:u w:val="single"/>
        </w:rPr>
        <w:t>Sites_TableS1.csv</w:t>
      </w:r>
    </w:p>
    <w:p w14:paraId="073DE66D" w14:textId="77777777" w:rsidR="005A2A5F" w:rsidRDefault="005A2A5F" w:rsidP="005A2A5F">
      <w:pPr>
        <w:rPr>
          <w:rFonts w:ascii="Times New Roman" w:hAnsi="Times New Roman" w:cs="Times New Roman"/>
        </w:rPr>
      </w:pPr>
    </w:p>
    <w:p w14:paraId="6CBD9A4B" w14:textId="77777777" w:rsidR="005A2A5F" w:rsidRDefault="005A2A5F" w:rsidP="005A2A5F">
      <w:pPr>
        <w:rPr>
          <w:rFonts w:ascii="Times New Roman" w:hAnsi="Times New Roman" w:cs="Times New Roman"/>
        </w:rPr>
      </w:pPr>
      <w:r>
        <w:rPr>
          <w:rFonts w:ascii="Times New Roman" w:hAnsi="Times New Roman" w:cs="Times New Roman"/>
        </w:rPr>
        <w:t>Table S2. Kendall trend and Thiel Sen results for each monitoring location and parameter</w:t>
      </w:r>
    </w:p>
    <w:p w14:paraId="40D52003" w14:textId="77777777" w:rsidR="005A2A5F" w:rsidRPr="00F25543" w:rsidRDefault="005A2A5F" w:rsidP="005A2A5F">
      <w:pPr>
        <w:rPr>
          <w:rFonts w:ascii="Times New Roman" w:hAnsi="Times New Roman" w:cs="Times New Roman"/>
          <w:i/>
        </w:rPr>
      </w:pPr>
      <w:r w:rsidRPr="00F25543">
        <w:rPr>
          <w:rFonts w:ascii="Times New Roman" w:hAnsi="Times New Roman" w:cs="Times New Roman"/>
          <w:i/>
        </w:rPr>
        <w:t xml:space="preserve">Provide as </w:t>
      </w:r>
      <w:r>
        <w:rPr>
          <w:rFonts w:ascii="Times New Roman" w:hAnsi="Times New Roman" w:cs="Times New Roman"/>
          <w:i/>
        </w:rPr>
        <w:t>c</w:t>
      </w:r>
      <w:r w:rsidRPr="00F25543">
        <w:rPr>
          <w:rFonts w:ascii="Times New Roman" w:hAnsi="Times New Roman" w:cs="Times New Roman"/>
          <w:i/>
        </w:rPr>
        <w:t xml:space="preserve">sv file - </w:t>
      </w:r>
      <w:r w:rsidRPr="00F25543">
        <w:rPr>
          <w:rFonts w:ascii="Times New Roman" w:hAnsi="Times New Roman" w:cs="Times New Roman"/>
          <w:b/>
          <w:i/>
          <w:u w:val="single"/>
        </w:rPr>
        <w:t>TrendRslt_TableS2.csv</w:t>
      </w:r>
      <w:r w:rsidRPr="00F25543">
        <w:rPr>
          <w:rFonts w:ascii="Times New Roman" w:hAnsi="Times New Roman" w:cs="Times New Roman"/>
          <w:i/>
        </w:rPr>
        <w:br w:type="page"/>
      </w:r>
    </w:p>
    <w:p w14:paraId="4B39FB2A" w14:textId="77777777" w:rsidR="005A2A5F" w:rsidRDefault="005A2A5F" w:rsidP="005A2A5F">
      <w:pPr>
        <w:rPr>
          <w:rFonts w:ascii="Times New Roman" w:hAnsi="Times New Roman" w:cs="Times New Roman"/>
        </w:rPr>
      </w:pPr>
      <w:r>
        <w:rPr>
          <w:rFonts w:ascii="Times New Roman" w:hAnsi="Times New Roman" w:cs="Times New Roman"/>
          <w:noProof/>
        </w:rPr>
        <w:lastRenderedPageBreak/>
        <w:drawing>
          <wp:inline distT="0" distB="0" distL="0" distR="0" wp14:anchorId="594734E9" wp14:editId="1BC5AFE7">
            <wp:extent cx="5943600" cy="3200400"/>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14:paraId="0A655F91" w14:textId="77777777" w:rsidR="005A2A5F" w:rsidRDefault="005A2A5F" w:rsidP="005A2A5F">
      <w:pPr>
        <w:rPr>
          <w:rFonts w:ascii="Times New Roman" w:hAnsi="Times New Roman" w:cs="Times New Roman"/>
        </w:rPr>
      </w:pPr>
      <w:r>
        <w:rPr>
          <w:rFonts w:ascii="Times New Roman" w:hAnsi="Times New Roman" w:cs="Times New Roman"/>
        </w:rPr>
        <w:t xml:space="preserve">Figure S1. Monthly and smoothed Atlantic Multidecadal Oscillation (AMO) index with current study period identified. Data source: </w:t>
      </w:r>
      <w:hyperlink r:id="rId5" w:history="1">
        <w:r w:rsidRPr="0082536B">
          <w:rPr>
            <w:rStyle w:val="Hyperlink"/>
            <w:rFonts w:ascii="Times New Roman" w:hAnsi="Times New Roman" w:cs="Times New Roman"/>
          </w:rPr>
          <w:t>https://psl.noaa.gov/data/timeseries/AMO/</w:t>
        </w:r>
      </w:hyperlink>
      <w:r>
        <w:rPr>
          <w:rFonts w:ascii="Times New Roman" w:hAnsi="Times New Roman" w:cs="Times New Roman"/>
        </w:rPr>
        <w:t xml:space="preserve">; see </w:t>
      </w:r>
      <w:r>
        <w:rPr>
          <w:rFonts w:ascii="Times New Roman" w:hAnsi="Times New Roman" w:cs="Times New Roman"/>
        </w:rPr>
        <w:fldChar w:fldCharType="begin"/>
      </w:r>
      <w:r>
        <w:rPr>
          <w:rFonts w:ascii="Times New Roman" w:hAnsi="Times New Roman" w:cs="Times New Roman"/>
        </w:rPr>
        <w:instrText xml:space="preserve"> ADDIN ZOTERO_ITEM CSL_CITATION {"citationID":"TNoO7cZp","properties":{"formattedCitation":"(Enfield et al. 2001)","plainCitation":"(Enfield et al. 2001)","dontUpdate":true,"noteIndex":0},"citationItems":[{"id":5343,"uris":["http://zotero.org/users/2108329/items/NL642W3L"],"itemData":{"id":5343,"type":"article-journal","abstract":"North Atlantic sea surface temperatures for 1856–1999 contain a 65–80 year cycle with a 0.4 °C range, referred to as the Atlantic Multidecadal Oscillation (AMO) by Kerr [2000]. AMO warm phases occurred during 1860–1880 and 1940–1960, and cool phases during 1905–1925 and 1970–1990. The signal is global in scope, with a positively correlated co-oscillation in parts of the North Pacific, but it is most intense in the North Atlantic and covers the entire basin there. During AMO warmings most of the United States sees less than normal rainfall, including Midwest droughts in the 1930s and 1950s. Between AMO warm and cool phases, Mississippi River outflow varies by 10% while the inflow to Lake Okeechobee, Florida varies by 40%. The geographical pattern of variability is influenced mainly by changes in summer rainfall. The winter patterns of interannual rainfall variability associated with El Niño-Southern Oscillation are also significantly changed between AMO phases.","container-title":"Geophysical Research Letters","DOI":"10.1029/2000GL012745","ISSN":"1944-8007","issue":"10","language":"en","note":"_eprint: https://agupubs.onlinelibrary.wiley.com/doi/pdf/10.1029/2000GL012745","page":"2077-2080","source":"Wiley Online Library","title":"The Atlantic Multidecadal Oscillation and its relation to rainfall and river flows in the continental U.S.","volume":"28","author":[{"family":"Enfield","given":"David B."},{"family":"Mestas-Nuñez","given":"Alberto M."},{"family":"Trimble","given":"Paul J."}],"issued":{"date-parts":[["2001"]]}}}],"schema":"https://github.com/citation-style-language/schema/raw/master/csl-citation.json"} </w:instrText>
      </w:r>
      <w:r>
        <w:rPr>
          <w:rFonts w:ascii="Times New Roman" w:hAnsi="Times New Roman" w:cs="Times New Roman"/>
        </w:rPr>
        <w:fldChar w:fldCharType="separate"/>
      </w:r>
      <w:r w:rsidRPr="002A0D25">
        <w:rPr>
          <w:rFonts w:ascii="Times New Roman" w:hAnsi="Times New Roman" w:cs="Times New Roman"/>
        </w:rPr>
        <w:t xml:space="preserve">Enfield et al. </w:t>
      </w:r>
      <w:r>
        <w:rPr>
          <w:rFonts w:ascii="Times New Roman" w:hAnsi="Times New Roman" w:cs="Times New Roman"/>
        </w:rPr>
        <w:t>(</w:t>
      </w:r>
      <w:r w:rsidRPr="002A0D25">
        <w:rPr>
          <w:rFonts w:ascii="Times New Roman" w:hAnsi="Times New Roman" w:cs="Times New Roman"/>
        </w:rPr>
        <w:t>2001)</w:t>
      </w:r>
      <w:r>
        <w:rPr>
          <w:rFonts w:ascii="Times New Roman" w:hAnsi="Times New Roman" w:cs="Times New Roman"/>
        </w:rPr>
        <w:fldChar w:fldCharType="end"/>
      </w:r>
      <w:r>
        <w:rPr>
          <w:rFonts w:ascii="Times New Roman" w:hAnsi="Times New Roman" w:cs="Times New Roman"/>
        </w:rPr>
        <w:t xml:space="preserve"> for more detail. </w:t>
      </w:r>
    </w:p>
    <w:p w14:paraId="6E0FE0F7" w14:textId="77777777" w:rsidR="005A2A5F" w:rsidRDefault="005A2A5F" w:rsidP="005A2A5F">
      <w:pPr>
        <w:rPr>
          <w:rFonts w:ascii="Times New Roman" w:hAnsi="Times New Roman" w:cs="Times New Roman"/>
        </w:rPr>
      </w:pPr>
      <w:r>
        <w:rPr>
          <w:rFonts w:ascii="Times New Roman" w:hAnsi="Times New Roman" w:cs="Times New Roman"/>
          <w:noProof/>
        </w:rPr>
        <w:lastRenderedPageBreak/>
        <w:drawing>
          <wp:inline distT="0" distB="0" distL="0" distR="0" wp14:anchorId="09FA01EB" wp14:editId="57285568">
            <wp:extent cx="5943600" cy="6400800"/>
            <wp:effectExtent l="0" t="0" r="0" b="0"/>
            <wp:docPr id="6" name="Picture 6"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6400800"/>
                    </a:xfrm>
                    <a:prstGeom prst="rect">
                      <a:avLst/>
                    </a:prstGeom>
                    <a:noFill/>
                    <a:ln>
                      <a:noFill/>
                    </a:ln>
                  </pic:spPr>
                </pic:pic>
              </a:graphicData>
            </a:graphic>
          </wp:inline>
        </w:drawing>
      </w:r>
    </w:p>
    <w:p w14:paraId="723652C5" w14:textId="77777777" w:rsidR="005A2A5F" w:rsidRDefault="005A2A5F" w:rsidP="005A2A5F">
      <w:pPr>
        <w:jc w:val="both"/>
        <w:rPr>
          <w:rFonts w:ascii="Times New Roman" w:hAnsi="Times New Roman" w:cs="Times New Roman"/>
          <w:color w:val="131413"/>
          <w:sz w:val="24"/>
          <w:szCs w:val="24"/>
        </w:rPr>
      </w:pPr>
      <w:r>
        <w:rPr>
          <w:rFonts w:ascii="Times New Roman" w:hAnsi="Times New Roman" w:cs="Times New Roman"/>
        </w:rPr>
        <w:t xml:space="preserve">Fig S2. Variance (left) and coefficient of variation (right) of annual geometric mean concentrations </w:t>
      </w:r>
      <w:r>
        <w:rPr>
          <w:rFonts w:ascii="Times New Roman" w:hAnsi="Times New Roman" w:cs="Times New Roman"/>
          <w:color w:val="131413"/>
          <w:sz w:val="24"/>
          <w:szCs w:val="24"/>
        </w:rPr>
        <w:t>for geometric mean total nitrogen (TN), dissolved inorganic nutrient (DIN), total phosphorus (TP), soluble reactive phosphorus (SRP</w:t>
      </w:r>
      <w:proofErr w:type="gramStart"/>
      <w:r>
        <w:rPr>
          <w:rFonts w:ascii="Times New Roman" w:hAnsi="Times New Roman" w:cs="Times New Roman"/>
          <w:color w:val="131413"/>
          <w:sz w:val="24"/>
          <w:szCs w:val="24"/>
        </w:rPr>
        <w:t>),chlorophyll</w:t>
      </w:r>
      <w:proofErr w:type="gramEnd"/>
      <w:r>
        <w:rPr>
          <w:rFonts w:ascii="Times New Roman" w:hAnsi="Times New Roman" w:cs="Times New Roman"/>
          <w:color w:val="131413"/>
          <w:sz w:val="24"/>
          <w:szCs w:val="24"/>
        </w:rPr>
        <w:t>-a (</w:t>
      </w:r>
      <w:proofErr w:type="spellStart"/>
      <w:r>
        <w:rPr>
          <w:rFonts w:ascii="Times New Roman" w:hAnsi="Times New Roman" w:cs="Times New Roman"/>
          <w:color w:val="131413"/>
          <w:sz w:val="24"/>
          <w:szCs w:val="24"/>
        </w:rPr>
        <w:t>Chl</w:t>
      </w:r>
      <w:proofErr w:type="spellEnd"/>
      <w:r>
        <w:rPr>
          <w:rFonts w:ascii="Times New Roman" w:hAnsi="Times New Roman" w:cs="Times New Roman"/>
          <w:color w:val="131413"/>
          <w:sz w:val="24"/>
          <w:szCs w:val="24"/>
        </w:rPr>
        <w:t>-</w:t>
      </w:r>
      <w:r w:rsidRPr="00F25543">
        <w:rPr>
          <w:rFonts w:ascii="Times New Roman" w:hAnsi="Times New Roman" w:cs="Times New Roman"/>
          <w:i/>
          <w:color w:val="131413"/>
          <w:sz w:val="24"/>
          <w:szCs w:val="24"/>
        </w:rPr>
        <w:t>a</w:t>
      </w:r>
      <w:r>
        <w:rPr>
          <w:rFonts w:ascii="Times New Roman" w:hAnsi="Times New Roman" w:cs="Times New Roman"/>
          <w:color w:val="131413"/>
          <w:sz w:val="24"/>
          <w:szCs w:val="24"/>
        </w:rPr>
        <w:t>), and total organic carbon (TOC) concentrations at individual stations across the Everglades-Florida Bay-West Florida Shelf-Keys ecosystem during the period of record</w:t>
      </w:r>
    </w:p>
    <w:p w14:paraId="29125743" w14:textId="77777777" w:rsidR="005A2A5F" w:rsidRDefault="005A2A5F" w:rsidP="005A2A5F">
      <w:pPr>
        <w:rPr>
          <w:rFonts w:ascii="Times New Roman" w:hAnsi="Times New Roman" w:cs="Times New Roman"/>
        </w:rPr>
      </w:pPr>
      <w:r>
        <w:rPr>
          <w:rFonts w:ascii="Times New Roman" w:hAnsi="Times New Roman" w:cs="Times New Roman"/>
        </w:rPr>
        <w:br w:type="page"/>
      </w:r>
    </w:p>
    <w:p w14:paraId="3FAA7D62" w14:textId="77777777" w:rsidR="005A2A5F" w:rsidRDefault="005A2A5F" w:rsidP="005A2A5F">
      <w:pPr>
        <w:jc w:val="both"/>
        <w:rPr>
          <w:rFonts w:ascii="Times New Roman" w:hAnsi="Times New Roman" w:cs="Times New Roman"/>
        </w:rPr>
      </w:pPr>
      <w:r>
        <w:rPr>
          <w:rFonts w:ascii="Times New Roman" w:hAnsi="Times New Roman" w:cs="Times New Roman"/>
          <w:noProof/>
        </w:rPr>
        <w:lastRenderedPageBreak/>
        <w:drawing>
          <wp:inline distT="0" distB="0" distL="0" distR="0" wp14:anchorId="41616A19" wp14:editId="51300976">
            <wp:extent cx="5934075" cy="3467100"/>
            <wp:effectExtent l="0" t="0" r="9525" b="0"/>
            <wp:docPr id="2" name="Picture 2"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34075" cy="3467100"/>
                    </a:xfrm>
                    <a:prstGeom prst="rect">
                      <a:avLst/>
                    </a:prstGeom>
                    <a:noFill/>
                    <a:ln>
                      <a:noFill/>
                    </a:ln>
                  </pic:spPr>
                </pic:pic>
              </a:graphicData>
            </a:graphic>
          </wp:inline>
        </w:drawing>
      </w:r>
    </w:p>
    <w:p w14:paraId="0A98DC7D" w14:textId="77777777" w:rsidR="005A2A5F" w:rsidRDefault="005A2A5F" w:rsidP="005A2A5F">
      <w:pPr>
        <w:jc w:val="both"/>
        <w:rPr>
          <w:rFonts w:ascii="Times New Roman" w:hAnsi="Times New Roman" w:cs="Times New Roman"/>
        </w:rPr>
      </w:pPr>
      <w:r>
        <w:rPr>
          <w:rFonts w:ascii="Times New Roman" w:hAnsi="Times New Roman" w:cs="Times New Roman"/>
        </w:rPr>
        <w:t xml:space="preserve">Fig S3. Total nitrogen spatial and temporal generalized additive model location and time interaction effect for all water years. </w:t>
      </w:r>
    </w:p>
    <w:p w14:paraId="254F709E" w14:textId="77777777" w:rsidR="005A2A5F" w:rsidRDefault="005A2A5F" w:rsidP="005A2A5F">
      <w:pPr>
        <w:rPr>
          <w:rFonts w:ascii="Times New Roman" w:hAnsi="Times New Roman" w:cs="Times New Roman"/>
        </w:rPr>
      </w:pPr>
      <w:r>
        <w:rPr>
          <w:rFonts w:ascii="Times New Roman" w:hAnsi="Times New Roman" w:cs="Times New Roman"/>
        </w:rPr>
        <w:br w:type="page"/>
      </w:r>
    </w:p>
    <w:p w14:paraId="73A022A1" w14:textId="77777777" w:rsidR="005A2A5F" w:rsidRDefault="005A2A5F" w:rsidP="005A2A5F">
      <w:pPr>
        <w:jc w:val="both"/>
        <w:rPr>
          <w:rFonts w:ascii="Times New Roman" w:hAnsi="Times New Roman" w:cs="Times New Roman"/>
        </w:rPr>
      </w:pPr>
      <w:r>
        <w:rPr>
          <w:rFonts w:ascii="Times New Roman" w:hAnsi="Times New Roman" w:cs="Times New Roman"/>
          <w:noProof/>
        </w:rPr>
        <w:lastRenderedPageBreak/>
        <w:drawing>
          <wp:inline distT="0" distB="0" distL="0" distR="0" wp14:anchorId="3AE7DF8A" wp14:editId="6C778BA5">
            <wp:extent cx="5934075" cy="3467100"/>
            <wp:effectExtent l="0" t="0" r="9525" b="0"/>
            <wp:docPr id="5" name="Picture 5" descr="A picture containing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polyg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075" cy="3467100"/>
                    </a:xfrm>
                    <a:prstGeom prst="rect">
                      <a:avLst/>
                    </a:prstGeom>
                    <a:noFill/>
                    <a:ln>
                      <a:noFill/>
                    </a:ln>
                  </pic:spPr>
                </pic:pic>
              </a:graphicData>
            </a:graphic>
          </wp:inline>
        </w:drawing>
      </w:r>
    </w:p>
    <w:p w14:paraId="615D7465" w14:textId="77777777" w:rsidR="005A2A5F" w:rsidRDefault="005A2A5F" w:rsidP="005A2A5F">
      <w:pPr>
        <w:jc w:val="both"/>
        <w:rPr>
          <w:rFonts w:ascii="Times New Roman" w:hAnsi="Times New Roman" w:cs="Times New Roman"/>
        </w:rPr>
      </w:pPr>
      <w:r>
        <w:rPr>
          <w:rFonts w:ascii="Times New Roman" w:hAnsi="Times New Roman" w:cs="Times New Roman"/>
        </w:rPr>
        <w:t>Fig S4. Total phosphorus spatial and temporal generalized additive model location and time interaction effect for all water years.</w:t>
      </w:r>
      <w:bookmarkEnd w:id="0"/>
    </w:p>
    <w:p w14:paraId="27E47E67" w14:textId="77777777" w:rsidR="00676E88" w:rsidRDefault="00676E88"/>
    <w:sectPr w:rsidR="00676E88" w:rsidSect="00E5232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923E2" w14:textId="77777777" w:rsidR="004C1505" w:rsidRDefault="005A2A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2388382"/>
      <w:docPartObj>
        <w:docPartGallery w:val="Page Numbers (Bottom of Page)"/>
        <w:docPartUnique/>
      </w:docPartObj>
    </w:sdtPr>
    <w:sdtEndPr>
      <w:rPr>
        <w:noProof/>
      </w:rPr>
    </w:sdtEndPr>
    <w:sdtContent>
      <w:p w14:paraId="6D14C20B" w14:textId="77777777" w:rsidR="004C1505" w:rsidRDefault="005A2A5F">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065175B" w14:textId="77777777" w:rsidR="004C1505" w:rsidRDefault="005A2A5F" w:rsidP="006D20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127FF" w14:textId="77777777" w:rsidR="004C1505" w:rsidRDefault="005A2A5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3522F7" w14:textId="77777777" w:rsidR="004C1505" w:rsidRDefault="005A2A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22C29" w14:textId="77777777" w:rsidR="004C1505" w:rsidRDefault="005A2A5F" w:rsidP="006D20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B8CB0" w14:textId="77777777" w:rsidR="004C1505" w:rsidRDefault="005A2A5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A5F"/>
    <w:rsid w:val="005A2A5F"/>
    <w:rsid w:val="00676E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87D8B"/>
  <w15:chartTrackingRefBased/>
  <w15:docId w15:val="{1AB13551-C73F-48FD-99C5-A64794EBA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2A5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A2A5F"/>
    <w:rPr>
      <w:color w:val="0563C1"/>
      <w:u w:val="single"/>
    </w:rPr>
  </w:style>
  <w:style w:type="table" w:styleId="TableGrid">
    <w:name w:val="Table Grid"/>
    <w:basedOn w:val="TableNormal"/>
    <w:uiPriority w:val="39"/>
    <w:rsid w:val="005A2A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5A2A5F"/>
  </w:style>
  <w:style w:type="paragraph" w:styleId="Header">
    <w:name w:val="header"/>
    <w:basedOn w:val="Normal"/>
    <w:link w:val="HeaderChar"/>
    <w:uiPriority w:val="99"/>
    <w:unhideWhenUsed/>
    <w:rsid w:val="005A2A5F"/>
    <w:pPr>
      <w:tabs>
        <w:tab w:val="center" w:pos="4680"/>
        <w:tab w:val="right" w:pos="9360"/>
      </w:tabs>
      <w:spacing w:after="0" w:line="240" w:lineRule="auto"/>
    </w:pPr>
  </w:style>
  <w:style w:type="character" w:customStyle="1" w:styleId="HeaderChar1">
    <w:name w:val="Header Char1"/>
    <w:basedOn w:val="DefaultParagraphFont"/>
    <w:uiPriority w:val="99"/>
    <w:semiHidden/>
    <w:rsid w:val="005A2A5F"/>
  </w:style>
  <w:style w:type="character" w:customStyle="1" w:styleId="FooterChar">
    <w:name w:val="Footer Char"/>
    <w:basedOn w:val="DefaultParagraphFont"/>
    <w:link w:val="Footer"/>
    <w:uiPriority w:val="99"/>
    <w:rsid w:val="005A2A5F"/>
  </w:style>
  <w:style w:type="paragraph" w:styleId="Footer">
    <w:name w:val="footer"/>
    <w:basedOn w:val="Normal"/>
    <w:link w:val="FooterChar"/>
    <w:uiPriority w:val="99"/>
    <w:unhideWhenUsed/>
    <w:rsid w:val="005A2A5F"/>
    <w:pPr>
      <w:tabs>
        <w:tab w:val="center" w:pos="4680"/>
        <w:tab w:val="right" w:pos="9360"/>
      </w:tabs>
      <w:spacing w:after="0" w:line="240" w:lineRule="auto"/>
    </w:pPr>
  </w:style>
  <w:style w:type="character" w:customStyle="1" w:styleId="FooterChar1">
    <w:name w:val="Footer Char1"/>
    <w:basedOn w:val="DefaultParagraphFont"/>
    <w:uiPriority w:val="99"/>
    <w:semiHidden/>
    <w:rsid w:val="005A2A5F"/>
  </w:style>
  <w:style w:type="character" w:styleId="LineNumber">
    <w:name w:val="line number"/>
    <w:basedOn w:val="DefaultParagraphFont"/>
    <w:uiPriority w:val="99"/>
    <w:semiHidden/>
    <w:unhideWhenUsed/>
    <w:rsid w:val="005A2A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oter" Target="footer1.xml"/><Relationship Id="rId5" Type="http://schemas.openxmlformats.org/officeDocument/2006/relationships/hyperlink" Target="https://psl.noaa.gov/data/timeseries/AMO/"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image" Target="media/image1.png"/><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647</Words>
  <Characters>3688</Characters>
  <Application>Microsoft Office Word</Application>
  <DocSecurity>0</DocSecurity>
  <Lines>30</Lines>
  <Paragraphs>8</Paragraphs>
  <ScaleCrop>false</ScaleCrop>
  <Company/>
  <LinksUpToDate>false</LinksUpToDate>
  <CharactersWithSpaces>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2022-06-13T18:12:00Z</dcterms:created>
  <dcterms:modified xsi:type="dcterms:W3CDTF">2022-06-13T18:12:00Z</dcterms:modified>
</cp:coreProperties>
</file>