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08EC" w:rsidRPr="00D62C70" w:rsidRDefault="00BA08EC" w:rsidP="00BA08EC">
      <w:pPr>
        <w:spacing w:line="480" w:lineRule="auto"/>
        <w:rPr>
          <w:rFonts w:ascii="Times New Roman" w:hAnsi="Times New Roman" w:cs="Times New Roman"/>
          <w:b/>
          <w:bCs/>
          <w:sz w:val="24"/>
          <w:szCs w:val="24"/>
        </w:rPr>
      </w:pPr>
      <w:bookmarkStart w:id="0" w:name="_GoBack"/>
      <w:bookmarkEnd w:id="0"/>
      <w:r>
        <w:rPr>
          <w:rFonts w:ascii="Times New Roman" w:hAnsi="Times New Roman" w:cs="Times New Roman"/>
          <w:b/>
          <w:sz w:val="24"/>
          <w:szCs w:val="24"/>
        </w:rPr>
        <w:t>Supplementary Data S1:</w:t>
      </w:r>
      <w:r w:rsidRPr="00BA08EC">
        <w:rPr>
          <w:rFonts w:ascii="Times New Roman" w:hAnsi="Times New Roman" w:cs="Times New Roman"/>
          <w:b/>
          <w:bCs/>
          <w:sz w:val="24"/>
          <w:szCs w:val="24"/>
        </w:rPr>
        <w:t xml:space="preserve"> </w:t>
      </w:r>
      <w:r>
        <w:rPr>
          <w:rFonts w:ascii="Times New Roman" w:hAnsi="Times New Roman" w:cs="Times New Roman"/>
          <w:b/>
          <w:bCs/>
          <w:sz w:val="24"/>
          <w:szCs w:val="24"/>
        </w:rPr>
        <w:t>N</w:t>
      </w:r>
      <w:r w:rsidRPr="00D62C70">
        <w:rPr>
          <w:rFonts w:ascii="Times New Roman" w:hAnsi="Times New Roman" w:cs="Times New Roman"/>
          <w:b/>
          <w:bCs/>
          <w:sz w:val="24"/>
          <w:szCs w:val="24"/>
        </w:rPr>
        <w:t xml:space="preserve">aturally </w:t>
      </w:r>
      <w:r>
        <w:rPr>
          <w:rFonts w:ascii="Times New Roman" w:hAnsi="Times New Roman" w:cs="Times New Roman"/>
          <w:b/>
          <w:bCs/>
          <w:sz w:val="24"/>
          <w:szCs w:val="24"/>
        </w:rPr>
        <w:t>recovery of</w:t>
      </w:r>
      <w:r w:rsidRPr="00D62C70">
        <w:rPr>
          <w:rFonts w:ascii="Times New Roman" w:hAnsi="Times New Roman" w:cs="Times New Roman"/>
          <w:b/>
          <w:bCs/>
          <w:sz w:val="24"/>
          <w:szCs w:val="24"/>
        </w:rPr>
        <w:t xml:space="preserve"> old crop fields in a</w:t>
      </w:r>
      <w:r>
        <w:rPr>
          <w:rFonts w:ascii="Times New Roman" w:hAnsi="Times New Roman" w:cs="Times New Roman"/>
          <w:b/>
          <w:bCs/>
          <w:sz w:val="24"/>
          <w:szCs w:val="24"/>
        </w:rPr>
        <w:t xml:space="preserve"> South African</w:t>
      </w:r>
      <w:r w:rsidRPr="00D62C70">
        <w:rPr>
          <w:rFonts w:ascii="Times New Roman" w:hAnsi="Times New Roman" w:cs="Times New Roman"/>
          <w:b/>
          <w:bCs/>
          <w:sz w:val="24"/>
          <w:szCs w:val="24"/>
        </w:rPr>
        <w:t xml:space="preserve"> Grassland biome </w:t>
      </w:r>
    </w:p>
    <w:p w:rsidR="00BA08EC" w:rsidRDefault="00BA08EC" w:rsidP="008666A2">
      <w:pPr>
        <w:spacing w:line="480" w:lineRule="auto"/>
        <w:rPr>
          <w:rFonts w:ascii="Times New Roman" w:hAnsi="Times New Roman" w:cs="Times New Roman"/>
          <w:b/>
          <w:sz w:val="24"/>
          <w:szCs w:val="24"/>
        </w:rPr>
      </w:pPr>
    </w:p>
    <w:p w:rsidR="008666A2" w:rsidRPr="008666A2" w:rsidRDefault="008666A2" w:rsidP="008666A2">
      <w:pPr>
        <w:spacing w:line="480" w:lineRule="auto"/>
        <w:rPr>
          <w:rFonts w:ascii="Times New Roman" w:hAnsi="Times New Roman" w:cs="Times New Roman"/>
          <w:b/>
          <w:sz w:val="24"/>
          <w:szCs w:val="24"/>
        </w:rPr>
      </w:pPr>
      <w:r w:rsidRPr="008666A2">
        <w:rPr>
          <w:rFonts w:ascii="Times New Roman" w:hAnsi="Times New Roman" w:cs="Times New Roman"/>
          <w:b/>
          <w:sz w:val="24"/>
          <w:szCs w:val="24"/>
        </w:rPr>
        <w:t>Detailed Methods</w:t>
      </w:r>
    </w:p>
    <w:p w:rsidR="008666A2" w:rsidRPr="00D62C70" w:rsidRDefault="008666A2" w:rsidP="008666A2">
      <w:pPr>
        <w:spacing w:line="480" w:lineRule="auto"/>
        <w:rPr>
          <w:rFonts w:ascii="Times New Roman" w:hAnsi="Times New Roman" w:cs="Times New Roman"/>
          <w:sz w:val="24"/>
          <w:szCs w:val="24"/>
          <w:highlight w:val="yellow"/>
        </w:rPr>
      </w:pPr>
      <w:r w:rsidRPr="00D62C70">
        <w:rPr>
          <w:rFonts w:ascii="Times New Roman" w:hAnsi="Times New Roman" w:cs="Times New Roman"/>
          <w:sz w:val="24"/>
          <w:szCs w:val="24"/>
        </w:rPr>
        <w:t xml:space="preserve">Soil texture was assessed by determining the sand, silt, and clay composition of each composite sample </w:t>
      </w:r>
      <w:bookmarkStart w:id="1" w:name="_Hlk129611333"/>
      <w:r w:rsidRPr="00D62C70">
        <w:rPr>
          <w:rFonts w:ascii="Times New Roman" w:hAnsi="Times New Roman" w:cs="Times New Roman"/>
          <w:sz w:val="24"/>
          <w:szCs w:val="24"/>
        </w:rPr>
        <w:t xml:space="preserve">following the Hydrometer Method </w:t>
      </w:r>
      <w:bookmarkEnd w:id="1"/>
      <w:r w:rsidRPr="00D62C70">
        <w:rPr>
          <w:rFonts w:ascii="Times New Roman" w:hAnsi="Times New Roman" w:cs="Times New Roman"/>
          <w:sz w:val="24"/>
          <w:szCs w:val="24"/>
        </w:rPr>
        <w:fldChar w:fldCharType="begin"/>
      </w:r>
      <w:r w:rsidR="00F5728B">
        <w:rPr>
          <w:rFonts w:ascii="Times New Roman" w:hAnsi="Times New Roman" w:cs="Times New Roman"/>
          <w:sz w:val="24"/>
          <w:szCs w:val="24"/>
        </w:rPr>
        <w:instrText xml:space="preserve"> ADDIN EN.CITE &lt;EndNote&gt;&lt;Cite&gt;&lt;Author&gt;Gee&lt;/Author&gt;&lt;Year&gt;1986&lt;/Year&gt;&lt;RecNum&gt;39&lt;/RecNum&gt;&lt;DisplayText&gt;(Gee &amp;amp; Bauder, 1986)&lt;/DisplayText&gt;&lt;record&gt;&lt;rec-number&gt;39&lt;/rec-number&gt;&lt;foreign-keys&gt;&lt;key app="EN" db-id="w9sfza9avxzv53e2x0352zwuvvfaseaf2pft" timestamp="1654692747"&gt;39&lt;/key&gt;&lt;/foreign-keys&gt;&lt;ref-type name="Book Section"&gt;5&lt;/ref-type&gt;&lt;contributors&gt;&lt;authors&gt;&lt;author&gt;Gee, G.W.&lt;/author&gt;&lt;author&gt;Bauder, J.W.&lt;/author&gt;&lt;/authors&gt;&lt;secondary-authors&gt;&lt;author&gt;Klute, A.&lt;/author&gt;&lt;/secondary-authors&gt;&lt;/contributors&gt;&lt;titles&gt;&lt;title&gt;Particle-size analysis&lt;/title&gt;&lt;secondary-title&gt;Methods of Soil Analysis Part 1&lt;/secondary-title&gt;&lt;/titles&gt;&lt;pages&gt;383-411&lt;/pages&gt;&lt;volume&gt; Book Series 5&lt;/volume&gt;&lt;dates&gt;&lt;year&gt;1986&lt;/year&gt;&lt;/dates&gt;&lt;pub-location&gt;Madison, Wisconsin, USA&lt;/pub-location&gt;&lt;publisher&gt; Soil Science Society of America&lt;/publisher&gt;&lt;urls&gt;&lt;/urls&gt;&lt;/record&gt;&lt;/Cite&gt;&lt;/EndNote&gt;</w:instrText>
      </w:r>
      <w:r w:rsidRPr="00D62C70">
        <w:rPr>
          <w:rFonts w:ascii="Times New Roman" w:hAnsi="Times New Roman" w:cs="Times New Roman"/>
          <w:sz w:val="24"/>
          <w:szCs w:val="24"/>
        </w:rPr>
        <w:fldChar w:fldCharType="separate"/>
      </w:r>
      <w:r w:rsidR="00F5728B">
        <w:rPr>
          <w:rFonts w:ascii="Times New Roman" w:hAnsi="Times New Roman" w:cs="Times New Roman"/>
          <w:noProof/>
          <w:sz w:val="24"/>
          <w:szCs w:val="24"/>
        </w:rPr>
        <w:t>(Gee &amp; Bauder, 1986)</w:t>
      </w:r>
      <w:r w:rsidRPr="00D62C70">
        <w:rPr>
          <w:rFonts w:ascii="Times New Roman" w:hAnsi="Times New Roman" w:cs="Times New Roman"/>
          <w:sz w:val="24"/>
          <w:szCs w:val="24"/>
        </w:rPr>
        <w:fldChar w:fldCharType="end"/>
      </w:r>
      <w:r w:rsidRPr="00D62C70">
        <w:rPr>
          <w:rFonts w:ascii="Times New Roman" w:hAnsi="Times New Roman" w:cs="Times New Roman"/>
          <w:sz w:val="24"/>
          <w:szCs w:val="24"/>
        </w:rPr>
        <w:t>. Soil pH (1:2 soil to water suspension) and TDS measurements were performed by weighing out 15 g of soil into a 50 ml falcon tube and adding 30 ml of reverse osmosis (RO) water. The mixture was thoroughly mixed, and the pH, TDS and electrical conductivity (EC) measurements were taken using a</w:t>
      </w:r>
      <w:r w:rsidR="000347B5">
        <w:rPr>
          <w:rFonts w:ascii="Times New Roman" w:hAnsi="Times New Roman" w:cs="Times New Roman"/>
          <w:sz w:val="24"/>
          <w:szCs w:val="24"/>
        </w:rPr>
        <w:t>n</w:t>
      </w:r>
      <w:r w:rsidRPr="00D62C70">
        <w:rPr>
          <w:rFonts w:ascii="Times New Roman" w:hAnsi="Times New Roman" w:cs="Times New Roman"/>
          <w:sz w:val="24"/>
          <w:szCs w:val="24"/>
        </w:rPr>
        <w:t xml:space="preserve"> </w:t>
      </w:r>
      <w:bookmarkStart w:id="2" w:name="_Hlk129611370"/>
      <w:proofErr w:type="spellStart"/>
      <w:r w:rsidRPr="00D62C70">
        <w:rPr>
          <w:rFonts w:ascii="Times New Roman" w:hAnsi="Times New Roman" w:cs="Times New Roman"/>
          <w:sz w:val="24"/>
          <w:szCs w:val="24"/>
        </w:rPr>
        <w:t>ExStik</w:t>
      </w:r>
      <w:proofErr w:type="spellEnd"/>
      <w:r w:rsidRPr="00D62C70">
        <w:rPr>
          <w:rFonts w:ascii="Times New Roman" w:hAnsi="Times New Roman" w:cs="Times New Roman"/>
          <w:sz w:val="24"/>
          <w:szCs w:val="24"/>
        </w:rPr>
        <w:t xml:space="preserve"> ® II pH/Conductivity meter (</w:t>
      </w:r>
      <w:proofErr w:type="spellStart"/>
      <w:r w:rsidRPr="00D62C70">
        <w:rPr>
          <w:rFonts w:ascii="Times New Roman" w:hAnsi="Times New Roman" w:cs="Times New Roman"/>
          <w:sz w:val="24"/>
          <w:szCs w:val="24"/>
        </w:rPr>
        <w:t>Extech</w:t>
      </w:r>
      <w:proofErr w:type="spellEnd"/>
      <w:r w:rsidRPr="00D62C70">
        <w:rPr>
          <w:rFonts w:ascii="Times New Roman" w:hAnsi="Times New Roman" w:cs="Times New Roman"/>
          <w:sz w:val="24"/>
          <w:szCs w:val="24"/>
        </w:rPr>
        <w:t xml:space="preserve"> Instruments, Waltham, MA, USA)</w:t>
      </w:r>
      <w:bookmarkEnd w:id="2"/>
      <w:r w:rsidRPr="00D62C70">
        <w:rPr>
          <w:rFonts w:ascii="Times New Roman" w:hAnsi="Times New Roman" w:cs="Times New Roman"/>
          <w:sz w:val="24"/>
          <w:szCs w:val="24"/>
        </w:rPr>
        <w:t xml:space="preserve">. </w:t>
      </w:r>
    </w:p>
    <w:p w:rsidR="008666A2" w:rsidRPr="00D62C70" w:rsidRDefault="008666A2" w:rsidP="008666A2">
      <w:pPr>
        <w:spacing w:line="480" w:lineRule="auto"/>
        <w:ind w:firstLine="720"/>
        <w:rPr>
          <w:rFonts w:ascii="Times New Roman" w:hAnsi="Times New Roman" w:cs="Times New Roman"/>
          <w:sz w:val="24"/>
          <w:szCs w:val="24"/>
        </w:rPr>
      </w:pPr>
      <w:r w:rsidRPr="00D62C70">
        <w:rPr>
          <w:rFonts w:ascii="Times New Roman" w:hAnsi="Times New Roman" w:cs="Times New Roman"/>
          <w:sz w:val="24"/>
          <w:szCs w:val="24"/>
        </w:rPr>
        <w:t>Soil density were determined by calculating the volume of each sample using the known corer diameter and depth sampled, as well as the dry weight of each sample. These samples were dried at 100 °C for 72 h to ensure total evaporation of any soil moisture. The soil bulk density (BD = g/cm</w:t>
      </w:r>
      <w:r w:rsidRPr="00D62C70">
        <w:rPr>
          <w:rFonts w:ascii="Times New Roman" w:hAnsi="Times New Roman" w:cs="Times New Roman"/>
          <w:sz w:val="24"/>
          <w:szCs w:val="24"/>
          <w:vertAlign w:val="superscript"/>
        </w:rPr>
        <w:t>3</w:t>
      </w:r>
      <w:r w:rsidRPr="00D62C70">
        <w:rPr>
          <w:rFonts w:ascii="Times New Roman" w:hAnsi="Times New Roman" w:cs="Times New Roman"/>
          <w:sz w:val="24"/>
          <w:szCs w:val="24"/>
        </w:rPr>
        <w:t>) was calculated by dividing the dry weight (g) by the sample volume (cm</w:t>
      </w:r>
      <w:r w:rsidRPr="00D62C70">
        <w:rPr>
          <w:rFonts w:ascii="Times New Roman" w:hAnsi="Times New Roman" w:cs="Times New Roman"/>
          <w:sz w:val="24"/>
          <w:szCs w:val="24"/>
          <w:vertAlign w:val="superscript"/>
        </w:rPr>
        <w:t>3</w:t>
      </w:r>
      <w:r w:rsidRPr="00D62C70">
        <w:rPr>
          <w:rFonts w:ascii="Times New Roman" w:hAnsi="Times New Roman" w:cs="Times New Roman"/>
          <w:sz w:val="24"/>
          <w:szCs w:val="24"/>
        </w:rPr>
        <w:t xml:space="preserve">; </w:t>
      </w:r>
      <w:r w:rsidRPr="00D62C70">
        <w:rPr>
          <w:rFonts w:ascii="Times New Roman" w:hAnsi="Times New Roman" w:cs="Times New Roman"/>
          <w:i/>
          <w:iCs/>
          <w:sz w:val="24"/>
          <w:szCs w:val="24"/>
        </w:rPr>
        <w:t xml:space="preserve">V </w:t>
      </w:r>
      <w:r w:rsidRPr="00D62C70">
        <w:rPr>
          <w:rFonts w:ascii="Times New Roman" w:hAnsi="Times New Roman" w:cs="Times New Roman"/>
          <w:sz w:val="24"/>
          <w:szCs w:val="24"/>
        </w:rPr>
        <w:t xml:space="preserve">= </w:t>
      </w:r>
      <w:r w:rsidRPr="00D62C70">
        <w:rPr>
          <w:rFonts w:ascii="Times New Roman" w:hAnsi="Times New Roman" w:cs="Times New Roman"/>
          <w:i/>
          <w:iCs/>
          <w:sz w:val="24"/>
          <w:szCs w:val="24"/>
        </w:rPr>
        <w:t>πr</w:t>
      </w:r>
      <w:r w:rsidRPr="00D62C70">
        <w:rPr>
          <w:rFonts w:ascii="Times New Roman" w:hAnsi="Times New Roman" w:cs="Times New Roman"/>
          <w:i/>
          <w:iCs/>
          <w:sz w:val="24"/>
          <w:szCs w:val="24"/>
          <w:vertAlign w:val="superscript"/>
        </w:rPr>
        <w:t>2</w:t>
      </w:r>
      <w:r w:rsidRPr="00D62C70">
        <w:rPr>
          <w:rFonts w:ascii="Times New Roman" w:hAnsi="Times New Roman" w:cs="Times New Roman"/>
          <w:i/>
          <w:iCs/>
          <w:sz w:val="24"/>
          <w:szCs w:val="24"/>
        </w:rPr>
        <w:t>h</w:t>
      </w:r>
      <w:r w:rsidRPr="00D62C70">
        <w:rPr>
          <w:rFonts w:ascii="Times New Roman" w:hAnsi="Times New Roman" w:cs="Times New Roman"/>
          <w:sz w:val="24"/>
          <w:szCs w:val="24"/>
        </w:rPr>
        <w:t>).</w:t>
      </w:r>
    </w:p>
    <w:p w:rsidR="008666A2" w:rsidRPr="00D62C70" w:rsidRDefault="008666A2" w:rsidP="008666A2">
      <w:pPr>
        <w:spacing w:line="480" w:lineRule="auto"/>
        <w:ind w:firstLine="720"/>
        <w:rPr>
          <w:rFonts w:ascii="Times New Roman" w:hAnsi="Times New Roman" w:cs="Times New Roman"/>
          <w:sz w:val="24"/>
          <w:szCs w:val="24"/>
        </w:rPr>
      </w:pPr>
      <w:r w:rsidRPr="00D62C70">
        <w:rPr>
          <w:rFonts w:ascii="Times New Roman" w:hAnsi="Times New Roman" w:cs="Times New Roman"/>
          <w:sz w:val="24"/>
          <w:szCs w:val="24"/>
        </w:rPr>
        <w:t xml:space="preserve">Total C and total N was measured from the sieved composite samples </w:t>
      </w:r>
      <w:bookmarkStart w:id="3" w:name="_Hlk129611458"/>
      <w:r w:rsidRPr="00D62C70">
        <w:rPr>
          <w:rFonts w:ascii="Times New Roman" w:hAnsi="Times New Roman" w:cs="Times New Roman"/>
          <w:sz w:val="24"/>
          <w:szCs w:val="24"/>
        </w:rPr>
        <w:t xml:space="preserve">by dry combustion </w:t>
      </w:r>
      <w:bookmarkEnd w:id="3"/>
      <w:r w:rsidRPr="00D62C70">
        <w:rPr>
          <w:rFonts w:ascii="Times New Roman" w:hAnsi="Times New Roman" w:cs="Times New Roman"/>
          <w:sz w:val="24"/>
          <w:szCs w:val="24"/>
        </w:rPr>
        <w:fldChar w:fldCharType="begin"/>
      </w:r>
      <w:r w:rsidR="00F5728B">
        <w:rPr>
          <w:rFonts w:ascii="Times New Roman" w:hAnsi="Times New Roman" w:cs="Times New Roman"/>
          <w:sz w:val="24"/>
          <w:szCs w:val="24"/>
        </w:rPr>
        <w:instrText xml:space="preserve"> ADDIN EN.CITE &lt;EndNote&gt;&lt;Cite&gt;&lt;Author&gt;Nelson&lt;/Author&gt;&lt;Year&gt;1983&lt;/Year&gt;&lt;RecNum&gt;40&lt;/RecNum&gt;&lt;DisplayText&gt;(Nelson &amp;amp; Sommers, 1983)&lt;/DisplayText&gt;&lt;record&gt;&lt;rec-number&gt;40&lt;/rec-number&gt;&lt;foreign-keys&gt;&lt;key app="EN" db-id="w9sfza9avxzv53e2x0352zwuvvfaseaf2pft" timestamp="1654692747"&gt;40&lt;/key&gt;&lt;/foreign-keys&gt;&lt;ref-type name="Book Section"&gt;5&lt;/ref-type&gt;&lt;contributors&gt;&lt;authors&gt;&lt;author&gt;Nelson, D.W.&lt;/author&gt;&lt;author&gt;Sommers, L.E.&lt;/author&gt;&lt;/authors&gt;&lt;secondary-authors&gt;&lt;author&gt;Page, A.&lt;/author&gt;&lt;/secondary-authors&gt;&lt;/contributors&gt;&lt;titles&gt;&lt;title&gt;Total Carbon, Organic Carbon, and Organic Matter&lt;/title&gt;&lt;secondary-title&gt;Methods of Soil Analysis&lt;/secondary-title&gt;&lt;/titles&gt;&lt;pages&gt;539-579&lt;/pages&gt;&lt;dates&gt;&lt;year&gt;1983&lt;/year&gt;&lt;/dates&gt;&lt;urls&gt;&lt;related-urls&gt;&lt;url&gt;https://acsess.onlinelibrary.wiley.com/doi/abs/10.2134/agronmonogr9.2.2ed.c29&lt;/url&gt;&lt;/related-urls&gt;&lt;/urls&gt;&lt;electronic-resource-num&gt;https://doi.org/10.2134/agronmonogr9.2.2ed.c29&lt;/electronic-resource-num&gt;&lt;/record&gt;&lt;/Cite&gt;&lt;/EndNote&gt;</w:instrText>
      </w:r>
      <w:r w:rsidRPr="00D62C70">
        <w:rPr>
          <w:rFonts w:ascii="Times New Roman" w:hAnsi="Times New Roman" w:cs="Times New Roman"/>
          <w:sz w:val="24"/>
          <w:szCs w:val="24"/>
        </w:rPr>
        <w:fldChar w:fldCharType="separate"/>
      </w:r>
      <w:r w:rsidR="00F5728B">
        <w:rPr>
          <w:rFonts w:ascii="Times New Roman" w:hAnsi="Times New Roman" w:cs="Times New Roman"/>
          <w:noProof/>
          <w:sz w:val="24"/>
          <w:szCs w:val="24"/>
        </w:rPr>
        <w:t>(Nelson &amp; Sommers, 1983)</w:t>
      </w:r>
      <w:r w:rsidRPr="00D62C70">
        <w:rPr>
          <w:rFonts w:ascii="Times New Roman" w:hAnsi="Times New Roman" w:cs="Times New Roman"/>
          <w:sz w:val="24"/>
          <w:szCs w:val="24"/>
        </w:rPr>
        <w:fldChar w:fldCharType="end"/>
      </w:r>
      <w:r w:rsidRPr="00D62C70">
        <w:rPr>
          <w:rFonts w:ascii="Times New Roman" w:hAnsi="Times New Roman" w:cs="Times New Roman"/>
          <w:sz w:val="24"/>
          <w:szCs w:val="24"/>
        </w:rPr>
        <w:t xml:space="preserve"> </w:t>
      </w:r>
      <w:bookmarkStart w:id="4" w:name="_Hlk129611656"/>
      <w:r w:rsidRPr="00D62C70">
        <w:rPr>
          <w:rFonts w:ascii="Times New Roman" w:hAnsi="Times New Roman" w:cs="Times New Roman"/>
          <w:sz w:val="24"/>
          <w:szCs w:val="24"/>
        </w:rPr>
        <w:t xml:space="preserve">using a </w:t>
      </w:r>
      <w:proofErr w:type="spellStart"/>
      <w:r w:rsidRPr="00D62C70">
        <w:rPr>
          <w:rFonts w:ascii="Times New Roman" w:hAnsi="Times New Roman" w:cs="Times New Roman"/>
          <w:sz w:val="24"/>
          <w:szCs w:val="24"/>
        </w:rPr>
        <w:t>TruSpec</w:t>
      </w:r>
      <w:proofErr w:type="spellEnd"/>
      <w:r w:rsidRPr="00D62C70">
        <w:rPr>
          <w:rFonts w:ascii="Times New Roman" w:hAnsi="Times New Roman" w:cs="Times New Roman"/>
          <w:sz w:val="24"/>
          <w:szCs w:val="24"/>
        </w:rPr>
        <w:t xml:space="preserve"> </w:t>
      </w:r>
      <w:proofErr w:type="spellStart"/>
      <w:r w:rsidRPr="00D62C70">
        <w:rPr>
          <w:rFonts w:ascii="Times New Roman" w:hAnsi="Times New Roman" w:cs="Times New Roman"/>
          <w:sz w:val="24"/>
          <w:szCs w:val="24"/>
        </w:rPr>
        <w:t>Leco</w:t>
      </w:r>
      <w:proofErr w:type="spellEnd"/>
      <w:r w:rsidRPr="00D62C70">
        <w:rPr>
          <w:rFonts w:ascii="Times New Roman" w:hAnsi="Times New Roman" w:cs="Times New Roman"/>
          <w:sz w:val="24"/>
          <w:szCs w:val="24"/>
        </w:rPr>
        <w:t xml:space="preserve"> CN </w:t>
      </w:r>
      <w:proofErr w:type="spellStart"/>
      <w:r w:rsidRPr="00D62C70">
        <w:rPr>
          <w:rFonts w:ascii="Times New Roman" w:hAnsi="Times New Roman" w:cs="Times New Roman"/>
          <w:sz w:val="24"/>
          <w:szCs w:val="24"/>
        </w:rPr>
        <w:t>analyzer</w:t>
      </w:r>
      <w:proofErr w:type="spellEnd"/>
      <w:r w:rsidRPr="00D62C70">
        <w:rPr>
          <w:rFonts w:ascii="Times New Roman" w:hAnsi="Times New Roman" w:cs="Times New Roman"/>
          <w:sz w:val="24"/>
          <w:szCs w:val="24"/>
        </w:rPr>
        <w:t xml:space="preserve"> (LECO Corp., St Joseph, MI, USA)</w:t>
      </w:r>
      <w:bookmarkEnd w:id="4"/>
      <w:r w:rsidRPr="00D62C70">
        <w:rPr>
          <w:rFonts w:ascii="Times New Roman" w:hAnsi="Times New Roman" w:cs="Times New Roman"/>
          <w:sz w:val="24"/>
          <w:szCs w:val="24"/>
        </w:rPr>
        <w:t>. The results were obtained as carbon percentage (C %) and nitrogen percentage (N %). Carbon and nitrogen stock values were calculated using the C % and N % estimates and the soil density values. The total amount of carbon and nitrogen per hectare (</w:t>
      </w:r>
      <w:proofErr w:type="spellStart"/>
      <w:r w:rsidRPr="00D62C70">
        <w:rPr>
          <w:rFonts w:ascii="Times New Roman" w:hAnsi="Times New Roman" w:cs="Times New Roman"/>
          <w:sz w:val="24"/>
          <w:szCs w:val="24"/>
        </w:rPr>
        <w:t>tC</w:t>
      </w:r>
      <w:proofErr w:type="spellEnd"/>
      <w:r w:rsidRPr="00D62C70">
        <w:rPr>
          <w:rFonts w:ascii="Times New Roman" w:hAnsi="Times New Roman" w:cs="Times New Roman"/>
          <w:sz w:val="24"/>
          <w:szCs w:val="24"/>
        </w:rPr>
        <w:t xml:space="preserve">/ha and </w:t>
      </w:r>
      <w:proofErr w:type="spellStart"/>
      <w:r w:rsidRPr="00D62C70">
        <w:rPr>
          <w:rFonts w:ascii="Times New Roman" w:hAnsi="Times New Roman" w:cs="Times New Roman"/>
          <w:sz w:val="24"/>
          <w:szCs w:val="24"/>
        </w:rPr>
        <w:t>tN</w:t>
      </w:r>
      <w:proofErr w:type="spellEnd"/>
      <w:r w:rsidRPr="00D62C70">
        <w:rPr>
          <w:rFonts w:ascii="Times New Roman" w:hAnsi="Times New Roman" w:cs="Times New Roman"/>
          <w:sz w:val="24"/>
          <w:szCs w:val="24"/>
        </w:rPr>
        <w:t xml:space="preserve">/ha) were calculated by multiplying the sampling depth, the calculated soil density and the C % and N %, respectively. </w:t>
      </w:r>
    </w:p>
    <w:p w:rsidR="008666A2" w:rsidRPr="00D62C70" w:rsidRDefault="008666A2" w:rsidP="008666A2">
      <w:pPr>
        <w:spacing w:line="480" w:lineRule="auto"/>
        <w:ind w:firstLine="720"/>
        <w:rPr>
          <w:rFonts w:ascii="Times New Roman" w:hAnsi="Times New Roman" w:cs="Times New Roman"/>
          <w:sz w:val="24"/>
          <w:szCs w:val="24"/>
        </w:rPr>
      </w:pPr>
      <w:r w:rsidRPr="00D62C70">
        <w:rPr>
          <w:rFonts w:ascii="Times New Roman" w:hAnsi="Times New Roman" w:cs="Times New Roman"/>
          <w:sz w:val="24"/>
          <w:szCs w:val="24"/>
        </w:rPr>
        <w:lastRenderedPageBreak/>
        <w:t>The soil water-holding capacity (WHC) was measured by calculating the amount of water present in a completely saturated soil sample</w:t>
      </w:r>
      <w:r w:rsidR="000347B5">
        <w:rPr>
          <w:rFonts w:ascii="Times New Roman" w:hAnsi="Times New Roman" w:cs="Times New Roman"/>
          <w:sz w:val="24"/>
          <w:szCs w:val="24"/>
        </w:rPr>
        <w:t xml:space="preserve">, following a modified version of the methods by </w:t>
      </w:r>
      <w:r w:rsidR="000347B5">
        <w:rPr>
          <w:rFonts w:ascii="Times New Roman" w:hAnsi="Times New Roman" w:cs="Times New Roman"/>
          <w:sz w:val="24"/>
          <w:szCs w:val="24"/>
        </w:rPr>
        <w:fldChar w:fldCharType="begin"/>
      </w:r>
      <w:r w:rsidR="00F5728B">
        <w:rPr>
          <w:rFonts w:ascii="Times New Roman" w:hAnsi="Times New Roman" w:cs="Times New Roman"/>
          <w:sz w:val="24"/>
          <w:szCs w:val="24"/>
        </w:rPr>
        <w:instrText xml:space="preserve"> ADDIN EN.CITE &lt;EndNote&gt;&lt;Cite AuthorYear="1"&gt;&lt;Author&gt;Jenkinson&lt;/Author&gt;&lt;Year&gt;1976&lt;/Year&gt;&lt;RecNum&gt;1860&lt;/RecNum&gt;&lt;DisplayText&gt;Jenkinson and Powlson (1976)&lt;/DisplayText&gt;&lt;record&gt;&lt;rec-number&gt;1860&lt;/rec-number&gt;&lt;foreign-keys&gt;&lt;key app="EN" db-id="v0t2tf0r0z00zketpst559fh2e2vxe5p0ewp" timestamp="1678709046"&gt;1860&lt;/key&gt;&lt;/foreign-keys&gt;&lt;ref-type name="Journal Article"&gt;17&lt;/ref-type&gt;&lt;contributors&gt;&lt;authors&gt;&lt;author&gt;Jenkinson, D.S.&lt;/author&gt;&lt;author&gt;Powlson, D.S.&lt;/author&gt;&lt;/authors&gt;&lt;/contributors&gt;&lt;titles&gt;&lt;title&gt;The effects of biocidal treatments on metabolism in soil — V: A method for measuring soil biomass&lt;/title&gt;&lt;secondary-title&gt;Soil Biology and Biochemistry&lt;/secondary-title&gt;&lt;/titles&gt;&lt;periodical&gt;&lt;full-title&gt;Soil biology and Biochemistry&lt;/full-title&gt;&lt;/periodical&gt;&lt;pages&gt;209-213&lt;/pages&gt;&lt;volume&gt;8&lt;/volume&gt;&lt;number&gt;3&lt;/number&gt;&lt;dates&gt;&lt;year&gt;1976&lt;/year&gt;&lt;/dates&gt;&lt;isbn&gt;0038-0717&lt;/isbn&gt;&lt;urls&gt;&lt;/urls&gt;&lt;/record&gt;&lt;/Cite&gt;&lt;/EndNote&gt;</w:instrText>
      </w:r>
      <w:r w:rsidR="000347B5">
        <w:rPr>
          <w:rFonts w:ascii="Times New Roman" w:hAnsi="Times New Roman" w:cs="Times New Roman"/>
          <w:sz w:val="24"/>
          <w:szCs w:val="24"/>
        </w:rPr>
        <w:fldChar w:fldCharType="separate"/>
      </w:r>
      <w:r w:rsidR="00F5728B">
        <w:rPr>
          <w:rFonts w:ascii="Times New Roman" w:hAnsi="Times New Roman" w:cs="Times New Roman"/>
          <w:noProof/>
          <w:sz w:val="24"/>
          <w:szCs w:val="24"/>
        </w:rPr>
        <w:t>Jenkinson and Powlson (1976)</w:t>
      </w:r>
      <w:r w:rsidR="000347B5">
        <w:rPr>
          <w:rFonts w:ascii="Times New Roman" w:hAnsi="Times New Roman" w:cs="Times New Roman"/>
          <w:sz w:val="24"/>
          <w:szCs w:val="24"/>
        </w:rPr>
        <w:fldChar w:fldCharType="end"/>
      </w:r>
      <w:r w:rsidR="000347B5">
        <w:rPr>
          <w:rFonts w:ascii="Times New Roman" w:hAnsi="Times New Roman" w:cs="Times New Roman"/>
          <w:sz w:val="24"/>
          <w:szCs w:val="24"/>
        </w:rPr>
        <w:t xml:space="preserve"> and </w:t>
      </w:r>
      <w:r w:rsidR="000347B5">
        <w:rPr>
          <w:rFonts w:ascii="Times New Roman" w:hAnsi="Times New Roman" w:cs="Times New Roman"/>
          <w:sz w:val="24"/>
          <w:szCs w:val="24"/>
        </w:rPr>
        <w:fldChar w:fldCharType="begin"/>
      </w:r>
      <w:r w:rsidR="000347B5">
        <w:rPr>
          <w:rFonts w:ascii="Times New Roman" w:hAnsi="Times New Roman" w:cs="Times New Roman"/>
          <w:sz w:val="24"/>
          <w:szCs w:val="24"/>
        </w:rPr>
        <w:instrText xml:space="preserve"> ADDIN EN.CITE &lt;EndNote&gt;&lt;Cite AuthorYear="1"&gt;&lt;Author&gt;Bhadha&lt;/Author&gt;&lt;Year&gt;2017&lt;/Year&gt;&lt;RecNum&gt;1859&lt;/RecNum&gt;&lt;DisplayText&gt;Bhadha et al. (2017)&lt;/DisplayText&gt;&lt;record&gt;&lt;rec-number&gt;1859&lt;/rec-number&gt;&lt;foreign-keys&gt;&lt;key app="EN" db-id="v0t2tf0r0z00zketpst559fh2e2vxe5p0ewp" timestamp="1678708922"&gt;1859&lt;/key&gt;&lt;/foreign-keys&gt;&lt;ref-type name="Journal Article"&gt;17&lt;/ref-type&gt;&lt;contributors&gt;&lt;authors&gt;&lt;author&gt;Bhadha, Jehangir H.&lt;/author&gt;&lt;author&gt;Capasso, Jay M.&lt;/author&gt;&lt;author&gt;Khatiwada, Raju&lt;/author&gt;&lt;author&gt;Swanson, Stewart&lt;/author&gt;&lt;author&gt;LaBorde, Christopher &lt;/author&gt;&lt;/authors&gt;&lt;/contributors&gt;&lt;titles&gt;&lt;title&gt;Raising soil organic matter content to improve water holding capacity&lt;/title&gt;&lt;/titles&gt;&lt;number&gt;SL447&lt;/number&gt;&lt;dates&gt;&lt;year&gt;2017&lt;/year&gt;&lt;/dates&gt;&lt;publisher&gt;Gainesville: University of Florida Institute of Food and Agricultural Sciences&lt;/publisher&gt;&lt;urls&gt;&lt;related-urls&gt;&lt;url&gt;http://edis.ifas.ufl.edu&lt;/url&gt;&lt;/related-urls&gt;&lt;/urls&gt;&lt;electronic-resource-num&gt;https://doi.org/10.32473/edis-ss661-2017&lt;/electronic-resource-num&gt;&lt;/record&gt;&lt;/Cite&gt;&lt;/EndNote&gt;</w:instrText>
      </w:r>
      <w:r w:rsidR="000347B5">
        <w:rPr>
          <w:rFonts w:ascii="Times New Roman" w:hAnsi="Times New Roman" w:cs="Times New Roman"/>
          <w:sz w:val="24"/>
          <w:szCs w:val="24"/>
        </w:rPr>
        <w:fldChar w:fldCharType="separate"/>
      </w:r>
      <w:r w:rsidR="000347B5">
        <w:rPr>
          <w:rFonts w:ascii="Times New Roman" w:hAnsi="Times New Roman" w:cs="Times New Roman"/>
          <w:noProof/>
          <w:sz w:val="24"/>
          <w:szCs w:val="24"/>
        </w:rPr>
        <w:t>Bhadha et al. (2017)</w:t>
      </w:r>
      <w:r w:rsidR="000347B5">
        <w:rPr>
          <w:rFonts w:ascii="Times New Roman" w:hAnsi="Times New Roman" w:cs="Times New Roman"/>
          <w:sz w:val="24"/>
          <w:szCs w:val="24"/>
        </w:rPr>
        <w:fldChar w:fldCharType="end"/>
      </w:r>
      <w:r w:rsidRPr="00D62C70">
        <w:rPr>
          <w:rFonts w:ascii="Times New Roman" w:hAnsi="Times New Roman" w:cs="Times New Roman"/>
          <w:sz w:val="24"/>
          <w:szCs w:val="24"/>
        </w:rPr>
        <w:t>. First, a Whatman® qualitative filter paper (Grade 113; 30 µm; ø 125 mm) was saturated in reverse osmosis (RO) water, weighed, and then folded and placed in a clean funnel. The funnel was then placed in a collection container to catch the water filtrate. Twenty grams of dried soil was added to the filter, with 25 ml RO water carefully added to the soil. The funnel was covered with foil to reduce evaporation, with five small holes punched into the foil to facilitate drainage. The soil was then allowed to drain for 30 min at room temperature. The saturated soil sample was then weighed with its filter. The weight of the filter and the initial soil weight was subtracted to calculate the amount of water. The value for the amount of water was divided by the initial soil weight and multiplied by 100 to calculate the water holding capacity.</w:t>
      </w:r>
    </w:p>
    <w:p w:rsidR="008666A2" w:rsidRDefault="008666A2">
      <w:r w:rsidRPr="000347B5">
        <w:rPr>
          <w:b/>
        </w:rPr>
        <w:t>References</w:t>
      </w:r>
    </w:p>
    <w:p w:rsidR="00F5728B" w:rsidRPr="00F5728B" w:rsidRDefault="008666A2" w:rsidP="00F5728B">
      <w:pPr>
        <w:pStyle w:val="EndNoteBibliography"/>
        <w:spacing w:after="0"/>
        <w:ind w:left="720" w:hanging="720"/>
      </w:pPr>
      <w:r>
        <w:fldChar w:fldCharType="begin"/>
      </w:r>
      <w:r>
        <w:instrText xml:space="preserve"> ADDIN EN.REFLIST </w:instrText>
      </w:r>
      <w:r>
        <w:fldChar w:fldCharType="separate"/>
      </w:r>
      <w:r w:rsidR="00F5728B" w:rsidRPr="00F5728B">
        <w:t xml:space="preserve">Bhadha, J. H., Capasso, J. M., Khatiwada, R., Swanson, S., &amp; LaBorde, C. (2017). Raising soil organic matter content to improve water holding capacity. (SL447). </w:t>
      </w:r>
      <w:hyperlink r:id="rId4" w:history="1">
        <w:r w:rsidR="00F5728B" w:rsidRPr="00F5728B">
          <w:rPr>
            <w:rStyle w:val="Hyperlink"/>
          </w:rPr>
          <w:t>https://doi.org/https://doi.org/10.32473/edis-ss661-2017</w:t>
        </w:r>
      </w:hyperlink>
      <w:r w:rsidR="00F5728B" w:rsidRPr="00F5728B">
        <w:t xml:space="preserve"> </w:t>
      </w:r>
    </w:p>
    <w:p w:rsidR="00F5728B" w:rsidRPr="00F5728B" w:rsidRDefault="00F5728B" w:rsidP="00F5728B">
      <w:pPr>
        <w:pStyle w:val="EndNoteBibliography"/>
        <w:spacing w:after="0"/>
        <w:ind w:left="720" w:hanging="720"/>
      </w:pPr>
      <w:r w:rsidRPr="00F5728B">
        <w:t xml:space="preserve">Gee, G. W., &amp; Bauder, J. W. (1986). Particle-size analysis. In A. Klute (Ed.), </w:t>
      </w:r>
      <w:r w:rsidRPr="00F5728B">
        <w:rPr>
          <w:i/>
        </w:rPr>
        <w:t>Methods of Soil Analysis Part 1</w:t>
      </w:r>
      <w:r w:rsidRPr="00F5728B">
        <w:t xml:space="preserve"> (Vol. Book Series 5, pp. 383-411). Soil Science Society of America. </w:t>
      </w:r>
    </w:p>
    <w:p w:rsidR="00F5728B" w:rsidRPr="00F5728B" w:rsidRDefault="00F5728B" w:rsidP="00F5728B">
      <w:pPr>
        <w:pStyle w:val="EndNoteBibliography"/>
        <w:spacing w:after="0"/>
        <w:ind w:left="720" w:hanging="720"/>
      </w:pPr>
      <w:r w:rsidRPr="00F5728B">
        <w:t xml:space="preserve">Jenkinson, D. S., &amp; Powlson, D. S. (1976). The effects of biocidal treatments on metabolism in soil — V: A method for measuring soil biomass. </w:t>
      </w:r>
      <w:r w:rsidRPr="00F5728B">
        <w:rPr>
          <w:i/>
        </w:rPr>
        <w:t>Soil biology and Biochemistry</w:t>
      </w:r>
      <w:r w:rsidRPr="00F5728B">
        <w:t>,</w:t>
      </w:r>
      <w:r w:rsidRPr="00F5728B">
        <w:rPr>
          <w:i/>
        </w:rPr>
        <w:t xml:space="preserve"> 8</w:t>
      </w:r>
      <w:r w:rsidRPr="00F5728B">
        <w:t xml:space="preserve">(3), 209-213. </w:t>
      </w:r>
    </w:p>
    <w:p w:rsidR="00F5728B" w:rsidRPr="00F5728B" w:rsidRDefault="00F5728B" w:rsidP="00F5728B">
      <w:pPr>
        <w:pStyle w:val="EndNoteBibliography"/>
        <w:ind w:left="720" w:hanging="720"/>
      </w:pPr>
      <w:r w:rsidRPr="00F5728B">
        <w:t xml:space="preserve">Nelson, D. W., &amp; Sommers, L. E. (1983). Total Carbon, Organic Carbon, and Organic Matter. In A. Page (Ed.), </w:t>
      </w:r>
      <w:r w:rsidRPr="00F5728B">
        <w:rPr>
          <w:i/>
        </w:rPr>
        <w:t>Methods of Soil Analysis</w:t>
      </w:r>
      <w:r w:rsidRPr="00F5728B">
        <w:t xml:space="preserve"> (pp. 539-579). </w:t>
      </w:r>
      <w:hyperlink r:id="rId5" w:history="1">
        <w:r w:rsidRPr="00F5728B">
          <w:rPr>
            <w:rStyle w:val="Hyperlink"/>
          </w:rPr>
          <w:t>https://doi.org/https://doi.org/10.2134/agronmonogr9.2.2ed.c29</w:t>
        </w:r>
      </w:hyperlink>
      <w:r w:rsidRPr="00F5728B">
        <w:t xml:space="preserve"> </w:t>
      </w:r>
    </w:p>
    <w:p w:rsidR="008666A2" w:rsidRDefault="008666A2">
      <w:r>
        <w:fldChar w:fldCharType="end"/>
      </w:r>
    </w:p>
    <w:sectPr w:rsidR="008666A2" w:rsidSect="00D62A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0t2tf0r0z00zketpst559fh2e2vxe5p0ewp&quot;&gt;2022-07-01 Riel EndNote Library-Saved&lt;record-ids&gt;&lt;item&gt;1859&lt;/item&gt;&lt;item&gt;1860&lt;/item&gt;&lt;/record-ids&gt;&lt;/item&gt;&lt;/Libraries&gt;"/>
  </w:docVars>
  <w:rsids>
    <w:rsidRoot w:val="008666A2"/>
    <w:rsid w:val="000347B5"/>
    <w:rsid w:val="002A622E"/>
    <w:rsid w:val="008666A2"/>
    <w:rsid w:val="00BA08EC"/>
    <w:rsid w:val="00CD25A6"/>
    <w:rsid w:val="00D62AED"/>
    <w:rsid w:val="00F2009D"/>
    <w:rsid w:val="00F572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D72C91-451D-4721-9341-E1675C92A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66A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8666A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666A2"/>
    <w:rPr>
      <w:rFonts w:ascii="Calibri" w:hAnsi="Calibri" w:cs="Calibri"/>
      <w:noProof/>
      <w:lang w:val="en-US"/>
    </w:rPr>
  </w:style>
  <w:style w:type="paragraph" w:customStyle="1" w:styleId="EndNoteBibliography">
    <w:name w:val="EndNote Bibliography"/>
    <w:basedOn w:val="Normal"/>
    <w:link w:val="EndNoteBibliographyChar"/>
    <w:rsid w:val="008666A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8666A2"/>
    <w:rPr>
      <w:rFonts w:ascii="Calibri" w:hAnsi="Calibri" w:cs="Calibri"/>
      <w:noProof/>
      <w:lang w:val="en-US"/>
    </w:rPr>
  </w:style>
  <w:style w:type="character" w:styleId="Hyperlink">
    <w:name w:val="Hyperlink"/>
    <w:basedOn w:val="DefaultParagraphFont"/>
    <w:uiPriority w:val="99"/>
    <w:unhideWhenUsed/>
    <w:rsid w:val="000347B5"/>
    <w:rPr>
      <w:color w:val="0563C1" w:themeColor="hyperlink"/>
      <w:u w:val="single"/>
    </w:rPr>
  </w:style>
  <w:style w:type="character" w:styleId="UnresolvedMention">
    <w:name w:val="Unresolved Mention"/>
    <w:basedOn w:val="DefaultParagraphFont"/>
    <w:uiPriority w:val="99"/>
    <w:semiHidden/>
    <w:unhideWhenUsed/>
    <w:rsid w:val="000347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i.org/https://doi.org/10.2134/agronmonogr9.2.2ed.c29" TargetMode="External"/><Relationship Id="rId4" Type="http://schemas.openxmlformats.org/officeDocument/2006/relationships/hyperlink" Target="https://doi.org/https://doi.org/10.32473/edis-ss661-20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1102</Words>
  <Characters>6283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Fort Hare</Company>
  <LinksUpToDate>false</LinksUpToDate>
  <CharactersWithSpaces>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Riël Coetzer</dc:creator>
  <cp:keywords/>
  <dc:description/>
  <cp:lastModifiedBy>Riël Coetzer </cp:lastModifiedBy>
  <cp:revision>2</cp:revision>
  <dcterms:created xsi:type="dcterms:W3CDTF">2023-04-04T11:49:00Z</dcterms:created>
  <dcterms:modified xsi:type="dcterms:W3CDTF">2023-04-04T11:49:00Z</dcterms:modified>
</cp:coreProperties>
</file>