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38049" w14:textId="0D79A8E9" w:rsidR="001312F5" w:rsidRDefault="006640AF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6640AF"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S1</w:t>
      </w:r>
    </w:p>
    <w:p w14:paraId="7B460892" w14:textId="42A2E0D2" w:rsidR="006640AF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  <w:szCs w:val="24"/>
        </w:rPr>
        <w:drawing>
          <wp:inline distT="0" distB="0" distL="0" distR="0" wp14:anchorId="4102ECB5" wp14:editId="094F4F53">
            <wp:extent cx="5270500" cy="21717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25DBC" w14:textId="1C6E8F71" w:rsidR="006640AF" w:rsidRDefault="006640AF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881A20A" w14:textId="0032381F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19FB29D" w14:textId="0693F11B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4953FEB" w14:textId="1CC21388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C74174E" w14:textId="6CAEEF70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E248F4E" w14:textId="2B9A614E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C93A921" w14:textId="27CC2EE2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F2F4A0C" w14:textId="2BB38336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0BD6910" w14:textId="1D74585E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36EC18D" w14:textId="1B0408EE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4D7499D" w14:textId="77777777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</w:pPr>
    </w:p>
    <w:p w14:paraId="7C4BAA77" w14:textId="7DD7982E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2F60DC7" w14:textId="447B68E1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D73548E" w14:textId="5C7FBD1A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B866F67" w14:textId="5F6C9DE7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4F29ECD" w14:textId="4AC3104A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854BD5A" w14:textId="25F0F0B3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74ED60D" w14:textId="16766E17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86A3921" w14:textId="7E1E797B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227635C" w14:textId="6C1BAE0A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CF0ABF1" w14:textId="38013590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1709647" w14:textId="7741E7C6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66589CC" w14:textId="70641C1E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B978FE7" w14:textId="10786511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5C9EFF9" w14:textId="522FB386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B06EAF5" w14:textId="2370733A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C0130B8" w14:textId="44B6C29C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254A441" w14:textId="742E1353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6A83C75" w14:textId="1F241E29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7A5D393" w14:textId="77777777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</w:pPr>
    </w:p>
    <w:p w14:paraId="572D120E" w14:textId="771A74E8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D03CF9B" w14:textId="77777777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F90F979" w14:textId="7D979E92" w:rsidR="006640AF" w:rsidRDefault="006640AF" w:rsidP="006640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6640AF"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S2</w:t>
      </w:r>
    </w:p>
    <w:p w14:paraId="12263A23" w14:textId="646C5987" w:rsidR="006640AF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  <w:szCs w:val="24"/>
        </w:rPr>
        <w:drawing>
          <wp:inline distT="0" distB="0" distL="0" distR="0" wp14:anchorId="4AC2D939" wp14:editId="598BD4B7">
            <wp:extent cx="5270500" cy="197485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F2E68" w14:textId="7A640C97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B4401A0" w14:textId="6316B38D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8F3226D" w14:textId="227CB99E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5E9AC5B" w14:textId="1085DD41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A85B0F2" w14:textId="75E225CD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FD12D45" w14:textId="16C29D64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31CB967" w14:textId="40018779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5B70BBF" w14:textId="2A4A493F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EE8CBD3" w14:textId="43E06AF8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37475C0" w14:textId="75D60F6D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01AD025" w14:textId="0FAFE58C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A05F7FC" w14:textId="02076D5F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1FB7B6C" w14:textId="57BADAFE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6701D50" w14:textId="06215424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7A5A6E5" w14:textId="39007369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1586347" w14:textId="16E5765C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BFA598C" w14:textId="4E4A3D8E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128476E" w14:textId="51490E71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ABBE9D3" w14:textId="16064F9F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B2945EE" w14:textId="496C73A8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09DD6B6" w14:textId="77777777" w:rsidR="00484D49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</w:pPr>
    </w:p>
    <w:p w14:paraId="20028C0F" w14:textId="1CC3E123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1A0AC58" w14:textId="2C008163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A708F81" w14:textId="3B3E07DA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5C014AE" w14:textId="44E632EC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E3C6E29" w14:textId="7F5B0058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1292DEC" w14:textId="03D39D9D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8525292" w14:textId="39369045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D4969C0" w14:textId="046ADDEB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2D03AE5" w14:textId="59701159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B5658FA" w14:textId="7AA039E5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FDA068A" w14:textId="77777777" w:rsidR="00AB4BF8" w:rsidRDefault="00AB4BF8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FAB81F0" w14:textId="3FB28F96" w:rsidR="006640AF" w:rsidRDefault="006640AF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6640AF">
        <w:rPr>
          <w:rFonts w:ascii="Times New Roman" w:hAnsi="Times New Roman" w:cs="Times New Roman" w:hint="eastAsia"/>
          <w:b/>
          <w:color w:val="0D0D0D" w:themeColor="text1" w:themeTint="F2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S3</w:t>
      </w:r>
    </w:p>
    <w:p w14:paraId="21024947" w14:textId="1CF7A236" w:rsidR="006640AF" w:rsidRDefault="00484D49" w:rsidP="0066627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  <w:szCs w:val="24"/>
        </w:rPr>
        <w:drawing>
          <wp:inline distT="0" distB="0" distL="0" distR="0" wp14:anchorId="7638ED79" wp14:editId="14C321E2">
            <wp:extent cx="5270500" cy="53975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39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6D6E7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FDA92FD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0F952B1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6893A9E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AB92D8C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1F12D67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16371A5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C8B65AD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296E6CE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38416CB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6B67E0B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E3453E0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C26350B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95B94C2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6BA203D" w14:textId="77777777" w:rsidR="00AB4BF8" w:rsidRDefault="00AB4BF8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C73A070" w14:textId="2966C5AC" w:rsidR="00CA068F" w:rsidRPr="00CA068F" w:rsidRDefault="00CA068F" w:rsidP="00CA06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CA068F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lastRenderedPageBreak/>
        <w:t>Figure Legends</w:t>
      </w:r>
    </w:p>
    <w:p w14:paraId="17BD1911" w14:textId="77777777" w:rsidR="009536E6" w:rsidRDefault="009536E6" w:rsidP="009536E6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7D1469">
        <w:rPr>
          <w:rFonts w:ascii="Times New Roman" w:hAnsi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S1</w:t>
      </w:r>
      <w:r w:rsidRPr="007D1469">
        <w:rPr>
          <w:rFonts w:ascii="Times New Roman" w:hAnsi="Times New Roman"/>
          <w:b/>
          <w:color w:val="000000" w:themeColor="text1"/>
          <w:sz w:val="24"/>
          <w:szCs w:val="24"/>
        </w:rPr>
        <w:t>：</w:t>
      </w:r>
      <w:r w:rsidRPr="00A470FF">
        <w:rPr>
          <w:rFonts w:ascii="Times New Roman" w:hAnsi="Times New Roman"/>
          <w:b/>
          <w:color w:val="000000" w:themeColor="text1"/>
          <w:sz w:val="24"/>
          <w:szCs w:val="24"/>
        </w:rPr>
        <w:t>Efficiency of transfection with small interference</w:t>
      </w:r>
    </w:p>
    <w:p w14:paraId="4C77509B" w14:textId="7B524CEF" w:rsidR="009536E6" w:rsidRPr="00A470FF" w:rsidRDefault="009536E6" w:rsidP="009536E6">
      <w:pPr>
        <w:pStyle w:val="p0"/>
        <w:spacing w:line="480" w:lineRule="auto"/>
        <w:rPr>
          <w:bCs/>
          <w:color w:val="0D0D0D" w:themeColor="text1" w:themeTint="F2"/>
          <w:kern w:val="2"/>
          <w:sz w:val="24"/>
          <w:szCs w:val="24"/>
        </w:rPr>
      </w:pPr>
      <w:r w:rsidRPr="00F65A6C">
        <w:rPr>
          <w:b/>
          <w:color w:val="0D0D0D" w:themeColor="text1" w:themeTint="F2"/>
          <w:sz w:val="24"/>
          <w:szCs w:val="24"/>
        </w:rPr>
        <w:t>a-</w:t>
      </w:r>
      <w:r>
        <w:rPr>
          <w:b/>
          <w:color w:val="0D0D0D" w:themeColor="text1" w:themeTint="F2"/>
          <w:sz w:val="24"/>
          <w:szCs w:val="24"/>
        </w:rPr>
        <w:t xml:space="preserve">c </w:t>
      </w:r>
      <w:r>
        <w:rPr>
          <w:bCs/>
          <w:color w:val="0D0D0D" w:themeColor="text1" w:themeTint="F2"/>
          <w:sz w:val="24"/>
          <w:szCs w:val="24"/>
        </w:rPr>
        <w:t>MDA-MB-231 and HCC-1806</w:t>
      </w:r>
      <w:r w:rsidRPr="00E866BB">
        <w:rPr>
          <w:bCs/>
          <w:color w:val="0D0D0D" w:themeColor="text1" w:themeTint="F2"/>
          <w:sz w:val="24"/>
          <w:szCs w:val="24"/>
        </w:rPr>
        <w:t xml:space="preserve"> cell</w:t>
      </w:r>
      <w:r>
        <w:rPr>
          <w:bCs/>
          <w:color w:val="0D0D0D" w:themeColor="text1" w:themeTint="F2"/>
          <w:sz w:val="24"/>
          <w:szCs w:val="24"/>
        </w:rPr>
        <w:t xml:space="preserve"> lines using specific small interfering RNAs (siTET1, siTET2, siTET3) and</w:t>
      </w:r>
      <w:r w:rsidR="00956F21">
        <w:rPr>
          <w:bCs/>
          <w:color w:val="0D0D0D" w:themeColor="text1" w:themeTint="F2"/>
          <w:sz w:val="24"/>
          <w:szCs w:val="24"/>
        </w:rPr>
        <w:t xml:space="preserve"> </w:t>
      </w:r>
      <w:proofErr w:type="spellStart"/>
      <w:r w:rsidRPr="00A470FF">
        <w:rPr>
          <w:bCs/>
          <w:color w:val="0D0D0D" w:themeColor="text1" w:themeTint="F2"/>
          <w:kern w:val="2"/>
          <w:sz w:val="24"/>
          <w:szCs w:val="24"/>
        </w:rPr>
        <w:t>qRT</w:t>
      </w:r>
      <w:proofErr w:type="spellEnd"/>
      <w:r w:rsidRPr="00A470FF">
        <w:rPr>
          <w:bCs/>
          <w:color w:val="0D0D0D" w:themeColor="text1" w:themeTint="F2"/>
          <w:kern w:val="2"/>
          <w:sz w:val="24"/>
          <w:szCs w:val="24"/>
        </w:rPr>
        <w:t>-PCR were applied to verify transfection efficiency.</w:t>
      </w:r>
      <w:r w:rsidR="00956F21" w:rsidRPr="00956F21">
        <w:rPr>
          <w:bCs/>
          <w:color w:val="0D0D0D" w:themeColor="text1" w:themeTint="F2"/>
          <w:kern w:val="2"/>
          <w:sz w:val="24"/>
          <w:szCs w:val="24"/>
        </w:rPr>
        <w:t xml:space="preserve"> Data were shown as mean ± S</w:t>
      </w:r>
      <w:r w:rsidR="005A113B">
        <w:rPr>
          <w:bCs/>
          <w:color w:val="0D0D0D" w:themeColor="text1" w:themeTint="F2"/>
          <w:kern w:val="2"/>
          <w:sz w:val="24"/>
          <w:szCs w:val="24"/>
        </w:rPr>
        <w:t>EM</w:t>
      </w:r>
      <w:r w:rsidR="00956F21" w:rsidRPr="00956F21">
        <w:rPr>
          <w:bCs/>
          <w:color w:val="0D0D0D" w:themeColor="text1" w:themeTint="F2"/>
          <w:kern w:val="2"/>
          <w:sz w:val="24"/>
          <w:szCs w:val="24"/>
        </w:rPr>
        <w:t>, *p &lt;0.05</w:t>
      </w:r>
      <w:r w:rsidR="00956F21">
        <w:rPr>
          <w:bCs/>
          <w:color w:val="0D0D0D" w:themeColor="text1" w:themeTint="F2"/>
          <w:kern w:val="2"/>
          <w:sz w:val="24"/>
          <w:szCs w:val="24"/>
        </w:rPr>
        <w:t>.</w:t>
      </w:r>
    </w:p>
    <w:p w14:paraId="185C2353" w14:textId="77777777" w:rsidR="009536E6" w:rsidRPr="00A470FF" w:rsidRDefault="009536E6" w:rsidP="009536E6">
      <w:pPr>
        <w:spacing w:line="48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  <w:r w:rsidRPr="00A470FF">
        <w:rPr>
          <w:rFonts w:ascii="Times New Roman" w:hAnsi="Times New Roman"/>
          <w:b/>
          <w:color w:val="0D0D0D" w:themeColor="text1" w:themeTint="F2"/>
          <w:sz w:val="24"/>
          <w:szCs w:val="24"/>
        </w:rPr>
        <w:t>Figure S2</w:t>
      </w:r>
      <w:r w:rsidRPr="00A470FF">
        <w:rPr>
          <w:rFonts w:ascii="Times New Roman" w:hAnsi="Times New Roman"/>
          <w:b/>
          <w:color w:val="0D0D0D" w:themeColor="text1" w:themeTint="F2"/>
          <w:sz w:val="24"/>
          <w:szCs w:val="24"/>
        </w:rPr>
        <w:t>：</w:t>
      </w:r>
      <w:r w:rsidRPr="00A470FF">
        <w:rPr>
          <w:rFonts w:ascii="Times New Roman" w:hAnsi="Times New Roman"/>
          <w:b/>
          <w:color w:val="0D0D0D" w:themeColor="text1" w:themeTint="F2"/>
          <w:sz w:val="24"/>
          <w:szCs w:val="24"/>
        </w:rPr>
        <w:t>Edu assays after knockdown of IGF2BP3</w:t>
      </w:r>
    </w:p>
    <w:p w14:paraId="21C3F8E7" w14:textId="5DFEA773" w:rsidR="009536E6" w:rsidRPr="00A470FF" w:rsidRDefault="009536E6" w:rsidP="009536E6">
      <w:pPr>
        <w:spacing w:line="480" w:lineRule="auto"/>
        <w:rPr>
          <w:rFonts w:ascii="Times New Roman" w:hAnsi="Times New Roman"/>
          <w:bCs/>
          <w:color w:val="0D0D0D" w:themeColor="text1" w:themeTint="F2"/>
          <w:sz w:val="24"/>
          <w:szCs w:val="24"/>
        </w:rPr>
      </w:pPr>
      <w:r w:rsidRPr="00A470FF">
        <w:rPr>
          <w:rFonts w:ascii="Times New Roman" w:hAnsi="Times New Roman"/>
          <w:b/>
          <w:color w:val="0D0D0D" w:themeColor="text1" w:themeTint="F2"/>
          <w:sz w:val="24"/>
          <w:szCs w:val="24"/>
        </w:rPr>
        <w:t>a-b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w:proofErr w:type="gramStart"/>
      <w:r w:rsidRPr="00A470FF">
        <w:rPr>
          <w:rFonts w:ascii="Times New Roman" w:hAnsi="Times New Roman"/>
          <w:bCs/>
          <w:color w:val="0D0D0D" w:themeColor="text1" w:themeTint="F2"/>
          <w:sz w:val="24"/>
          <w:szCs w:val="24"/>
        </w:rPr>
        <w:t>The</w:t>
      </w:r>
      <w:proofErr w:type="gramEnd"/>
      <w:r w:rsidRPr="00A470FF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proliferation ability after knockdown of IGF2BP3 was evaluated by Edu assays in MDA-MB-231 and HCC-1806 cell lines</w:t>
      </w:r>
      <w:r w:rsidR="00956F21">
        <w:rPr>
          <w:rFonts w:ascii="Times New Roman" w:hAnsi="Times New Roman"/>
          <w:bCs/>
          <w:color w:val="0D0D0D" w:themeColor="text1" w:themeTint="F2"/>
          <w:sz w:val="24"/>
          <w:szCs w:val="24"/>
        </w:rPr>
        <w:t>.</w:t>
      </w:r>
    </w:p>
    <w:p w14:paraId="76306FE9" w14:textId="77777777" w:rsidR="009536E6" w:rsidRPr="0024600A" w:rsidRDefault="009536E6" w:rsidP="009536E6">
      <w:pPr>
        <w:spacing w:line="48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  <w:bookmarkStart w:id="0" w:name="OLE_LINK48"/>
      <w:r>
        <w:rPr>
          <w:rFonts w:ascii="Times New Roman" w:hAnsi="Times New Roman"/>
          <w:b/>
          <w:sz w:val="24"/>
          <w:szCs w:val="24"/>
        </w:rPr>
        <w:t xml:space="preserve">Figure S3: </w:t>
      </w:r>
      <w:bookmarkEnd w:id="0"/>
      <w:r w:rsidRPr="00E810CC"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Overexpression of IGF2BP3 promoted proliferation and inhibited the apoptosis of TNBC in </w:t>
      </w:r>
      <w:r w:rsidRPr="00E810CC">
        <w:rPr>
          <w:rFonts w:ascii="Times New Roman" w:hAnsi="Times New Roman"/>
          <w:b/>
          <w:i/>
          <w:iCs/>
          <w:color w:val="0D0D0D" w:themeColor="text1" w:themeTint="F2"/>
          <w:sz w:val="24"/>
          <w:szCs w:val="24"/>
        </w:rPr>
        <w:t>vitro</w:t>
      </w:r>
    </w:p>
    <w:p w14:paraId="3B422E1D" w14:textId="1F2FBDEC" w:rsidR="009536E6" w:rsidRDefault="009536E6" w:rsidP="009536E6">
      <w:pPr>
        <w:spacing w:line="480" w:lineRule="auto"/>
        <w:rPr>
          <w:rFonts w:ascii="Times New Roman" w:hAnsi="Times New Roman"/>
          <w:bCs/>
          <w:color w:val="0D0D0D" w:themeColor="text1" w:themeTint="F2"/>
          <w:sz w:val="24"/>
          <w:szCs w:val="24"/>
        </w:rPr>
      </w:pPr>
      <w:r w:rsidRPr="00F65A6C">
        <w:rPr>
          <w:rFonts w:ascii="Times New Roman" w:hAnsi="Times New Roman"/>
          <w:b/>
          <w:color w:val="0D0D0D" w:themeColor="text1" w:themeTint="F2"/>
          <w:sz w:val="24"/>
          <w:szCs w:val="24"/>
        </w:rPr>
        <w:t>a-b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w:r w:rsidRPr="006D418D">
        <w:rPr>
          <w:rFonts w:ascii="Times New Roman" w:hAnsi="Times New Roman"/>
          <w:bCs/>
          <w:color w:val="0D0D0D" w:themeColor="text1" w:themeTint="F2"/>
          <w:sz w:val="24"/>
          <w:szCs w:val="24"/>
        </w:rPr>
        <w:t>MDA-MB-231 and HCC-1806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cell lines were transfected with lentivirus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>(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IGF2BP3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) to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overexpress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IGF2BP3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expression. </w:t>
      </w:r>
      <w:proofErr w:type="spellStart"/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>qRT</w:t>
      </w:r>
      <w:proofErr w:type="spellEnd"/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>-PCR</w:t>
      </w:r>
      <w:r w:rsidRPr="006615C8"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(a) 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>and Western blot</w:t>
      </w:r>
      <w:r w:rsidRPr="006615C8"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(b) 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>were applied to verify transfection efficiency.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r w:rsidRPr="0054086B">
        <w:rPr>
          <w:rFonts w:ascii="Times New Roman" w:hAnsi="Times New Roman"/>
          <w:b/>
          <w:color w:val="0D0D0D" w:themeColor="text1" w:themeTint="F2"/>
          <w:sz w:val="24"/>
          <w:szCs w:val="24"/>
        </w:rPr>
        <w:t>c-d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w:proofErr w:type="gramStart"/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>The</w:t>
      </w:r>
      <w:proofErr w:type="gramEnd"/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proliferation ability after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overexpressing IGF2BP3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was evaluated by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CCK8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assay 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in </w:t>
      </w:r>
      <w:r w:rsidRPr="006D418D">
        <w:rPr>
          <w:rFonts w:ascii="Times New Roman" w:hAnsi="Times New Roman"/>
          <w:bCs/>
          <w:color w:val="0D0D0D" w:themeColor="text1" w:themeTint="F2"/>
          <w:sz w:val="24"/>
          <w:szCs w:val="24"/>
        </w:rPr>
        <w:t>MDA-MB-231 and HCC-1806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cell lines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. </w:t>
      </w:r>
      <w:r w:rsidRPr="0054086B">
        <w:rPr>
          <w:rFonts w:ascii="Times New Roman" w:hAnsi="Times New Roman"/>
          <w:b/>
          <w:color w:val="0D0D0D" w:themeColor="text1" w:themeTint="F2"/>
          <w:sz w:val="24"/>
          <w:szCs w:val="24"/>
        </w:rPr>
        <w:t>e-f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w:proofErr w:type="gramStart"/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>The</w:t>
      </w:r>
      <w:proofErr w:type="gramEnd"/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proliferation ability after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overexpressing IGF2BP3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was evaluated by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a </w:t>
      </w:r>
      <w:r>
        <w:rPr>
          <w:rFonts w:ascii="Times New Roman" w:hAnsi="Times New Roman" w:hint="eastAsia"/>
          <w:bCs/>
          <w:color w:val="0D0D0D" w:themeColor="text1" w:themeTint="F2"/>
          <w:sz w:val="24"/>
          <w:szCs w:val="24"/>
        </w:rPr>
        <w:t>c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>olony formation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assay 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in </w:t>
      </w:r>
      <w:r w:rsidRPr="006D418D">
        <w:rPr>
          <w:rFonts w:ascii="Times New Roman" w:hAnsi="Times New Roman"/>
          <w:bCs/>
          <w:color w:val="0D0D0D" w:themeColor="text1" w:themeTint="F2"/>
          <w:sz w:val="24"/>
          <w:szCs w:val="24"/>
        </w:rPr>
        <w:t>MDA-MB-231 and HCC-1806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cell lines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>.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>g</w:t>
      </w:r>
      <w:r w:rsidRPr="0054086B">
        <w:rPr>
          <w:rFonts w:ascii="Times New Roman" w:hAnsi="Times New Roman"/>
          <w:b/>
          <w:color w:val="0D0D0D" w:themeColor="text1" w:themeTint="F2"/>
          <w:sz w:val="24"/>
          <w:szCs w:val="24"/>
        </w:rPr>
        <w:t>-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>h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The</w:t>
      </w:r>
      <w:proofErr w:type="gramEnd"/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proliferation ability after overexpressing IGF2BP3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was evaluated 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by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Edu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assays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in </w:t>
      </w:r>
      <w:r w:rsidRPr="006D418D">
        <w:rPr>
          <w:rFonts w:ascii="Times New Roman" w:hAnsi="Times New Roman"/>
          <w:bCs/>
          <w:color w:val="0D0D0D" w:themeColor="text1" w:themeTint="F2"/>
          <w:sz w:val="24"/>
          <w:szCs w:val="24"/>
        </w:rPr>
        <w:t>MDA-MB-231 and HCC-1806</w:t>
      </w:r>
      <w:r w:rsidRPr="00483460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cell lines</w:t>
      </w:r>
      <w:r w:rsidRPr="0054086B">
        <w:rPr>
          <w:rFonts w:ascii="Times New Roman" w:hAnsi="Times New Roman"/>
          <w:bCs/>
          <w:color w:val="0D0D0D" w:themeColor="text1" w:themeTint="F2"/>
          <w:sz w:val="24"/>
          <w:szCs w:val="24"/>
        </w:rPr>
        <w:t>.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</w:t>
      </w:r>
      <w:proofErr w:type="spellStart"/>
      <w:r w:rsidRPr="009E4962">
        <w:rPr>
          <w:rFonts w:ascii="Times New Roman" w:hAnsi="Times New Roman"/>
          <w:b/>
          <w:color w:val="0D0D0D" w:themeColor="text1" w:themeTint="F2"/>
          <w:sz w:val="24"/>
          <w:szCs w:val="24"/>
        </w:rPr>
        <w:t>i</w:t>
      </w:r>
      <w:proofErr w:type="spellEnd"/>
      <w:r w:rsidRPr="009E4962">
        <w:rPr>
          <w:rFonts w:ascii="Times New Roman" w:hAnsi="Times New Roman"/>
          <w:b/>
          <w:color w:val="0D0D0D" w:themeColor="text1" w:themeTint="F2"/>
          <w:sz w:val="24"/>
          <w:szCs w:val="24"/>
        </w:rPr>
        <w:t>-j</w: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Flow cytometry assay and western blot assay were used to confirm the apoptosis analysis induced by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overexpression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 of 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IGF2BP3</w:t>
      </w:r>
      <w:r w:rsidRPr="00400109">
        <w:rPr>
          <w:rFonts w:ascii="Times New Roman" w:hAnsi="Times New Roman"/>
          <w:bCs/>
          <w:color w:val="0D0D0D" w:themeColor="text1" w:themeTint="F2"/>
          <w:sz w:val="24"/>
          <w:szCs w:val="24"/>
        </w:rPr>
        <w:t>.</w:t>
      </w:r>
      <w:r w:rsidR="00956F21" w:rsidRPr="00956F21">
        <w:t xml:space="preserve"> </w:t>
      </w:r>
      <w:r w:rsidR="00956F21" w:rsidRPr="00956F21">
        <w:rPr>
          <w:rFonts w:ascii="Times New Roman" w:hAnsi="Times New Roman"/>
          <w:bCs/>
          <w:color w:val="0D0D0D" w:themeColor="text1" w:themeTint="F2"/>
          <w:sz w:val="24"/>
          <w:szCs w:val="24"/>
        </w:rPr>
        <w:t>Data were shown as mean ± S</w:t>
      </w:r>
      <w:r w:rsidR="005A113B">
        <w:rPr>
          <w:rFonts w:ascii="Times New Roman" w:hAnsi="Times New Roman"/>
          <w:bCs/>
          <w:color w:val="0D0D0D" w:themeColor="text1" w:themeTint="F2"/>
          <w:sz w:val="24"/>
          <w:szCs w:val="24"/>
        </w:rPr>
        <w:t>EM</w:t>
      </w:r>
      <w:r w:rsidR="00956F21" w:rsidRPr="00956F21">
        <w:rPr>
          <w:rFonts w:ascii="Times New Roman" w:hAnsi="Times New Roman"/>
          <w:bCs/>
          <w:color w:val="0D0D0D" w:themeColor="text1" w:themeTint="F2"/>
          <w:sz w:val="24"/>
          <w:szCs w:val="24"/>
        </w:rPr>
        <w:t>, *p &lt;0.05.</w:t>
      </w:r>
    </w:p>
    <w:p w14:paraId="7D9BD8AC" w14:textId="155C79E6" w:rsidR="006640AF" w:rsidRPr="009536E6" w:rsidRDefault="006640AF" w:rsidP="009536E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sectPr w:rsidR="006640AF" w:rsidRPr="00953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186DE" w14:textId="77777777" w:rsidR="005D1379" w:rsidRDefault="005D1379" w:rsidP="00956F21">
      <w:r>
        <w:separator/>
      </w:r>
    </w:p>
  </w:endnote>
  <w:endnote w:type="continuationSeparator" w:id="0">
    <w:p w14:paraId="76444DCF" w14:textId="77777777" w:rsidR="005D1379" w:rsidRDefault="005D1379" w:rsidP="00956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C3708" w14:textId="77777777" w:rsidR="005D1379" w:rsidRDefault="005D1379" w:rsidP="00956F21">
      <w:r>
        <w:separator/>
      </w:r>
    </w:p>
  </w:footnote>
  <w:footnote w:type="continuationSeparator" w:id="0">
    <w:p w14:paraId="0C5A087A" w14:textId="77777777" w:rsidR="005D1379" w:rsidRDefault="005D1379" w:rsidP="00956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54"/>
    <w:rsid w:val="001312F5"/>
    <w:rsid w:val="00261660"/>
    <w:rsid w:val="00484D49"/>
    <w:rsid w:val="004D5D54"/>
    <w:rsid w:val="005A113B"/>
    <w:rsid w:val="005D1379"/>
    <w:rsid w:val="0066317A"/>
    <w:rsid w:val="006640AF"/>
    <w:rsid w:val="00666271"/>
    <w:rsid w:val="006D74C5"/>
    <w:rsid w:val="009536E6"/>
    <w:rsid w:val="00956640"/>
    <w:rsid w:val="00956F21"/>
    <w:rsid w:val="009E7478"/>
    <w:rsid w:val="00A8121D"/>
    <w:rsid w:val="00AB4BF8"/>
    <w:rsid w:val="00CA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23D03"/>
  <w15:chartTrackingRefBased/>
  <w15:docId w15:val="{F6D8C384-F431-4911-ABB2-771279B5F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2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66627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66271"/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666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9536E6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956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6F2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6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6F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5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旭</dc:creator>
  <cp:keywords/>
  <dc:description/>
  <cp:lastModifiedBy>张 旭</cp:lastModifiedBy>
  <cp:revision>13</cp:revision>
  <dcterms:created xsi:type="dcterms:W3CDTF">2022-04-16T03:59:00Z</dcterms:created>
  <dcterms:modified xsi:type="dcterms:W3CDTF">2022-06-13T03:56:00Z</dcterms:modified>
</cp:coreProperties>
</file>