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D29DD" w14:textId="4FAE340C" w:rsidR="00BE259D" w:rsidRPr="00FE378C" w:rsidRDefault="00FE378C">
      <w:pPr>
        <w:rPr>
          <w:rFonts w:ascii="Times New Roman" w:hAnsi="Times New Roman" w:cs="Times New Roman"/>
          <w:b/>
          <w:bCs/>
        </w:rPr>
      </w:pPr>
      <w:r w:rsidRPr="00FE378C">
        <w:rPr>
          <w:rFonts w:ascii="Times New Roman" w:hAnsi="Times New Roman" w:cs="Times New Roman"/>
          <w:b/>
          <w:bCs/>
        </w:rPr>
        <w:t>Supplementary information 1</w:t>
      </w:r>
    </w:p>
    <w:p w14:paraId="566033FB" w14:textId="77777777" w:rsidR="00CD2017" w:rsidRDefault="00CD2017">
      <w:pPr>
        <w:rPr>
          <w:rFonts w:ascii="Times New Roman" w:hAnsi="Times New Roman" w:cs="Times New Roman"/>
          <w:b/>
          <w:bCs/>
        </w:rPr>
      </w:pPr>
    </w:p>
    <w:p w14:paraId="690F80AE" w14:textId="5C2A1B25" w:rsidR="00FE378C" w:rsidRPr="00FE378C" w:rsidRDefault="00FE378C">
      <w:pPr>
        <w:rPr>
          <w:rFonts w:ascii="Times New Roman" w:hAnsi="Times New Roman" w:cs="Times New Roman"/>
          <w:b/>
          <w:bCs/>
        </w:rPr>
      </w:pPr>
      <w:r w:rsidRPr="00FE378C">
        <w:rPr>
          <w:rFonts w:ascii="Times New Roman" w:hAnsi="Times New Roman" w:cs="Times New Roman"/>
          <w:b/>
          <w:bCs/>
        </w:rPr>
        <w:t>Corals</w:t>
      </w:r>
    </w:p>
    <w:p w14:paraId="09A25808" w14:textId="384093D8" w:rsidR="00FE378C" w:rsidRDefault="00FE378C">
      <w:pPr>
        <w:rPr>
          <w:rFonts w:asciiTheme="majorBidi" w:hAnsiTheme="majorBidi" w:cstheme="majorBidi"/>
        </w:rPr>
      </w:pPr>
      <w:r w:rsidRPr="003A5B86">
        <w:rPr>
          <w:rFonts w:asciiTheme="majorBidi" w:hAnsiTheme="majorBidi" w:cstheme="majorBidi"/>
        </w:rPr>
        <w:t xml:space="preserve">In this study, we examined effect of thermal stress on four different life stages of corals;  adults (Exp 1), fecundity and eggs (Exp 2), larval settlement (Exp 3), and early recruits (Exp 4). In Exp 1, six colonies of the </w:t>
      </w:r>
      <w:r w:rsidRPr="003A5B86">
        <w:rPr>
          <w:rFonts w:asciiTheme="majorBidi" w:hAnsiTheme="majorBidi" w:cstheme="majorBidi"/>
          <w:i/>
          <w:iCs/>
        </w:rPr>
        <w:t>Acropora tenuis</w:t>
      </w:r>
      <w:r w:rsidRPr="003A5B86">
        <w:rPr>
          <w:rFonts w:asciiTheme="majorBidi" w:hAnsiTheme="majorBidi" w:cstheme="majorBidi"/>
        </w:rPr>
        <w:t xml:space="preserve"> were collected from five to seven m depth in the south of </w:t>
      </w:r>
      <w:proofErr w:type="spellStart"/>
      <w:r w:rsidRPr="003A5B86">
        <w:rPr>
          <w:rFonts w:asciiTheme="majorBidi" w:hAnsiTheme="majorBidi" w:cstheme="majorBidi"/>
        </w:rPr>
        <w:t>Sesoko</w:t>
      </w:r>
      <w:proofErr w:type="spellEnd"/>
      <w:r w:rsidRPr="003A5B86">
        <w:rPr>
          <w:rFonts w:asciiTheme="majorBidi" w:hAnsiTheme="majorBidi" w:cstheme="majorBidi"/>
        </w:rPr>
        <w:t xml:space="preserve"> Island (26 ⁰ 38’ N, 127⁰ 52’ E), and were transferred to the </w:t>
      </w:r>
      <w:proofErr w:type="spellStart"/>
      <w:r w:rsidRPr="003A5B86">
        <w:rPr>
          <w:rFonts w:asciiTheme="majorBidi" w:hAnsiTheme="majorBidi" w:cstheme="majorBidi"/>
        </w:rPr>
        <w:t>Sesoko</w:t>
      </w:r>
      <w:proofErr w:type="spellEnd"/>
      <w:r w:rsidRPr="003A5B86">
        <w:rPr>
          <w:rFonts w:asciiTheme="majorBidi" w:hAnsiTheme="majorBidi" w:cstheme="majorBidi"/>
        </w:rPr>
        <w:t xml:space="preserve"> Station, Tropical Biosphere Research Center of the University of the Ryukyus in Japan in August 2018. All colonies were sectioned into two fragments and tagged (normal and stress treatments). All fragments were maintained in an outdoor tank for ten days in flow-through seawater under natural solar irradiation prior to starting the experiment (acclimation period). After acclimation, each group of the fragments was randomly placed in the three replicate tanks equipped with a flow-through system (Control Fragments=CF). The stress treatment group was exposed to thermal stress (Stress Fragments=SF) for ten days. During this experimental period, the temperature was ~28 °C on average, which corresponds to the average summer temperature at the shallow seawater (temperature-controlled by a chiller). Also, ~31°C thermal stress was considered which was equivalent to 20 °C</w:t>
      </w:r>
      <w:r w:rsidRPr="003A5B86" w:rsidDel="00F11463">
        <w:rPr>
          <w:rFonts w:asciiTheme="majorBidi" w:hAnsiTheme="majorBidi" w:cstheme="majorBidi"/>
        </w:rPr>
        <w:t xml:space="preserve"> </w:t>
      </w:r>
      <w:r w:rsidRPr="003A5B86">
        <w:rPr>
          <w:rFonts w:asciiTheme="majorBidi" w:hAnsiTheme="majorBidi" w:cstheme="majorBidi"/>
        </w:rPr>
        <w:t xml:space="preserve">heating days (DHD; </w:t>
      </w:r>
      <w:r w:rsidRPr="003A5B86">
        <w:rPr>
          <w:rFonts w:ascii="Courier New" w:hAnsi="Courier New" w:cs="Courier New"/>
        </w:rPr>
        <w:t>﻿</w:t>
      </w:r>
      <w:r w:rsidRPr="003A5B86">
        <w:rPr>
          <w:rFonts w:asciiTheme="majorBidi" w:hAnsiTheme="majorBidi" w:cstheme="majorBidi"/>
        </w:rPr>
        <w:t xml:space="preserve"> Maynard et al. 2008), (2 ºC above the average maximum monthly temperature for ten days) and was known for causing thermal stress and bleaching. In the stress experiment, the temperature incrementally increased from 28 °C to ~31°C (using a heater in each tank) over 1.5 days (0.5 °C per 6 h).  We kept 31 °C until the fragments started to show a visual bleaching response.</w:t>
      </w:r>
    </w:p>
    <w:p w14:paraId="2074A9CD" w14:textId="36A2D944" w:rsidR="00FE378C" w:rsidRDefault="00FE378C">
      <w:pPr>
        <w:rPr>
          <w:rFonts w:asciiTheme="majorBidi" w:hAnsiTheme="majorBidi" w:cstheme="majorBidi"/>
        </w:rPr>
      </w:pPr>
    </w:p>
    <w:p w14:paraId="2075DD99" w14:textId="6CB24528" w:rsidR="00FE378C" w:rsidRPr="00FE378C" w:rsidRDefault="00FE378C">
      <w:pPr>
        <w:rPr>
          <w:rFonts w:asciiTheme="majorBidi" w:hAnsiTheme="majorBidi" w:cstheme="majorBidi"/>
          <w:b/>
          <w:bCs/>
        </w:rPr>
      </w:pPr>
      <w:r w:rsidRPr="00FE378C">
        <w:rPr>
          <w:rFonts w:asciiTheme="majorBidi" w:hAnsiTheme="majorBidi" w:cstheme="majorBidi"/>
          <w:b/>
          <w:bCs/>
        </w:rPr>
        <w:t>Adjustment of temperature</w:t>
      </w:r>
    </w:p>
    <w:p w14:paraId="24F8EEDB" w14:textId="3DD82A40" w:rsidR="00FE378C" w:rsidRDefault="00FE378C">
      <w:pPr>
        <w:rPr>
          <w:rFonts w:asciiTheme="majorBidi" w:hAnsiTheme="majorBidi" w:cstheme="majorBidi"/>
        </w:rPr>
      </w:pPr>
      <w:r w:rsidRPr="003A5B86">
        <w:rPr>
          <w:rFonts w:asciiTheme="majorBidi" w:hAnsiTheme="majorBidi" w:cstheme="majorBidi"/>
        </w:rPr>
        <w:t xml:space="preserve">The water temperature conditions were recorded every ten min using a temperature logger (HOBO Water Temp Pro v2, Onset). The water flow was supplied using two water pumps at the opposite corners in order to ensure the water’s mixture within each tank. The fragments were maintained under 12-h light (160 </w:t>
      </w:r>
      <w:r w:rsidRPr="003A5B86">
        <w:rPr>
          <w:rFonts w:ascii="Courier New" w:hAnsi="Courier New" w:cs="Courier New"/>
        </w:rPr>
        <w:t>﻿</w:t>
      </w:r>
      <w:r w:rsidRPr="003A5B86">
        <w:rPr>
          <w:rFonts w:asciiTheme="majorBidi" w:hAnsiTheme="majorBidi" w:cstheme="majorBidi"/>
        </w:rPr>
        <w:t>µmol quanta m</w:t>
      </w:r>
      <w:r w:rsidRPr="003A5B86">
        <w:rPr>
          <w:rFonts w:asciiTheme="majorBidi" w:hAnsiTheme="majorBidi" w:cstheme="majorBidi"/>
          <w:vertAlign w:val="superscript"/>
        </w:rPr>
        <w:t>–2</w:t>
      </w:r>
      <w:r w:rsidRPr="003A5B86">
        <w:rPr>
          <w:rFonts w:asciiTheme="majorBidi" w:hAnsiTheme="majorBidi" w:cstheme="majorBidi"/>
        </w:rPr>
        <w:t xml:space="preserve"> s</w:t>
      </w:r>
      <w:r w:rsidRPr="003A5B86">
        <w:rPr>
          <w:rFonts w:asciiTheme="majorBidi" w:hAnsiTheme="majorBidi" w:cstheme="majorBidi"/>
          <w:vertAlign w:val="superscript"/>
        </w:rPr>
        <w:t>–1</w:t>
      </w:r>
      <w:r w:rsidRPr="003A5B86">
        <w:rPr>
          <w:rFonts w:asciiTheme="majorBidi" w:hAnsiTheme="majorBidi" w:cstheme="majorBidi"/>
        </w:rPr>
        <w:t>):12-h dark conditions during the experiment. The fragments were daily photographed to monitor coral color, and the maximum quantum yields of the photosystem II (</w:t>
      </w:r>
      <w:proofErr w:type="spellStart"/>
      <w:r w:rsidRPr="003A5B86">
        <w:rPr>
          <w:rFonts w:asciiTheme="majorBidi" w:hAnsiTheme="majorBidi" w:cstheme="majorBidi"/>
          <w:i/>
          <w:iCs/>
        </w:rPr>
        <w:t>Fv</w:t>
      </w:r>
      <w:proofErr w:type="spellEnd"/>
      <w:r w:rsidRPr="003A5B86">
        <w:rPr>
          <w:rFonts w:asciiTheme="majorBidi" w:hAnsiTheme="majorBidi" w:cstheme="majorBidi"/>
          <w:i/>
          <w:iCs/>
        </w:rPr>
        <w:t>/Fm</w:t>
      </w:r>
      <w:r w:rsidRPr="003A5B86">
        <w:rPr>
          <w:rFonts w:asciiTheme="majorBidi" w:hAnsiTheme="majorBidi" w:cstheme="majorBidi"/>
        </w:rPr>
        <w:t xml:space="preserve">) in each fragment during the experiment. Furthermore, physiological parameters, including symbiotic algal density and chlorophyll were measured before and after the experiment (described below). All fragments were transplanted back to the reef until the next year’s </w:t>
      </w:r>
      <w:r w:rsidRPr="003A5B86">
        <w:rPr>
          <w:rFonts w:asciiTheme="majorBidi" w:hAnsiTheme="majorBidi" w:cstheme="majorBidi"/>
        </w:rPr>
        <w:lastRenderedPageBreak/>
        <w:t>spawning time.</w:t>
      </w:r>
    </w:p>
    <w:p w14:paraId="14C9AC8F" w14:textId="27E3499E" w:rsidR="00FE378C" w:rsidRPr="00FE378C" w:rsidRDefault="00FE378C" w:rsidP="00FE378C">
      <w:pPr>
        <w:rPr>
          <w:rFonts w:ascii="Times New Roman" w:hAnsi="Times New Roman" w:cs="Times New Roman"/>
          <w:b/>
          <w:bCs/>
          <w:color w:val="0E101A"/>
        </w:rPr>
      </w:pPr>
      <w:r w:rsidRPr="00FE378C">
        <w:rPr>
          <w:rFonts w:ascii="Calibri" w:hAnsi="Calibri" w:cs="Calibri"/>
          <w:i/>
          <w:iCs/>
          <w:color w:val="0E101A"/>
        </w:rPr>
        <w:t>﻿</w:t>
      </w:r>
      <w:r w:rsidRPr="00FE378C">
        <w:rPr>
          <w:rFonts w:ascii="Times New Roman" w:hAnsi="Times New Roman" w:cs="Times New Roman"/>
          <w:b/>
          <w:bCs/>
          <w:color w:val="0E101A"/>
        </w:rPr>
        <w:t>The maximum photosynthetic quantum yield (</w:t>
      </w:r>
      <w:proofErr w:type="spellStart"/>
      <w:r w:rsidRPr="00FE378C">
        <w:rPr>
          <w:rFonts w:ascii="Times New Roman" w:hAnsi="Times New Roman" w:cs="Times New Roman"/>
          <w:b/>
          <w:bCs/>
          <w:color w:val="0E101A"/>
        </w:rPr>
        <w:t>Fv</w:t>
      </w:r>
      <w:proofErr w:type="spellEnd"/>
      <w:r w:rsidRPr="00FE378C">
        <w:rPr>
          <w:rFonts w:ascii="Times New Roman" w:hAnsi="Times New Roman" w:cs="Times New Roman"/>
          <w:b/>
          <w:bCs/>
          <w:color w:val="0E101A"/>
        </w:rPr>
        <w:t>/Fm)</w:t>
      </w:r>
    </w:p>
    <w:p w14:paraId="17ED9436" w14:textId="77777777" w:rsidR="00FE378C" w:rsidRPr="003A5B86" w:rsidRDefault="00FE378C" w:rsidP="00FE378C">
      <w:pPr>
        <w:ind w:firstLine="720"/>
        <w:rPr>
          <w:rFonts w:asciiTheme="majorBidi" w:hAnsiTheme="majorBidi" w:cstheme="majorBidi"/>
        </w:rPr>
      </w:pPr>
      <w:r w:rsidRPr="003A5B86">
        <w:rPr>
          <w:rFonts w:asciiTheme="majorBidi" w:hAnsiTheme="majorBidi" w:cstheme="majorBidi"/>
        </w:rPr>
        <w:t>The maximum quantum efficiency of the Photosystem II (</w:t>
      </w:r>
      <w:proofErr w:type="spellStart"/>
      <w:r w:rsidRPr="003A5B86">
        <w:rPr>
          <w:rFonts w:asciiTheme="majorBidi" w:hAnsiTheme="majorBidi" w:cstheme="majorBidi"/>
          <w:i/>
          <w:iCs/>
        </w:rPr>
        <w:t>Fv</w:t>
      </w:r>
      <w:proofErr w:type="spellEnd"/>
      <w:r w:rsidRPr="003A5B86">
        <w:rPr>
          <w:rFonts w:asciiTheme="majorBidi" w:hAnsiTheme="majorBidi" w:cstheme="majorBidi"/>
          <w:i/>
          <w:iCs/>
        </w:rPr>
        <w:t>/Fm</w:t>
      </w:r>
      <w:r w:rsidRPr="003A5B86">
        <w:rPr>
          <w:rFonts w:asciiTheme="majorBidi" w:hAnsiTheme="majorBidi" w:cstheme="majorBidi"/>
        </w:rPr>
        <w:t xml:space="preserve">) was measured, one hour after the sunset flowing 60 min in the dark-adapted state at three locations of the fragments throughout the experiment, and using diving pulse amplitude modulated (PAM) underwater fluorometer (Walz, </w:t>
      </w:r>
      <w:proofErr w:type="spellStart"/>
      <w:r w:rsidRPr="003A5B86">
        <w:rPr>
          <w:rFonts w:asciiTheme="majorBidi" w:hAnsiTheme="majorBidi" w:cstheme="majorBidi"/>
        </w:rPr>
        <w:t>Effeltrich</w:t>
      </w:r>
      <w:proofErr w:type="spellEnd"/>
      <w:r w:rsidRPr="003A5B86">
        <w:rPr>
          <w:rFonts w:asciiTheme="majorBidi" w:hAnsiTheme="majorBidi" w:cstheme="majorBidi"/>
        </w:rPr>
        <w:t>, Germany). The measurements were repeated every day until the signs of bleaching were revealed approximately ten days after the thermal stress.</w:t>
      </w:r>
    </w:p>
    <w:p w14:paraId="105BA02E" w14:textId="77777777" w:rsidR="00FE378C" w:rsidRPr="003A5B86" w:rsidRDefault="00FE378C" w:rsidP="00FE378C">
      <w:pPr>
        <w:ind w:firstLine="720"/>
        <w:rPr>
          <w:rFonts w:asciiTheme="majorBidi" w:hAnsiTheme="majorBidi" w:cstheme="majorBidi"/>
        </w:rPr>
      </w:pPr>
    </w:p>
    <w:p w14:paraId="3081354D" w14:textId="7CD5B5B4" w:rsidR="00FE378C" w:rsidRPr="00FE378C" w:rsidRDefault="00FE378C" w:rsidP="00FE378C">
      <w:pPr>
        <w:rPr>
          <w:rFonts w:ascii="Times New Roman" w:hAnsi="Times New Roman" w:cs="Times New Roman"/>
          <w:color w:val="0E101A"/>
        </w:rPr>
      </w:pPr>
      <w:r w:rsidRPr="00FE378C">
        <w:rPr>
          <w:rFonts w:ascii="Times New Roman" w:hAnsi="Times New Roman" w:cs="Times New Roman"/>
          <w:b/>
          <w:bCs/>
          <w:color w:val="0E101A"/>
        </w:rPr>
        <w:t>Coral color measurements</w:t>
      </w:r>
    </w:p>
    <w:p w14:paraId="1498A4E5" w14:textId="558BF0F6" w:rsidR="00FE378C" w:rsidRPr="003A5B86" w:rsidRDefault="00FE378C" w:rsidP="00FE378C">
      <w:pPr>
        <w:ind w:firstLine="720"/>
        <w:rPr>
          <w:rFonts w:asciiTheme="majorBidi" w:hAnsiTheme="majorBidi" w:cstheme="majorBidi"/>
        </w:rPr>
      </w:pPr>
      <w:r w:rsidRPr="003A5B86">
        <w:rPr>
          <w:rFonts w:asciiTheme="majorBidi" w:hAnsiTheme="majorBidi" w:cstheme="majorBidi"/>
        </w:rPr>
        <w:t xml:space="preserve">The fragments of each treatment were photographed using a Canon </w:t>
      </w:r>
      <w:proofErr w:type="spellStart"/>
      <w:r w:rsidRPr="003A5B86">
        <w:rPr>
          <w:rFonts w:asciiTheme="majorBidi" w:hAnsiTheme="majorBidi" w:cstheme="majorBidi"/>
        </w:rPr>
        <w:t>Powershot</w:t>
      </w:r>
      <w:proofErr w:type="spellEnd"/>
      <w:r w:rsidRPr="003A5B86">
        <w:rPr>
          <w:rFonts w:asciiTheme="majorBidi" w:hAnsiTheme="majorBidi" w:cstheme="majorBidi"/>
        </w:rPr>
        <w:t xml:space="preserve"> G10 digital camera with the constant white balance and under identical illumination and Coral Health Chart (www. coralwatch.org) for monitoring coral health and color. Coral Health Chart was used to indicate the degree of health, paling, or bleaching as a reliable proxy for estimation of the changes in symbiont density and chlorophyll a content. The D hue was applied for </w:t>
      </w:r>
      <w:r w:rsidRPr="003A5B86">
        <w:rPr>
          <w:rFonts w:asciiTheme="majorBidi" w:hAnsiTheme="majorBidi" w:cstheme="majorBidi"/>
          <w:i/>
          <w:iCs/>
        </w:rPr>
        <w:t>A. tenuis</w:t>
      </w:r>
      <w:r w:rsidRPr="003A5B86">
        <w:rPr>
          <w:rFonts w:asciiTheme="majorBidi" w:hAnsiTheme="majorBidi" w:cstheme="majorBidi"/>
        </w:rPr>
        <w:t xml:space="preserve">, which consisted of six different colored areas (D1, D2, D3, D4, D5, D6); which, D1 (white) shows the lightest and D6 (brown) displays the unbleached color. Specific details of this parameter have been described  in </w:t>
      </w:r>
      <w:proofErr w:type="spellStart"/>
      <w:r w:rsidRPr="003A5B86">
        <w:rPr>
          <w:rFonts w:asciiTheme="majorBidi" w:hAnsiTheme="majorBidi" w:cstheme="majorBidi"/>
        </w:rPr>
        <w:t>Siebeck</w:t>
      </w:r>
      <w:proofErr w:type="spellEnd"/>
      <w:r w:rsidRPr="003A5B86">
        <w:rPr>
          <w:rFonts w:asciiTheme="majorBidi" w:hAnsiTheme="majorBidi" w:cstheme="majorBidi"/>
        </w:rPr>
        <w:t xml:space="preserve"> et al.  (2006). The images of the three-part of the fragment, were analyzed by Adobe Photoshop CC 2015. </w:t>
      </w:r>
    </w:p>
    <w:p w14:paraId="3EFAA4CE" w14:textId="77777777" w:rsidR="00FE378C" w:rsidRPr="00FE378C" w:rsidRDefault="00FE378C" w:rsidP="00FE378C"/>
    <w:p w14:paraId="5270AC6C" w14:textId="74A800E7" w:rsidR="00FE378C" w:rsidRPr="00FE378C" w:rsidRDefault="00FE378C" w:rsidP="00FE378C">
      <w:pPr>
        <w:rPr>
          <w:rFonts w:ascii="Times New Roman" w:hAnsi="Times New Roman" w:cs="Times New Roman"/>
          <w:b/>
          <w:bCs/>
          <w:color w:val="0E101A"/>
        </w:rPr>
      </w:pPr>
      <w:r w:rsidRPr="00FE378C">
        <w:rPr>
          <w:rFonts w:ascii="Times New Roman" w:hAnsi="Times New Roman" w:cs="Times New Roman"/>
          <w:b/>
          <w:bCs/>
          <w:color w:val="0E101A"/>
        </w:rPr>
        <w:t>Determination of symbiotic algal density and chlorophyll a and c</w:t>
      </w:r>
      <w:r w:rsidRPr="00FE378C">
        <w:rPr>
          <w:rFonts w:ascii="Times New Roman" w:hAnsi="Times New Roman" w:cs="Times New Roman"/>
          <w:b/>
          <w:bCs/>
          <w:color w:val="0E101A"/>
          <w:vertAlign w:val="subscript"/>
        </w:rPr>
        <w:t>2</w:t>
      </w:r>
    </w:p>
    <w:p w14:paraId="47938FCA" w14:textId="77777777" w:rsidR="00FE378C" w:rsidRPr="003A5B86" w:rsidRDefault="00FE378C" w:rsidP="00FE378C">
      <w:pPr>
        <w:ind w:firstLine="720"/>
        <w:rPr>
          <w:rFonts w:asciiTheme="majorBidi" w:hAnsiTheme="majorBidi" w:cstheme="majorBidi"/>
        </w:rPr>
      </w:pPr>
      <w:r w:rsidRPr="003A5B86">
        <w:rPr>
          <w:rFonts w:asciiTheme="majorBidi" w:hAnsiTheme="majorBidi" w:cstheme="majorBidi"/>
        </w:rPr>
        <w:t>In each treatment, one branch of the fragments was harvested at the beginning and ending of the thermal stress experiments to analyze symbiotic algal density and chlorophyll (</w:t>
      </w:r>
      <w:proofErr w:type="spellStart"/>
      <w:r w:rsidRPr="003A5B86">
        <w:rPr>
          <w:rFonts w:asciiTheme="majorBidi" w:hAnsiTheme="majorBidi" w:cstheme="majorBidi"/>
        </w:rPr>
        <w:t>Chl</w:t>
      </w:r>
      <w:proofErr w:type="spellEnd"/>
      <w:r w:rsidRPr="003A5B86">
        <w:rPr>
          <w:rFonts w:asciiTheme="majorBidi" w:hAnsiTheme="majorBidi" w:cstheme="majorBidi"/>
        </w:rPr>
        <w:t>) a and c</w:t>
      </w:r>
      <w:r w:rsidRPr="003A5B86">
        <w:rPr>
          <w:rFonts w:asciiTheme="majorBidi" w:hAnsiTheme="majorBidi" w:cstheme="majorBidi"/>
          <w:vertAlign w:val="subscript"/>
        </w:rPr>
        <w:t>2</w:t>
      </w:r>
      <w:r w:rsidRPr="003A5B86">
        <w:rPr>
          <w:rFonts w:asciiTheme="majorBidi" w:hAnsiTheme="majorBidi" w:cstheme="majorBidi"/>
        </w:rPr>
        <w:t xml:space="preserve"> content. The samples were frozen at –80 °C until further processing and defrosted, then their tissues were removed from each branch of the fragment with the use of an air-</w:t>
      </w:r>
      <w:proofErr w:type="spellStart"/>
      <w:r w:rsidRPr="003A5B86">
        <w:rPr>
          <w:rFonts w:asciiTheme="majorBidi" w:hAnsiTheme="majorBidi" w:cstheme="majorBidi"/>
        </w:rPr>
        <w:t>Pik</w:t>
      </w:r>
      <w:proofErr w:type="spellEnd"/>
      <w:r w:rsidRPr="003A5B86">
        <w:rPr>
          <w:rFonts w:asciiTheme="majorBidi" w:hAnsiTheme="majorBidi" w:cstheme="majorBidi"/>
        </w:rPr>
        <w:t xml:space="preserve"> and filtered seawater applied inside a Ziploc bag. After being thoroughly homogenized, the resulting homogenate was washed three times by centrifugation (at 5000 rpm for 20 min at 4 °C) and thereafter it was divided into two aliquots. The first aliquot was immediately counted for the cell counts of the symbiotic algae by replicate (5 drops) using a hemacytometer under a light microscope (Olympus, Tokyo, Japan). Finally, following the standard procedure, the algae’s mean total number per mean surface area of each fragment was divided into the treatments based on the </w:t>
      </w:r>
      <w:r w:rsidRPr="003A5B86">
        <w:rPr>
          <w:rFonts w:asciiTheme="majorBidi" w:hAnsiTheme="majorBidi" w:cstheme="majorBidi"/>
        </w:rPr>
        <w:lastRenderedPageBreak/>
        <w:t>paraffin wax dipping technique (Veal et al., 2010). One milliliter of the second aliquots was centrifuged (12000 rpm for 15 min) and used to extract the chlorophyll-a and c</w:t>
      </w:r>
      <w:r w:rsidRPr="003A5B86">
        <w:rPr>
          <w:rFonts w:asciiTheme="majorBidi" w:hAnsiTheme="majorBidi" w:cstheme="majorBidi"/>
          <w:vertAlign w:val="subscript"/>
        </w:rPr>
        <w:t>2</w:t>
      </w:r>
      <w:r w:rsidRPr="003A5B86">
        <w:rPr>
          <w:rFonts w:asciiTheme="majorBidi" w:hAnsiTheme="majorBidi" w:cstheme="majorBidi"/>
        </w:rPr>
        <w:t xml:space="preserve"> concentration. The pellet was mixed with one ml of 90% acetone and was quantified after 24 hours in the dark at 4 °C. To calculate the chlorophyll content, the extract solutions were measured in the different path lengths as described by Jeffrey &amp; Humphrey (1975) with a spectrophotometer standardized by (Hitachi U-2001, Japan) to the surface area of the branch. These parameters were determined as a metric tool for coral bleaching.</w:t>
      </w:r>
    </w:p>
    <w:p w14:paraId="03000916" w14:textId="77777777" w:rsidR="00FE378C" w:rsidRPr="003A5B86" w:rsidRDefault="00FE378C" w:rsidP="00FE378C">
      <w:pPr>
        <w:ind w:firstLine="720"/>
        <w:rPr>
          <w:rFonts w:asciiTheme="majorBidi" w:hAnsiTheme="majorBidi" w:cstheme="majorBidi"/>
        </w:rPr>
      </w:pPr>
    </w:p>
    <w:p w14:paraId="412E1005" w14:textId="77777777" w:rsidR="00FE378C" w:rsidRDefault="00FE378C"/>
    <w:sectPr w:rsidR="00FE378C" w:rsidSect="00D16C64">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78C"/>
    <w:rsid w:val="00002326"/>
    <w:rsid w:val="000436C9"/>
    <w:rsid w:val="000575EE"/>
    <w:rsid w:val="00076E69"/>
    <w:rsid w:val="000A55FD"/>
    <w:rsid w:val="000B50BE"/>
    <w:rsid w:val="000C5222"/>
    <w:rsid w:val="000C777F"/>
    <w:rsid w:val="000D27CB"/>
    <w:rsid w:val="000F521A"/>
    <w:rsid w:val="0011170F"/>
    <w:rsid w:val="001254B1"/>
    <w:rsid w:val="00172A7A"/>
    <w:rsid w:val="0017655D"/>
    <w:rsid w:val="001841DA"/>
    <w:rsid w:val="00184D47"/>
    <w:rsid w:val="001A4A5E"/>
    <w:rsid w:val="001F589C"/>
    <w:rsid w:val="00202119"/>
    <w:rsid w:val="002034F7"/>
    <w:rsid w:val="00216DD2"/>
    <w:rsid w:val="00232F29"/>
    <w:rsid w:val="00240947"/>
    <w:rsid w:val="00250895"/>
    <w:rsid w:val="00252AB3"/>
    <w:rsid w:val="00260A6F"/>
    <w:rsid w:val="0026344C"/>
    <w:rsid w:val="002638DF"/>
    <w:rsid w:val="0027231D"/>
    <w:rsid w:val="00277754"/>
    <w:rsid w:val="002963F7"/>
    <w:rsid w:val="002A249E"/>
    <w:rsid w:val="002A400E"/>
    <w:rsid w:val="002B5F2F"/>
    <w:rsid w:val="002C380B"/>
    <w:rsid w:val="002C4F57"/>
    <w:rsid w:val="002C6550"/>
    <w:rsid w:val="002C7346"/>
    <w:rsid w:val="002D0ACC"/>
    <w:rsid w:val="0031586B"/>
    <w:rsid w:val="00316080"/>
    <w:rsid w:val="00323D7D"/>
    <w:rsid w:val="00325EED"/>
    <w:rsid w:val="003503C2"/>
    <w:rsid w:val="00365611"/>
    <w:rsid w:val="0039599A"/>
    <w:rsid w:val="003A674E"/>
    <w:rsid w:val="003C794B"/>
    <w:rsid w:val="003D055D"/>
    <w:rsid w:val="003E0DA8"/>
    <w:rsid w:val="003F05C3"/>
    <w:rsid w:val="003F1A21"/>
    <w:rsid w:val="00400C62"/>
    <w:rsid w:val="00407E7D"/>
    <w:rsid w:val="00417EE0"/>
    <w:rsid w:val="004328F4"/>
    <w:rsid w:val="00444418"/>
    <w:rsid w:val="00492160"/>
    <w:rsid w:val="00494675"/>
    <w:rsid w:val="004A4987"/>
    <w:rsid w:val="004A7C1A"/>
    <w:rsid w:val="004B7134"/>
    <w:rsid w:val="0051322C"/>
    <w:rsid w:val="005174E9"/>
    <w:rsid w:val="00521A6F"/>
    <w:rsid w:val="0053335A"/>
    <w:rsid w:val="00553C67"/>
    <w:rsid w:val="00557C2C"/>
    <w:rsid w:val="00561737"/>
    <w:rsid w:val="0056370E"/>
    <w:rsid w:val="00571F47"/>
    <w:rsid w:val="005740C0"/>
    <w:rsid w:val="00584A12"/>
    <w:rsid w:val="005860B9"/>
    <w:rsid w:val="005C5EAA"/>
    <w:rsid w:val="005C6D59"/>
    <w:rsid w:val="005E3D50"/>
    <w:rsid w:val="005F2E64"/>
    <w:rsid w:val="00607E6A"/>
    <w:rsid w:val="0061224C"/>
    <w:rsid w:val="00630CE3"/>
    <w:rsid w:val="00635F4C"/>
    <w:rsid w:val="00636F29"/>
    <w:rsid w:val="006458CE"/>
    <w:rsid w:val="006474C6"/>
    <w:rsid w:val="00692FF3"/>
    <w:rsid w:val="006A0C4D"/>
    <w:rsid w:val="006A1F9F"/>
    <w:rsid w:val="006B48FB"/>
    <w:rsid w:val="006B735E"/>
    <w:rsid w:val="006B7D5C"/>
    <w:rsid w:val="006C1C57"/>
    <w:rsid w:val="006E062B"/>
    <w:rsid w:val="006E7A09"/>
    <w:rsid w:val="006F5708"/>
    <w:rsid w:val="007312FC"/>
    <w:rsid w:val="0073584F"/>
    <w:rsid w:val="00746E4F"/>
    <w:rsid w:val="007775BE"/>
    <w:rsid w:val="007833F6"/>
    <w:rsid w:val="00787361"/>
    <w:rsid w:val="00792602"/>
    <w:rsid w:val="007C63B0"/>
    <w:rsid w:val="007C6F41"/>
    <w:rsid w:val="007D11F8"/>
    <w:rsid w:val="007E00E6"/>
    <w:rsid w:val="007E5093"/>
    <w:rsid w:val="00805BB7"/>
    <w:rsid w:val="00811E3A"/>
    <w:rsid w:val="008142E2"/>
    <w:rsid w:val="00835585"/>
    <w:rsid w:val="008468B1"/>
    <w:rsid w:val="008502D8"/>
    <w:rsid w:val="00871D49"/>
    <w:rsid w:val="00873EB6"/>
    <w:rsid w:val="00875B76"/>
    <w:rsid w:val="008B108C"/>
    <w:rsid w:val="008B3F95"/>
    <w:rsid w:val="008F2940"/>
    <w:rsid w:val="00901465"/>
    <w:rsid w:val="009167E4"/>
    <w:rsid w:val="0092058D"/>
    <w:rsid w:val="00925F86"/>
    <w:rsid w:val="0094606A"/>
    <w:rsid w:val="0095696D"/>
    <w:rsid w:val="009604F0"/>
    <w:rsid w:val="00966028"/>
    <w:rsid w:val="0097246F"/>
    <w:rsid w:val="009821BD"/>
    <w:rsid w:val="00987682"/>
    <w:rsid w:val="00987AF5"/>
    <w:rsid w:val="009962D2"/>
    <w:rsid w:val="009B4C96"/>
    <w:rsid w:val="009B5C21"/>
    <w:rsid w:val="00A03A65"/>
    <w:rsid w:val="00A12A5A"/>
    <w:rsid w:val="00A230BD"/>
    <w:rsid w:val="00A25981"/>
    <w:rsid w:val="00A266D6"/>
    <w:rsid w:val="00A40FE3"/>
    <w:rsid w:val="00A4144E"/>
    <w:rsid w:val="00A55030"/>
    <w:rsid w:val="00A65E2A"/>
    <w:rsid w:val="00A701A5"/>
    <w:rsid w:val="00A86F90"/>
    <w:rsid w:val="00AD38D6"/>
    <w:rsid w:val="00AF606D"/>
    <w:rsid w:val="00AF6146"/>
    <w:rsid w:val="00B249E1"/>
    <w:rsid w:val="00B2630B"/>
    <w:rsid w:val="00B354A4"/>
    <w:rsid w:val="00B61DFA"/>
    <w:rsid w:val="00B6558B"/>
    <w:rsid w:val="00B8439A"/>
    <w:rsid w:val="00B90B3E"/>
    <w:rsid w:val="00B94B61"/>
    <w:rsid w:val="00BC1116"/>
    <w:rsid w:val="00BE1107"/>
    <w:rsid w:val="00BE3E19"/>
    <w:rsid w:val="00BE70D0"/>
    <w:rsid w:val="00BF4882"/>
    <w:rsid w:val="00C04DAC"/>
    <w:rsid w:val="00C237F7"/>
    <w:rsid w:val="00C2493D"/>
    <w:rsid w:val="00C27DB6"/>
    <w:rsid w:val="00C42DF7"/>
    <w:rsid w:val="00C960AE"/>
    <w:rsid w:val="00CA2CBD"/>
    <w:rsid w:val="00CB2062"/>
    <w:rsid w:val="00CB28F9"/>
    <w:rsid w:val="00CC0F45"/>
    <w:rsid w:val="00CC2BD6"/>
    <w:rsid w:val="00CC3447"/>
    <w:rsid w:val="00CD2017"/>
    <w:rsid w:val="00CD55BC"/>
    <w:rsid w:val="00CE05C0"/>
    <w:rsid w:val="00CF1F0A"/>
    <w:rsid w:val="00D02FDF"/>
    <w:rsid w:val="00D079E3"/>
    <w:rsid w:val="00D10467"/>
    <w:rsid w:val="00D10B34"/>
    <w:rsid w:val="00D11A37"/>
    <w:rsid w:val="00D153FA"/>
    <w:rsid w:val="00D16C64"/>
    <w:rsid w:val="00D210A4"/>
    <w:rsid w:val="00D21239"/>
    <w:rsid w:val="00D27506"/>
    <w:rsid w:val="00D30DF6"/>
    <w:rsid w:val="00D34003"/>
    <w:rsid w:val="00D46041"/>
    <w:rsid w:val="00D61992"/>
    <w:rsid w:val="00D6452F"/>
    <w:rsid w:val="00D66061"/>
    <w:rsid w:val="00D81B97"/>
    <w:rsid w:val="00D87C7C"/>
    <w:rsid w:val="00D91506"/>
    <w:rsid w:val="00D94FC6"/>
    <w:rsid w:val="00DB4756"/>
    <w:rsid w:val="00DB5DB1"/>
    <w:rsid w:val="00DB7FB3"/>
    <w:rsid w:val="00E03E4A"/>
    <w:rsid w:val="00E1004D"/>
    <w:rsid w:val="00E11AF1"/>
    <w:rsid w:val="00E21A09"/>
    <w:rsid w:val="00E40BAB"/>
    <w:rsid w:val="00E55646"/>
    <w:rsid w:val="00E67A82"/>
    <w:rsid w:val="00E86065"/>
    <w:rsid w:val="00EA36CA"/>
    <w:rsid w:val="00EB0515"/>
    <w:rsid w:val="00ED3884"/>
    <w:rsid w:val="00ED51C5"/>
    <w:rsid w:val="00EE2270"/>
    <w:rsid w:val="00F039FB"/>
    <w:rsid w:val="00F10DB4"/>
    <w:rsid w:val="00F26980"/>
    <w:rsid w:val="00F41F62"/>
    <w:rsid w:val="00F547B7"/>
    <w:rsid w:val="00F54823"/>
    <w:rsid w:val="00F804AF"/>
    <w:rsid w:val="00F84B31"/>
    <w:rsid w:val="00F94584"/>
    <w:rsid w:val="00FD241C"/>
    <w:rsid w:val="00FD36F1"/>
    <w:rsid w:val="00FE378C"/>
    <w:rsid w:val="00FE3E85"/>
    <w:rsid w:val="00FE70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AD1C1EA"/>
  <w14:defaultImageDpi w14:val="32767"/>
  <w15:chartTrackingRefBased/>
  <w15:docId w15:val="{B3AAA8B1-E3E2-FD44-9666-CFF8A242F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804</Words>
  <Characters>4587</Characters>
  <Application>Microsoft Office Word</Application>
  <DocSecurity>0</DocSecurity>
  <Lines>69</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守田　昌哉</dc:creator>
  <cp:keywords/>
  <dc:description/>
  <cp:lastModifiedBy>守田　昌哉</cp:lastModifiedBy>
  <cp:revision>2</cp:revision>
  <dcterms:created xsi:type="dcterms:W3CDTF">2022-05-19T02:39:00Z</dcterms:created>
  <dcterms:modified xsi:type="dcterms:W3CDTF">2022-05-19T02:39:00Z</dcterms:modified>
</cp:coreProperties>
</file>