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9B869" w14:textId="0507CD77" w:rsidR="00574F01" w:rsidRDefault="00574F01"/>
    <w:p w14:paraId="1761FDF6" w14:textId="52157E64" w:rsidR="007D1073" w:rsidRPr="007D1073" w:rsidRDefault="007D1073">
      <w:pPr>
        <w:rPr>
          <w:rFonts w:ascii="Times New Roman" w:hAnsi="Times New Roman" w:cs="Times New Roman"/>
          <w:b/>
          <w:bCs/>
        </w:rPr>
      </w:pPr>
      <w:r w:rsidRPr="007D1073">
        <w:rPr>
          <w:rFonts w:ascii="Times New Roman" w:hAnsi="Times New Roman" w:cs="Times New Roman"/>
          <w:b/>
          <w:bCs/>
        </w:rPr>
        <w:t>Suppl. Figure Legends</w:t>
      </w:r>
    </w:p>
    <w:p w14:paraId="5254D674" w14:textId="1BB40200" w:rsidR="007D1073" w:rsidRDefault="007D1073"/>
    <w:p w14:paraId="7665643F" w14:textId="77777777" w:rsidR="007D1073" w:rsidRPr="00D82E4C" w:rsidRDefault="007D1073" w:rsidP="007D1073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F9515E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Suppl. Figure 1. </w:t>
      </w:r>
      <w:r w:rsidRPr="00D82E4C">
        <w:rPr>
          <w:rFonts w:ascii="Times New Roman" w:hAnsi="Times New Roman" w:cs="Times New Roman"/>
          <w:sz w:val="24"/>
          <w:szCs w:val="24"/>
          <w:lang w:val="en-GB"/>
        </w:rPr>
        <w:t>The correlation between age (horizontal axis) and logarithmic values of anti-spike antibody titres (log (S Ab)) at one month after vaccination (vertical axis) was negatively significant in men and women.</w:t>
      </w:r>
    </w:p>
    <w:p w14:paraId="2AC3BB33" w14:textId="77777777" w:rsidR="007D1073" w:rsidRPr="00D82E4C" w:rsidRDefault="007D1073" w:rsidP="007D1073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31F1662D" w14:textId="77777777" w:rsidR="007D1073" w:rsidRPr="00D82E4C" w:rsidRDefault="007D1073" w:rsidP="007D1073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F9515E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Suppl. Figure 2. </w:t>
      </w:r>
      <w:r w:rsidRPr="00D82E4C">
        <w:rPr>
          <w:rFonts w:ascii="Times New Roman" w:hAnsi="Times New Roman" w:cs="Times New Roman"/>
          <w:sz w:val="24"/>
          <w:szCs w:val="24"/>
          <w:lang w:val="en-GB"/>
        </w:rPr>
        <w:t>The correlation between the logarithmic values of anti-spike antibody titres (log (S Ab)) at one and seven months after vaccination was positively significant, and no differences were observed between the sexes.</w:t>
      </w:r>
    </w:p>
    <w:p w14:paraId="63BD7604" w14:textId="77777777" w:rsidR="007D1073" w:rsidRPr="007D1073" w:rsidRDefault="007D1073">
      <w:pPr>
        <w:rPr>
          <w:rFonts w:hint="eastAsia"/>
          <w:lang w:val="en-GB"/>
        </w:rPr>
      </w:pPr>
    </w:p>
    <w:sectPr w:rsidR="007D1073" w:rsidRPr="007D107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073"/>
    <w:rsid w:val="00574F01"/>
    <w:rsid w:val="007D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ECF737"/>
  <w15:chartTrackingRefBased/>
  <w15:docId w15:val="{C1CC3F7C-4101-4749-9D1D-1E569449A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星田 四朗</dc:creator>
  <cp:keywords/>
  <dc:description/>
  <cp:lastModifiedBy>星田 四朗</cp:lastModifiedBy>
  <cp:revision>1</cp:revision>
  <dcterms:created xsi:type="dcterms:W3CDTF">2022-06-20T04:13:00Z</dcterms:created>
  <dcterms:modified xsi:type="dcterms:W3CDTF">2022-06-20T04:14:00Z</dcterms:modified>
</cp:coreProperties>
</file>