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33E79" w14:textId="77777777" w:rsidR="009B1F8C" w:rsidRDefault="009B1F8C" w:rsidP="009B1F8C">
      <w:pPr>
        <w:spacing w:line="360" w:lineRule="auto"/>
        <w:ind w:firstLine="18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Appendix</w:t>
      </w:r>
    </w:p>
    <w:p w14:paraId="3DC0974D" w14:textId="77777777" w:rsidR="009B1F8C" w:rsidRDefault="009B1F8C" w:rsidP="009B1F8C">
      <w:pPr>
        <w:spacing w:line="360" w:lineRule="auto"/>
        <w:ind w:firstLine="180"/>
        <w:jc w:val="both"/>
        <w:rPr>
          <w:rFonts w:asciiTheme="majorBidi" w:eastAsiaTheme="minorEastAsia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Effective sample size (ESS) for each SNP was calculated as: </w:t>
      </w:r>
    </w:p>
    <w:p w14:paraId="20793BAB" w14:textId="77777777" w:rsidR="009B1F8C" w:rsidRDefault="009B1F8C" w:rsidP="009B1F8C">
      <w:pPr>
        <w:spacing w:line="360" w:lineRule="auto"/>
        <w:ind w:firstLine="180"/>
        <w:jc w:val="both"/>
        <w:rPr>
          <w:rFonts w:asciiTheme="majorBidi" w:hAnsiTheme="majorBidi" w:cstheme="majorBidi"/>
          <w:sz w:val="24"/>
          <w:szCs w:val="24"/>
        </w:rPr>
      </w:pPr>
      <m:oMathPara>
        <m:oMath>
          <m:r>
            <w:rPr>
              <w:rFonts w:ascii="Cambria Math" w:hAnsi="Cambria Math" w:cstheme="majorBidi"/>
              <w:sz w:val="24"/>
              <w:szCs w:val="24"/>
            </w:rPr>
            <m:t>ESS=</m:t>
          </m:r>
          <m:f>
            <m:fPr>
              <m:ctrlPr>
                <w:rPr>
                  <w:rFonts w:ascii="Cambria Math" w:hAnsi="Cambria Math" w:cstheme="majorBid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ajorBidi"/>
                  <w:sz w:val="24"/>
                  <w:szCs w:val="24"/>
                </w:rPr>
                <m:t>imputation or genotype quality (%)</m:t>
              </m:r>
            </m:num>
            <m:den>
              <m:r>
                <w:rPr>
                  <w:rFonts w:ascii="Cambria Math" w:hAnsi="Cambria Math" w:cstheme="majorBidi"/>
                  <w:sz w:val="24"/>
                  <w:szCs w:val="24"/>
                </w:rPr>
                <m:t>(heterogeneity degree of freedom+1)</m:t>
              </m:r>
            </m:den>
          </m:f>
          <m:r>
            <w:rPr>
              <w:rFonts w:ascii="Cambria Math" w:hAnsi="Cambria Math" w:cstheme="majorBidi"/>
              <w:sz w:val="24"/>
              <w:szCs w:val="24"/>
            </w:rPr>
            <m:t>×2×alternative allele frequency ×</m:t>
          </m:r>
          <m:d>
            <m:dPr>
              <m:ctrlPr>
                <w:rPr>
                  <w:rFonts w:ascii="Cambria Math" w:hAnsi="Cambria Math" w:cstheme="majorBidi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theme="majorBidi"/>
                  <w:sz w:val="24"/>
                  <w:szCs w:val="24"/>
                </w:rPr>
                <m:t>1-alternative allele frequency</m:t>
              </m:r>
            </m:e>
          </m:d>
          <m:r>
            <w:rPr>
              <w:rFonts w:ascii="Cambria Math" w:hAnsi="Cambria Math" w:cstheme="majorBidi"/>
              <w:sz w:val="24"/>
              <w:szCs w:val="24"/>
            </w:rPr>
            <m:t>×informative number of indivudals with alleles</m:t>
          </m:r>
        </m:oMath>
      </m:oMathPara>
    </w:p>
    <w:p w14:paraId="65F2C8AA" w14:textId="77777777" w:rsidR="009B1F8C" w:rsidRDefault="009B1F8C" w:rsidP="009B1F8C">
      <w:pPr>
        <w:spacing w:line="360" w:lineRule="auto"/>
      </w:pPr>
    </w:p>
    <w:p w14:paraId="6D038016" w14:textId="77777777" w:rsidR="009B1F8C" w:rsidRDefault="009B1F8C" w:rsidP="009B1F8C">
      <w:pPr>
        <w:spacing w:line="360" w:lineRule="auto"/>
      </w:pPr>
    </w:p>
    <w:p w14:paraId="290BAE7D" w14:textId="77777777" w:rsidR="00C31127" w:rsidRDefault="00C31127"/>
    <w:sectPr w:rsidR="00C311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F8C"/>
    <w:rsid w:val="009B1F8C"/>
    <w:rsid w:val="00C31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2038A"/>
  <w15:chartTrackingRefBased/>
  <w15:docId w15:val="{EF7546A2-8D5C-4898-8CAC-036BA11EB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1F8C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74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Yaser, Mohammad</dc:creator>
  <cp:keywords/>
  <dc:description/>
  <cp:lastModifiedBy>Yaser, Mohammad</cp:lastModifiedBy>
  <cp:revision>1</cp:revision>
  <dcterms:created xsi:type="dcterms:W3CDTF">2022-06-16T13:37:00Z</dcterms:created>
  <dcterms:modified xsi:type="dcterms:W3CDTF">2022-06-16T13:38:00Z</dcterms:modified>
</cp:coreProperties>
</file>