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A05F5" w14:textId="77777777" w:rsidR="00D16AFD" w:rsidRPr="00EC6AF4" w:rsidRDefault="00D16AFD" w:rsidP="00D16AFD">
      <w:pPr>
        <w:pStyle w:val="1"/>
        <w:spacing w:before="163" w:after="163"/>
      </w:pPr>
      <w:r w:rsidRPr="00406F39">
        <w:t>Supplementary Information</w:t>
      </w:r>
    </w:p>
    <w:p w14:paraId="42D358A0" w14:textId="77777777" w:rsidR="00D16AFD" w:rsidRPr="00E973B1" w:rsidRDefault="00D16AFD" w:rsidP="00D16AFD">
      <w:pPr>
        <w:spacing w:before="326"/>
        <w:ind w:firstLineChars="0" w:firstLine="0"/>
        <w:rPr>
          <w:b/>
          <w:bCs/>
        </w:rPr>
      </w:pPr>
      <w:r w:rsidRPr="00E973B1">
        <w:rPr>
          <w:b/>
          <w:bCs/>
        </w:rPr>
        <w:t xml:space="preserve">Understanding the Rain-shelter and Water and Fertilizer Management in Reducing Root rot of </w:t>
      </w:r>
      <w:r w:rsidRPr="00EF36C8">
        <w:rPr>
          <w:b/>
          <w:bCs/>
          <w:i/>
          <w:iCs/>
        </w:rPr>
        <w:t>Panax notoginseng</w:t>
      </w:r>
    </w:p>
    <w:p w14:paraId="40FBDD0C" w14:textId="77777777" w:rsidR="00D16AFD" w:rsidRPr="0082395B" w:rsidRDefault="00D16AFD" w:rsidP="00D16AFD">
      <w:pPr>
        <w:spacing w:before="326" w:line="360" w:lineRule="auto"/>
        <w:ind w:firstLineChars="0" w:firstLine="0"/>
        <w:rPr>
          <w:rFonts w:eastAsiaTheme="minorEastAsia"/>
          <w:vertAlign w:val="superscript"/>
        </w:rPr>
      </w:pPr>
      <w:r w:rsidRPr="0082395B">
        <w:t xml:space="preserve">Yan </w:t>
      </w:r>
      <w:proofErr w:type="spellStart"/>
      <w:r w:rsidRPr="0082395B">
        <w:t>Zhang</w:t>
      </w:r>
      <w:r w:rsidRPr="0082395B">
        <w:rPr>
          <w:vertAlign w:val="superscript"/>
        </w:rPr>
        <w:t>a</w:t>
      </w:r>
      <w:r w:rsidRPr="0082395B">
        <w:t>·Zang</w:t>
      </w:r>
      <w:proofErr w:type="spellEnd"/>
      <w:r w:rsidRPr="0082395B">
        <w:t xml:space="preserve"> </w:t>
      </w:r>
      <w:proofErr w:type="spellStart"/>
      <w:r w:rsidRPr="0082395B">
        <w:t>Zhennan</w:t>
      </w:r>
      <w:r w:rsidRPr="0082395B">
        <w:rPr>
          <w:vertAlign w:val="superscript"/>
        </w:rPr>
        <w:t>b</w:t>
      </w:r>
      <w:r w:rsidRPr="0082395B">
        <w:t>·Zhenya</w:t>
      </w:r>
      <w:proofErr w:type="spellEnd"/>
      <w:r w:rsidRPr="0082395B">
        <w:t xml:space="preserve"> Tang</w:t>
      </w:r>
      <w:r w:rsidRPr="0082395B">
        <w:rPr>
          <w:vertAlign w:val="superscript"/>
        </w:rPr>
        <w:t>a*</w:t>
      </w:r>
      <w:r w:rsidRPr="0082395B">
        <w:t>·</w:t>
      </w:r>
      <w:proofErr w:type="spellStart"/>
      <w:r w:rsidRPr="0082395B">
        <w:t>Qiliang</w:t>
      </w:r>
      <w:proofErr w:type="spellEnd"/>
      <w:r w:rsidRPr="0082395B">
        <w:t xml:space="preserve"> Yang</w:t>
      </w:r>
      <w:r w:rsidRPr="0082395B">
        <w:rPr>
          <w:vertAlign w:val="superscript"/>
        </w:rPr>
        <w:t>a*</w:t>
      </w:r>
    </w:p>
    <w:p w14:paraId="195BF6EB" w14:textId="77777777" w:rsidR="00D16AFD" w:rsidRPr="004441CF" w:rsidRDefault="00D16AFD" w:rsidP="00D16AFD">
      <w:pPr>
        <w:ind w:firstLineChars="0" w:firstLine="0"/>
      </w:pPr>
      <w:proofErr w:type="spellStart"/>
      <w:r w:rsidRPr="004441CF">
        <w:rPr>
          <w:vertAlign w:val="superscript"/>
        </w:rPr>
        <w:t>a</w:t>
      </w:r>
      <w:r w:rsidRPr="004441CF">
        <w:t>Faculty</w:t>
      </w:r>
      <w:proofErr w:type="spellEnd"/>
      <w:r w:rsidRPr="004441CF">
        <w:t xml:space="preserve"> of Modern Agricultural Engineering, Kunming University of Science &amp;Technology, Kunming Yunnan 650500, China</w:t>
      </w:r>
    </w:p>
    <w:p w14:paraId="781C5BE0" w14:textId="77777777" w:rsidR="00D16AFD" w:rsidRPr="004441CF" w:rsidRDefault="00D16AFD" w:rsidP="00D16AFD">
      <w:pPr>
        <w:ind w:firstLineChars="0" w:firstLine="0"/>
        <w:rPr>
          <w:rFonts w:eastAsiaTheme="minorEastAsia"/>
        </w:rPr>
      </w:pPr>
      <w:proofErr w:type="spellStart"/>
      <w:r w:rsidRPr="004441CF">
        <w:rPr>
          <w:vertAlign w:val="superscript"/>
        </w:rPr>
        <w:t>b</w:t>
      </w:r>
      <w:r w:rsidRPr="004441CF">
        <w:t>Faculty</w:t>
      </w:r>
      <w:proofErr w:type="spellEnd"/>
      <w:r w:rsidRPr="004441CF">
        <w:t xml:space="preserve"> of Environmental Science and Engineering, Kunming University of Science and Technology, Kunming 650500, China</w:t>
      </w:r>
    </w:p>
    <w:p w14:paraId="72FD9DA7" w14:textId="77777777" w:rsidR="00D16AFD" w:rsidRPr="0082395B" w:rsidRDefault="00D16AFD" w:rsidP="00D16AFD">
      <w:pPr>
        <w:spacing w:line="360" w:lineRule="auto"/>
        <w:ind w:firstLineChars="0" w:firstLine="0"/>
        <w:rPr>
          <w:i/>
          <w:iCs/>
        </w:rPr>
      </w:pPr>
    </w:p>
    <w:p w14:paraId="0696047C" w14:textId="77777777" w:rsidR="00D16AFD" w:rsidRPr="00E973B1" w:rsidRDefault="00D16AFD" w:rsidP="00D16AFD">
      <w:pPr>
        <w:widowControl/>
        <w:spacing w:line="360" w:lineRule="auto"/>
        <w:ind w:firstLineChars="0" w:firstLine="0"/>
        <w:rPr>
          <w:b/>
          <w:bCs/>
        </w:rPr>
      </w:pPr>
      <w:r w:rsidRPr="00E973B1">
        <w:rPr>
          <w:b/>
          <w:bCs/>
        </w:rPr>
        <w:t>*Corresponding author</w:t>
      </w:r>
      <w:r w:rsidRPr="00E973B1">
        <w:rPr>
          <w:b/>
          <w:bCs/>
        </w:rPr>
        <w:tab/>
      </w:r>
    </w:p>
    <w:p w14:paraId="4436C36B" w14:textId="77777777" w:rsidR="00D16AFD" w:rsidRPr="00E973B1" w:rsidRDefault="00D16AFD" w:rsidP="00D16AFD">
      <w:pPr>
        <w:widowControl/>
        <w:spacing w:line="360" w:lineRule="auto"/>
        <w:ind w:firstLineChars="0" w:firstLine="0"/>
      </w:pPr>
      <w:r w:rsidRPr="00E973B1">
        <w:t xml:space="preserve">Zhenya Tang, </w:t>
      </w:r>
      <w:proofErr w:type="spellStart"/>
      <w:r w:rsidRPr="00E973B1">
        <w:t>Qiliang</w:t>
      </w:r>
      <w:proofErr w:type="spellEnd"/>
      <w:r w:rsidRPr="00E973B1">
        <w:t xml:space="preserve"> Yang</w:t>
      </w:r>
    </w:p>
    <w:p w14:paraId="03F3A675" w14:textId="77777777" w:rsidR="00D16AFD" w:rsidRPr="004441CF" w:rsidRDefault="00D16AFD" w:rsidP="00D16AFD">
      <w:pPr>
        <w:spacing w:line="360" w:lineRule="auto"/>
        <w:ind w:firstLineChars="0" w:firstLine="0"/>
      </w:pPr>
      <w:r w:rsidRPr="004441CF">
        <w:t>Faculty of Modern Agricultural Engineering, Kunming University of Science &amp;Technology, Kunming Yunnan 650500, China</w:t>
      </w:r>
    </w:p>
    <w:p w14:paraId="35458E07" w14:textId="77777777" w:rsidR="00D16AFD" w:rsidRPr="00E973B1" w:rsidRDefault="00D16AFD" w:rsidP="00D16AFD">
      <w:pPr>
        <w:widowControl/>
        <w:spacing w:line="360" w:lineRule="auto"/>
        <w:ind w:firstLineChars="0" w:firstLine="0"/>
      </w:pPr>
      <w:r w:rsidRPr="00E973B1">
        <w:t xml:space="preserve">E-mail: </w:t>
      </w:r>
      <w:r w:rsidRPr="00E973B1">
        <w:rPr>
          <w:color w:val="4472C4"/>
          <w:u w:val="single"/>
        </w:rPr>
        <w:t>zytang@kust.edu.cn</w:t>
      </w:r>
      <w:r w:rsidRPr="00E973B1">
        <w:t xml:space="preserve">, </w:t>
      </w:r>
      <w:r w:rsidRPr="00E973B1">
        <w:rPr>
          <w:color w:val="4472C4"/>
          <w:u w:val="single"/>
        </w:rPr>
        <w:t>yangqilianglovena@163.com</w:t>
      </w:r>
    </w:p>
    <w:p w14:paraId="48666CDF" w14:textId="77777777" w:rsidR="00D16AFD" w:rsidRPr="00E973B1" w:rsidRDefault="00D16AFD" w:rsidP="00D16AFD">
      <w:pPr>
        <w:spacing w:before="326"/>
        <w:ind w:firstLineChars="0" w:firstLine="0"/>
      </w:pPr>
      <w:r w:rsidRPr="00E973B1">
        <w:t xml:space="preserve">This supporting information contains </w:t>
      </w:r>
      <w:r>
        <w:t>9</w:t>
      </w:r>
      <w:r w:rsidRPr="00E973B1">
        <w:t xml:space="preserve"> pages</w:t>
      </w:r>
    </w:p>
    <w:p w14:paraId="1C6B880C" w14:textId="77777777" w:rsidR="00D16AFD" w:rsidRPr="00E973B1" w:rsidRDefault="00D16AFD" w:rsidP="00D16AFD">
      <w:pPr>
        <w:spacing w:beforeLines="50" w:before="163" w:afterLines="50" w:after="163"/>
        <w:ind w:left="400" w:hangingChars="200" w:hanging="400"/>
      </w:pPr>
      <w:r w:rsidRPr="00E973B1">
        <w:t>Text S1……………………………………………………………………………………S2</w:t>
      </w:r>
    </w:p>
    <w:p w14:paraId="644EF073" w14:textId="77777777" w:rsidR="00D16AFD" w:rsidRPr="00E973B1" w:rsidRDefault="00D16AFD" w:rsidP="00D16AFD">
      <w:pPr>
        <w:spacing w:beforeLines="50" w:before="163" w:afterLines="50" w:after="163"/>
        <w:ind w:left="400" w:hangingChars="200" w:hanging="400"/>
      </w:pPr>
      <w:r w:rsidRPr="00E973B1">
        <w:t>Text S2……………………………………………………………………………………S3</w:t>
      </w:r>
    </w:p>
    <w:p w14:paraId="436B5F8B" w14:textId="77777777" w:rsidR="00D16AFD" w:rsidRPr="00E973B1" w:rsidRDefault="00D16AFD" w:rsidP="00D16AFD">
      <w:pPr>
        <w:spacing w:beforeLines="50" w:before="163" w:afterLines="50" w:after="163"/>
        <w:ind w:left="400" w:hangingChars="200" w:hanging="400"/>
      </w:pPr>
      <w:r w:rsidRPr="00E973B1">
        <w:t>Table S1…………………………………………………………………….…………… S3</w:t>
      </w:r>
    </w:p>
    <w:p w14:paraId="093D2354" w14:textId="77777777" w:rsidR="00D16AFD" w:rsidRPr="00E973B1" w:rsidRDefault="00D16AFD" w:rsidP="00D16AFD">
      <w:pPr>
        <w:spacing w:beforeLines="50" w:before="163" w:afterLines="50" w:after="163"/>
        <w:ind w:left="400" w:hangingChars="200" w:hanging="400"/>
      </w:pPr>
      <w:r w:rsidRPr="00E973B1">
        <w:t>Figure S1…………………………………………………………………………………S4</w:t>
      </w:r>
    </w:p>
    <w:p w14:paraId="0980FA1A" w14:textId="77777777" w:rsidR="00D16AFD" w:rsidRPr="00E973B1" w:rsidRDefault="00D16AFD" w:rsidP="00D16AFD">
      <w:pPr>
        <w:spacing w:beforeLines="50" w:before="163" w:afterLines="50" w:after="163"/>
        <w:ind w:left="400" w:hangingChars="200" w:hanging="400"/>
      </w:pPr>
      <w:r w:rsidRPr="00E973B1">
        <w:t>Figure S2…………………………………………………………………………………S5</w:t>
      </w:r>
    </w:p>
    <w:p w14:paraId="34076DD8" w14:textId="77777777" w:rsidR="00D16AFD" w:rsidRPr="00E973B1" w:rsidRDefault="00D16AFD" w:rsidP="00D16AFD">
      <w:pPr>
        <w:spacing w:beforeLines="50" w:before="163" w:afterLines="50" w:after="163"/>
        <w:ind w:left="400" w:hangingChars="200" w:hanging="400"/>
      </w:pPr>
      <w:r w:rsidRPr="00E973B1">
        <w:t>Figure S3…………………………………………………………………………………S6</w:t>
      </w:r>
    </w:p>
    <w:p w14:paraId="1C0DCC5D" w14:textId="77777777" w:rsidR="00D16AFD" w:rsidRPr="00E973B1" w:rsidRDefault="00D16AFD" w:rsidP="00D16AFD">
      <w:pPr>
        <w:spacing w:beforeLines="50" w:before="163" w:afterLines="50" w:after="163"/>
        <w:ind w:left="400" w:hangingChars="200" w:hanging="400"/>
      </w:pPr>
      <w:r w:rsidRPr="00E973B1">
        <w:t>Figure S4…………………………………………………………………………………S6</w:t>
      </w:r>
    </w:p>
    <w:p w14:paraId="5865DDE8" w14:textId="77777777" w:rsidR="00D16AFD" w:rsidRPr="00E973B1" w:rsidRDefault="00D16AFD" w:rsidP="00D16AFD">
      <w:pPr>
        <w:spacing w:beforeLines="50" w:before="163" w:afterLines="50" w:after="163"/>
        <w:ind w:left="400" w:hangingChars="200" w:hanging="400"/>
      </w:pPr>
      <w:r w:rsidRPr="00E973B1">
        <w:t>Figure S5…………………………………………………………………………………S7</w:t>
      </w:r>
    </w:p>
    <w:p w14:paraId="56FEEA1E" w14:textId="77777777" w:rsidR="00D16AFD" w:rsidRPr="00E973B1" w:rsidRDefault="00D16AFD" w:rsidP="00D16AFD">
      <w:pPr>
        <w:spacing w:beforeLines="50" w:before="163" w:afterLines="50" w:after="163"/>
        <w:ind w:left="400" w:hangingChars="200" w:hanging="400"/>
      </w:pPr>
      <w:r w:rsidRPr="00E973B1">
        <w:t>Figure S6…………………………………………………………………………………S7</w:t>
      </w:r>
    </w:p>
    <w:p w14:paraId="0C685CC4" w14:textId="77777777" w:rsidR="00D16AFD" w:rsidRPr="00E973B1" w:rsidRDefault="00D16AFD" w:rsidP="00D16AFD">
      <w:pPr>
        <w:spacing w:beforeLines="50" w:before="163" w:afterLines="50" w:after="163"/>
        <w:ind w:left="400" w:hangingChars="200" w:hanging="400"/>
      </w:pPr>
      <w:r w:rsidRPr="00E973B1">
        <w:t>Figure S7…………………………………………………………………………………S8</w:t>
      </w:r>
    </w:p>
    <w:p w14:paraId="1ABB72D8" w14:textId="77777777" w:rsidR="00D16AFD" w:rsidRPr="00E973B1" w:rsidRDefault="00D16AFD" w:rsidP="00D16AFD">
      <w:pPr>
        <w:spacing w:beforeLines="50" w:before="163" w:afterLines="50" w:after="163"/>
        <w:ind w:left="400" w:hangingChars="200" w:hanging="400"/>
      </w:pPr>
      <w:r w:rsidRPr="00E973B1">
        <w:t>Figure S8…………………………………………………………………………………S9</w:t>
      </w:r>
    </w:p>
    <w:p w14:paraId="24317F51" w14:textId="77777777" w:rsidR="00D16AFD" w:rsidRPr="00406F39" w:rsidRDefault="00D16AFD" w:rsidP="00D16AFD">
      <w:pPr>
        <w:spacing w:before="326"/>
        <w:ind w:firstLineChars="0" w:firstLine="0"/>
        <w:rPr>
          <w:rFonts w:eastAsiaTheme="minorEastAsia"/>
        </w:rPr>
        <w:sectPr w:rsidR="00D16AFD" w:rsidRPr="00406F39" w:rsidSect="00EC6AF4">
          <w:footerReference w:type="default" r:id="rId4"/>
          <w:pgSz w:w="11906" w:h="16838"/>
          <w:pgMar w:top="1440" w:right="1800" w:bottom="1440" w:left="1800" w:header="851" w:footer="964" w:gutter="0"/>
          <w:lnNumType w:countBy="1" w:restart="continuous"/>
          <w:cols w:space="425"/>
          <w:docGrid w:type="lines" w:linePitch="326"/>
        </w:sectPr>
      </w:pPr>
    </w:p>
    <w:p w14:paraId="19EE1EC5" w14:textId="77777777" w:rsidR="00D16AFD" w:rsidRPr="00406F39" w:rsidRDefault="00D16AFD" w:rsidP="00D16AFD">
      <w:pPr>
        <w:spacing w:before="326"/>
        <w:ind w:firstLineChars="0" w:firstLine="0"/>
        <w:rPr>
          <w:rFonts w:eastAsiaTheme="minorEastAsia"/>
        </w:rPr>
      </w:pPr>
    </w:p>
    <w:p w14:paraId="5F1F24F6" w14:textId="77777777" w:rsidR="00D16AFD" w:rsidRPr="00E973B1" w:rsidRDefault="00D16AFD" w:rsidP="00D16AFD">
      <w:pPr>
        <w:spacing w:before="326"/>
        <w:ind w:firstLineChars="0" w:firstLine="0"/>
        <w:rPr>
          <w:b/>
          <w:bCs/>
        </w:rPr>
        <w:sectPr w:rsidR="00D16AFD" w:rsidRPr="00E973B1" w:rsidSect="00406F39">
          <w:footerReference w:type="default" r:id="rId5"/>
          <w:type w:val="continuous"/>
          <w:pgSz w:w="11906" w:h="16838"/>
          <w:pgMar w:top="1440" w:right="1800" w:bottom="1440" w:left="1800" w:header="851" w:footer="964" w:gutter="0"/>
          <w:lnNumType w:countBy="1" w:restart="continuous"/>
          <w:cols w:space="425"/>
          <w:docGrid w:type="lines" w:linePitch="326"/>
        </w:sectPr>
      </w:pPr>
      <w:r w:rsidRPr="00E973B1">
        <w:rPr>
          <w:b/>
          <w:bCs/>
        </w:rPr>
        <w:lastRenderedPageBreak/>
        <w:t>Text S1 Vertical distribution of soil available nutrients in root zone of Panax notoginseng in rainy season</w:t>
      </w:r>
    </w:p>
    <w:p w14:paraId="48D9D073" w14:textId="77777777" w:rsidR="00D16AFD" w:rsidRPr="00E973B1" w:rsidRDefault="00D16AFD" w:rsidP="00D16AFD">
      <w:pPr>
        <w:spacing w:before="326"/>
        <w:ind w:firstLine="400"/>
      </w:pPr>
      <w:proofErr w:type="gramStart"/>
      <w:r w:rsidRPr="00E973B1">
        <w:t>It can be seen that the</w:t>
      </w:r>
      <w:proofErr w:type="gramEnd"/>
      <w:r w:rsidRPr="00E973B1">
        <w:t xml:space="preserve"> soil available nitrogen, phosphorus and potassium (Fig. S4, Fig. S5, Fig. S6) of each treatment all showed an "S" shaped distribution with the increase of soil depth, and reached the lowest value at the soil depth of 10-20cm. This is mainly because the root system of Panax notoginseng is concentrated here and absorbs nutrients for crop growth, which in turn leads to the reduction of available nutrients in this layer of soil. On the other hand, the available nutrients will migrate downward with the movement of water, resulting in the decrease of 10-20cm soil nutrients, and accumulation in the 20-30cm soil layer, reducing the nutrient utilization rate of the root system (Wang </w:t>
      </w:r>
      <w:proofErr w:type="spellStart"/>
      <w:r>
        <w:t>amd</w:t>
      </w:r>
      <w:proofErr w:type="spellEnd"/>
      <w:r>
        <w:t xml:space="preserve"> </w:t>
      </w:r>
      <w:r w:rsidRPr="00E973B1">
        <w:rPr>
          <w:rFonts w:eastAsiaTheme="minorEastAsia"/>
          <w:noProof/>
          <w:color w:val="222222"/>
          <w:shd w:val="clear" w:color="auto" w:fill="FFFFFF"/>
        </w:rPr>
        <w:t>Zhou</w:t>
      </w:r>
      <w:r w:rsidRPr="00E973B1">
        <w:t xml:space="preserve"> 2013). Compared with DW1 and DW2 treatments, with the increase of irrigation amount, soil nutrients of 20-30cm gradually decreased. This may be due to the low irrigation rate, which will cause the soil surface to evaporate rapidly, and the deep soil moisture will move upwards due to the suction of the upper soil, thereby driving the upward migration of nutrients in the lower layer (Zhao et al. 2020).</w:t>
      </w:r>
    </w:p>
    <w:p w14:paraId="671EB8DF" w14:textId="77777777" w:rsidR="00D16AFD" w:rsidRDefault="00D16AFD" w:rsidP="00D16AFD">
      <w:pPr>
        <w:spacing w:before="326"/>
        <w:ind w:firstLine="400"/>
        <w:sectPr w:rsidR="00D16AFD" w:rsidSect="00091B08">
          <w:footerReference w:type="default" r:id="rId6"/>
          <w:type w:val="continuous"/>
          <w:pgSz w:w="11906" w:h="16838"/>
          <w:pgMar w:top="1440" w:right="1800" w:bottom="1440" w:left="1800" w:header="851" w:footer="992" w:gutter="0"/>
          <w:lnNumType w:countBy="1" w:restart="continuous"/>
          <w:pgNumType w:fmt="decimalFullWidth"/>
          <w:cols w:space="425"/>
          <w:docGrid w:type="lines" w:linePitch="326"/>
        </w:sectPr>
      </w:pPr>
      <w:r w:rsidRPr="00E973B1">
        <w:t xml:space="preserve">Under the same irrigation level, with the increase of fertilization amount, the content of available nutrients in the soil also increased gradually. Under the same fertilization level, soil nutrients decreased gradually with the increase of irrigation amount. This is mainly </w:t>
      </w:r>
      <w:proofErr w:type="gramStart"/>
      <w:r w:rsidRPr="00E973B1">
        <w:t>due to the fact that</w:t>
      </w:r>
      <w:proofErr w:type="gramEnd"/>
      <w:r w:rsidRPr="00E973B1">
        <w:t xml:space="preserve"> a </w:t>
      </w:r>
      <w:proofErr w:type="spellStart"/>
      <w:r w:rsidRPr="00E973B1">
        <w:t>hight</w:t>
      </w:r>
      <w:proofErr w:type="spellEnd"/>
      <w:r w:rsidRPr="00E973B1">
        <w:t xml:space="preserve"> soil moisture environment improves the rapid uptake of effective nutrients by crop roots (Kramer </w:t>
      </w:r>
      <w:r>
        <w:t xml:space="preserve">and </w:t>
      </w:r>
      <w:r w:rsidRPr="00E973B1">
        <w:rPr>
          <w:rFonts w:eastAsiaTheme="minorEastAsia"/>
          <w:noProof/>
          <w:color w:val="222222"/>
          <w:shd w:val="clear" w:color="auto" w:fill="FFFFFF"/>
        </w:rPr>
        <w:t>Boyer</w:t>
      </w:r>
      <w:r w:rsidRPr="00E973B1">
        <w:t xml:space="preserve"> 1995). And comparing the soil available nutrients under the sheltered and unshaded conditions, the surface soil nutrients in the unshaded condition were less than those in the shaded treatment. There may be two reasons explaining this phenomenon. On the one hand, the long-term high soil moisture environment led to the decrease of soil enzyme activity, resulting in the weakening of its ability to convert inorganic compounds into effective nutrients (Ma et al. 2001). On the other hand, due to frequent rainfall, the surface soil in the root zone of Panax notoginseng has been in a high moisture state for a long time, and it is significantly higher than the lower layer. The available nutrients in the soil may be denatured and continuously diffuse to the surrounding with the soil moisture (Zhao et al. 2020). Moisture and nutrients are of great significance to crop growth. Appropriate nutrients are the key factors for the healthy growth of crops, promoting the healthy growth of crops, reducing waste of fertilizers, and reducing agricultural environmental pollution, </w:t>
      </w:r>
      <w:proofErr w:type="gramStart"/>
      <w:r w:rsidRPr="00E973B1">
        <w:t>so as to</w:t>
      </w:r>
      <w:proofErr w:type="gramEnd"/>
      <w:r w:rsidRPr="00E973B1">
        <w:t xml:space="preserve"> achieve the goal of high-yield and high-quality production (Kidron et al. 2015).</w:t>
      </w:r>
    </w:p>
    <w:p w14:paraId="20A72ED6" w14:textId="77777777" w:rsidR="00D16AFD" w:rsidRPr="00E973B1" w:rsidRDefault="00D16AFD" w:rsidP="00D16AFD">
      <w:pPr>
        <w:spacing w:before="326"/>
        <w:ind w:firstLine="400"/>
      </w:pPr>
      <w:r w:rsidRPr="00E973B1">
        <w:br w:type="page"/>
      </w:r>
    </w:p>
    <w:p w14:paraId="48BC89D4" w14:textId="77777777" w:rsidR="00D16AFD" w:rsidRPr="00E973B1" w:rsidRDefault="00D16AFD" w:rsidP="00D16AFD">
      <w:pPr>
        <w:spacing w:before="326"/>
        <w:ind w:firstLineChars="0" w:firstLine="0"/>
        <w:rPr>
          <w:b/>
          <w:bCs/>
        </w:rPr>
        <w:sectPr w:rsidR="00D16AFD" w:rsidRPr="00E973B1" w:rsidSect="00091B08">
          <w:type w:val="continuous"/>
          <w:pgSz w:w="11906" w:h="16838"/>
          <w:pgMar w:top="1440" w:right="1800" w:bottom="1440" w:left="1800" w:header="851" w:footer="992" w:gutter="0"/>
          <w:lnNumType w:countBy="1" w:restart="continuous"/>
          <w:pgNumType w:fmt="decimalFullWidth"/>
          <w:cols w:space="425"/>
          <w:docGrid w:type="lines" w:linePitch="326"/>
        </w:sectPr>
      </w:pPr>
      <w:r w:rsidRPr="00E973B1">
        <w:rPr>
          <w:b/>
          <w:bCs/>
        </w:rPr>
        <w:lastRenderedPageBreak/>
        <w:t xml:space="preserve">Text S2 Vertical distribution of soil EC in root zone of Panax notoginseng in rainy </w:t>
      </w:r>
      <w:proofErr w:type="spellStart"/>
      <w:r w:rsidRPr="00E973B1">
        <w:rPr>
          <w:b/>
          <w:bCs/>
        </w:rPr>
        <w:t>seaso</w:t>
      </w:r>
      <w:proofErr w:type="spellEnd"/>
    </w:p>
    <w:p w14:paraId="04006BCD" w14:textId="77777777" w:rsidR="00D16AFD" w:rsidRPr="00E973B1" w:rsidRDefault="00D16AFD" w:rsidP="00D16AFD">
      <w:pPr>
        <w:spacing w:before="326"/>
        <w:ind w:firstLine="400"/>
      </w:pPr>
      <w:r w:rsidRPr="00E973B1">
        <w:t>Different irrigation and fertilization had significant effects on soil EC (Fig. S8). The soil EC value gradually increased with the increase of fertilization amount, while the surface soil EC gradually decreased with the increase of soil moisture. And there was a significant difference in soil EC between the sheltered environment and the non-rain sheltered environment (</w:t>
      </w:r>
      <w:r w:rsidRPr="003843E8">
        <w:rPr>
          <w:i/>
          <w:iCs/>
        </w:rPr>
        <w:t>P</w:t>
      </w:r>
      <w:r w:rsidRPr="00E973B1">
        <w:t>&lt;0.05). This is mainly due to the strong leaching of the topsoil by frequent and intense rainfall, resulting in the continuous movement of ions in the soil to the surrounding and deep soil along with water. However, the EC of the topsoil in DW1 is higher than that of DW2. This is because the small amount of irrigation water in DW1 makes the water in the topsoil evaporate quickly, and the ions in the lower soil move to the upper layer with the water, which is consistent with the distribution and movement of soil available nutrients. On the other hand, the amount of irrigation water in the rain-shelter treatment (DW2F) will make the excess soluble ions in the soil move to the lower soil layer with water, reduce the accumulation in the topsoil, and reduce the CE of the topsoil. With continuous planting for many years, soil EC is also increasing year by year, and suitable soil EC value is beneficial to crop growth and soil environment.</w:t>
      </w:r>
    </w:p>
    <w:p w14:paraId="1F344C86" w14:textId="77777777" w:rsidR="00D16AFD" w:rsidRPr="00E973B1" w:rsidRDefault="00D16AFD" w:rsidP="00D16AFD">
      <w:pPr>
        <w:spacing w:before="326"/>
        <w:ind w:firstLine="400"/>
      </w:pPr>
    </w:p>
    <w:p w14:paraId="34687B3C" w14:textId="77777777" w:rsidR="00D16AFD" w:rsidRPr="00E973B1" w:rsidRDefault="00D16AFD" w:rsidP="00D16AFD">
      <w:pPr>
        <w:spacing w:before="326"/>
        <w:ind w:firstLine="402"/>
        <w:sectPr w:rsidR="00D16AFD" w:rsidRPr="00E973B1" w:rsidSect="00091B08">
          <w:footerReference w:type="default" r:id="rId7"/>
          <w:type w:val="continuous"/>
          <w:pgSz w:w="11906" w:h="16838"/>
          <w:pgMar w:top="1440" w:right="1800" w:bottom="1440" w:left="1800" w:header="851" w:footer="992" w:gutter="0"/>
          <w:lnNumType w:countBy="1" w:restart="continuous"/>
          <w:pgNumType w:fmt="decimalFullWidth"/>
          <w:cols w:space="425"/>
          <w:docGrid w:type="lines" w:linePitch="326"/>
        </w:sectPr>
      </w:pPr>
      <w:r w:rsidRPr="00257F4A">
        <w:rPr>
          <w:b/>
          <w:bCs/>
        </w:rPr>
        <w:t>Table S1</w:t>
      </w:r>
      <w:r w:rsidRPr="00E973B1">
        <w:t xml:space="preserve"> Changes of soil pH in root zone of Panax notoginseng in rainy season  </w:t>
      </w:r>
    </w:p>
    <w:tbl>
      <w:tblPr>
        <w:tblStyle w:val="a7"/>
        <w:tblW w:w="10206" w:type="dxa"/>
        <w:tblInd w:w="-709" w:type="dxa"/>
        <w:tblLayout w:type="fixed"/>
        <w:tblLook w:val="04A0" w:firstRow="1" w:lastRow="0" w:firstColumn="1" w:lastColumn="0" w:noHBand="0" w:noVBand="1"/>
      </w:tblPr>
      <w:tblGrid>
        <w:gridCol w:w="1134"/>
        <w:gridCol w:w="1134"/>
        <w:gridCol w:w="1134"/>
        <w:gridCol w:w="1134"/>
        <w:gridCol w:w="1134"/>
        <w:gridCol w:w="1134"/>
        <w:gridCol w:w="1134"/>
        <w:gridCol w:w="1134"/>
        <w:gridCol w:w="1134"/>
      </w:tblGrid>
      <w:tr w:rsidR="00D16AFD" w:rsidRPr="00E973B1" w14:paraId="2C0D6D49" w14:textId="77777777" w:rsidTr="00022991">
        <w:trPr>
          <w:trHeight w:val="652"/>
        </w:trPr>
        <w:tc>
          <w:tcPr>
            <w:tcW w:w="1134" w:type="dxa"/>
            <w:tcBorders>
              <w:top w:val="single" w:sz="12" w:space="0" w:color="auto"/>
              <w:left w:val="nil"/>
              <w:bottom w:val="single" w:sz="12" w:space="0" w:color="auto"/>
              <w:right w:val="nil"/>
            </w:tcBorders>
            <w:noWrap/>
            <w:vAlign w:val="center"/>
            <w:hideMark/>
          </w:tcPr>
          <w:p w14:paraId="274C7C5F" w14:textId="77777777" w:rsidR="00D16AFD" w:rsidRPr="00E973B1" w:rsidRDefault="00D16AFD" w:rsidP="00022991">
            <w:pPr>
              <w:spacing w:before="100" w:beforeAutospacing="1" w:after="100" w:afterAutospacing="1" w:line="240" w:lineRule="auto"/>
              <w:ind w:firstLineChars="0" w:firstLine="0"/>
              <w:jc w:val="center"/>
            </w:pPr>
            <w:r w:rsidRPr="00E973B1">
              <w:t>Handle</w:t>
            </w:r>
          </w:p>
        </w:tc>
        <w:tc>
          <w:tcPr>
            <w:tcW w:w="1134" w:type="dxa"/>
            <w:tcBorders>
              <w:top w:val="single" w:sz="12" w:space="0" w:color="auto"/>
              <w:left w:val="nil"/>
              <w:bottom w:val="single" w:sz="12" w:space="0" w:color="auto"/>
              <w:right w:val="nil"/>
            </w:tcBorders>
            <w:noWrap/>
            <w:vAlign w:val="center"/>
            <w:hideMark/>
          </w:tcPr>
          <w:p w14:paraId="3C4C1E9B" w14:textId="77777777" w:rsidR="00D16AFD" w:rsidRPr="00E973B1" w:rsidRDefault="00D16AFD" w:rsidP="00022991">
            <w:pPr>
              <w:spacing w:before="100" w:beforeAutospacing="1" w:after="100" w:afterAutospacing="1" w:line="240" w:lineRule="auto"/>
              <w:ind w:firstLineChars="0" w:firstLine="0"/>
              <w:jc w:val="center"/>
            </w:pPr>
            <w:r w:rsidRPr="00E973B1">
              <w:t>DW1F0</w:t>
            </w:r>
          </w:p>
        </w:tc>
        <w:tc>
          <w:tcPr>
            <w:tcW w:w="1134" w:type="dxa"/>
            <w:tcBorders>
              <w:top w:val="single" w:sz="12" w:space="0" w:color="auto"/>
              <w:left w:val="nil"/>
              <w:bottom w:val="single" w:sz="12" w:space="0" w:color="auto"/>
              <w:right w:val="nil"/>
            </w:tcBorders>
            <w:noWrap/>
            <w:vAlign w:val="center"/>
            <w:hideMark/>
          </w:tcPr>
          <w:p w14:paraId="4F3EEED5" w14:textId="77777777" w:rsidR="00D16AFD" w:rsidRPr="00E973B1" w:rsidRDefault="00D16AFD" w:rsidP="00022991">
            <w:pPr>
              <w:spacing w:before="100" w:beforeAutospacing="1" w:after="100" w:afterAutospacing="1" w:line="240" w:lineRule="auto"/>
              <w:ind w:firstLineChars="0" w:firstLine="0"/>
              <w:jc w:val="center"/>
            </w:pPr>
            <w:r w:rsidRPr="00E973B1">
              <w:t>DW1F1</w:t>
            </w:r>
          </w:p>
        </w:tc>
        <w:tc>
          <w:tcPr>
            <w:tcW w:w="1134" w:type="dxa"/>
            <w:tcBorders>
              <w:top w:val="single" w:sz="12" w:space="0" w:color="auto"/>
              <w:left w:val="nil"/>
              <w:bottom w:val="single" w:sz="12" w:space="0" w:color="auto"/>
              <w:right w:val="nil"/>
            </w:tcBorders>
            <w:noWrap/>
            <w:vAlign w:val="center"/>
            <w:hideMark/>
          </w:tcPr>
          <w:p w14:paraId="3C5D4901" w14:textId="77777777" w:rsidR="00D16AFD" w:rsidRPr="00E973B1" w:rsidRDefault="00D16AFD" w:rsidP="00022991">
            <w:pPr>
              <w:spacing w:before="100" w:beforeAutospacing="1" w:after="100" w:afterAutospacing="1" w:line="240" w:lineRule="auto"/>
              <w:ind w:firstLineChars="0" w:firstLine="0"/>
              <w:jc w:val="center"/>
            </w:pPr>
            <w:r w:rsidRPr="00E973B1">
              <w:t>DW1F2</w:t>
            </w:r>
          </w:p>
        </w:tc>
        <w:tc>
          <w:tcPr>
            <w:tcW w:w="1134" w:type="dxa"/>
            <w:tcBorders>
              <w:top w:val="single" w:sz="12" w:space="0" w:color="auto"/>
              <w:left w:val="nil"/>
              <w:bottom w:val="single" w:sz="12" w:space="0" w:color="auto"/>
              <w:right w:val="nil"/>
            </w:tcBorders>
            <w:noWrap/>
            <w:vAlign w:val="center"/>
            <w:hideMark/>
          </w:tcPr>
          <w:p w14:paraId="61C68D38" w14:textId="77777777" w:rsidR="00D16AFD" w:rsidRPr="00E973B1" w:rsidRDefault="00D16AFD" w:rsidP="00022991">
            <w:pPr>
              <w:spacing w:before="100" w:beforeAutospacing="1" w:after="100" w:afterAutospacing="1" w:line="240" w:lineRule="auto"/>
              <w:ind w:firstLineChars="0" w:firstLine="0"/>
              <w:jc w:val="center"/>
            </w:pPr>
            <w:r w:rsidRPr="00E973B1">
              <w:t>DW1F3</w:t>
            </w:r>
          </w:p>
        </w:tc>
        <w:tc>
          <w:tcPr>
            <w:tcW w:w="1134" w:type="dxa"/>
            <w:tcBorders>
              <w:top w:val="single" w:sz="12" w:space="0" w:color="auto"/>
              <w:left w:val="nil"/>
              <w:bottom w:val="single" w:sz="12" w:space="0" w:color="auto"/>
              <w:right w:val="nil"/>
            </w:tcBorders>
            <w:noWrap/>
            <w:vAlign w:val="center"/>
            <w:hideMark/>
          </w:tcPr>
          <w:p w14:paraId="19247FBA" w14:textId="77777777" w:rsidR="00D16AFD" w:rsidRPr="00E973B1" w:rsidRDefault="00D16AFD" w:rsidP="00022991">
            <w:pPr>
              <w:spacing w:before="100" w:beforeAutospacing="1" w:after="100" w:afterAutospacing="1" w:line="240" w:lineRule="auto"/>
              <w:ind w:firstLineChars="0" w:firstLine="0"/>
              <w:jc w:val="center"/>
            </w:pPr>
            <w:r w:rsidRPr="00E973B1">
              <w:t>DW2F0</w:t>
            </w:r>
          </w:p>
        </w:tc>
        <w:tc>
          <w:tcPr>
            <w:tcW w:w="1134" w:type="dxa"/>
            <w:tcBorders>
              <w:top w:val="single" w:sz="12" w:space="0" w:color="auto"/>
              <w:left w:val="nil"/>
              <w:bottom w:val="single" w:sz="12" w:space="0" w:color="auto"/>
              <w:right w:val="nil"/>
            </w:tcBorders>
            <w:noWrap/>
            <w:vAlign w:val="center"/>
            <w:hideMark/>
          </w:tcPr>
          <w:p w14:paraId="2844C901" w14:textId="77777777" w:rsidR="00D16AFD" w:rsidRPr="00E973B1" w:rsidRDefault="00D16AFD" w:rsidP="00022991">
            <w:pPr>
              <w:spacing w:before="100" w:beforeAutospacing="1" w:after="100" w:afterAutospacing="1" w:line="240" w:lineRule="auto"/>
              <w:ind w:firstLineChars="0" w:firstLine="0"/>
              <w:jc w:val="center"/>
            </w:pPr>
            <w:r w:rsidRPr="00E973B1">
              <w:t>DW2F1</w:t>
            </w:r>
          </w:p>
        </w:tc>
        <w:tc>
          <w:tcPr>
            <w:tcW w:w="1134" w:type="dxa"/>
            <w:tcBorders>
              <w:top w:val="single" w:sz="12" w:space="0" w:color="auto"/>
              <w:left w:val="nil"/>
              <w:bottom w:val="single" w:sz="12" w:space="0" w:color="auto"/>
              <w:right w:val="nil"/>
            </w:tcBorders>
            <w:noWrap/>
            <w:vAlign w:val="center"/>
            <w:hideMark/>
          </w:tcPr>
          <w:p w14:paraId="71DFFB4F" w14:textId="77777777" w:rsidR="00D16AFD" w:rsidRPr="00E973B1" w:rsidRDefault="00D16AFD" w:rsidP="00022991">
            <w:pPr>
              <w:spacing w:before="100" w:beforeAutospacing="1" w:after="100" w:afterAutospacing="1" w:line="240" w:lineRule="auto"/>
              <w:ind w:firstLineChars="0" w:firstLine="0"/>
              <w:jc w:val="center"/>
            </w:pPr>
            <w:r w:rsidRPr="00E973B1">
              <w:t>DW2F2</w:t>
            </w:r>
          </w:p>
        </w:tc>
        <w:tc>
          <w:tcPr>
            <w:tcW w:w="1134" w:type="dxa"/>
            <w:tcBorders>
              <w:top w:val="single" w:sz="12" w:space="0" w:color="auto"/>
              <w:left w:val="nil"/>
              <w:bottom w:val="single" w:sz="12" w:space="0" w:color="auto"/>
              <w:right w:val="nil"/>
            </w:tcBorders>
            <w:noWrap/>
            <w:vAlign w:val="center"/>
            <w:hideMark/>
          </w:tcPr>
          <w:p w14:paraId="38B8FEA2" w14:textId="77777777" w:rsidR="00D16AFD" w:rsidRPr="00E973B1" w:rsidRDefault="00D16AFD" w:rsidP="00022991">
            <w:pPr>
              <w:spacing w:before="100" w:beforeAutospacing="1" w:after="100" w:afterAutospacing="1" w:line="240" w:lineRule="auto"/>
              <w:ind w:firstLineChars="0" w:firstLine="0"/>
              <w:jc w:val="center"/>
            </w:pPr>
            <w:r w:rsidRPr="00E973B1">
              <w:t>DW2F3</w:t>
            </w:r>
          </w:p>
        </w:tc>
      </w:tr>
      <w:tr w:rsidR="00D16AFD" w:rsidRPr="00E973B1" w14:paraId="205B0520" w14:textId="77777777" w:rsidTr="00022991">
        <w:trPr>
          <w:trHeight w:val="652"/>
        </w:trPr>
        <w:tc>
          <w:tcPr>
            <w:tcW w:w="1134" w:type="dxa"/>
            <w:tcBorders>
              <w:top w:val="single" w:sz="12" w:space="0" w:color="auto"/>
              <w:left w:val="nil"/>
              <w:bottom w:val="single" w:sz="4" w:space="0" w:color="auto"/>
              <w:right w:val="nil"/>
            </w:tcBorders>
            <w:noWrap/>
            <w:vAlign w:val="center"/>
            <w:hideMark/>
          </w:tcPr>
          <w:p w14:paraId="1A265A98" w14:textId="77777777" w:rsidR="00D16AFD" w:rsidRPr="00E973B1" w:rsidRDefault="00D16AFD" w:rsidP="00022991">
            <w:pPr>
              <w:spacing w:before="100" w:beforeAutospacing="1" w:after="100" w:afterAutospacing="1" w:line="240" w:lineRule="auto"/>
              <w:ind w:firstLineChars="0" w:firstLine="0"/>
              <w:jc w:val="center"/>
            </w:pPr>
            <w:r w:rsidRPr="00E973B1">
              <w:t>(June) Soil pH</w:t>
            </w:r>
          </w:p>
        </w:tc>
        <w:tc>
          <w:tcPr>
            <w:tcW w:w="1134" w:type="dxa"/>
            <w:tcBorders>
              <w:top w:val="single" w:sz="12" w:space="0" w:color="auto"/>
              <w:left w:val="nil"/>
              <w:bottom w:val="single" w:sz="4" w:space="0" w:color="auto"/>
              <w:right w:val="nil"/>
            </w:tcBorders>
            <w:noWrap/>
            <w:vAlign w:val="center"/>
            <w:hideMark/>
          </w:tcPr>
          <w:p w14:paraId="4C6E4139" w14:textId="77777777" w:rsidR="00D16AFD" w:rsidRPr="00E973B1" w:rsidRDefault="00D16AFD" w:rsidP="00022991">
            <w:pPr>
              <w:spacing w:before="100" w:beforeAutospacing="1" w:after="100" w:afterAutospacing="1" w:line="240" w:lineRule="auto"/>
              <w:ind w:firstLineChars="0" w:firstLine="0"/>
              <w:jc w:val="center"/>
            </w:pPr>
            <w:r w:rsidRPr="00E973B1">
              <w:t>6.62±0.11cCα</w:t>
            </w:r>
          </w:p>
        </w:tc>
        <w:tc>
          <w:tcPr>
            <w:tcW w:w="1134" w:type="dxa"/>
            <w:tcBorders>
              <w:top w:val="single" w:sz="12" w:space="0" w:color="auto"/>
              <w:left w:val="nil"/>
              <w:bottom w:val="single" w:sz="4" w:space="0" w:color="auto"/>
              <w:right w:val="nil"/>
            </w:tcBorders>
            <w:noWrap/>
            <w:vAlign w:val="center"/>
            <w:hideMark/>
          </w:tcPr>
          <w:p w14:paraId="3CC916E7" w14:textId="77777777" w:rsidR="00D16AFD" w:rsidRPr="00E973B1" w:rsidRDefault="00D16AFD" w:rsidP="00022991">
            <w:pPr>
              <w:spacing w:before="100" w:beforeAutospacing="1" w:after="100" w:afterAutospacing="1" w:line="240" w:lineRule="auto"/>
              <w:ind w:firstLineChars="0" w:firstLine="0"/>
              <w:jc w:val="center"/>
            </w:pPr>
            <w:r w:rsidRPr="00E973B1">
              <w:t>6.9±0.13bBα</w:t>
            </w:r>
          </w:p>
        </w:tc>
        <w:tc>
          <w:tcPr>
            <w:tcW w:w="1134" w:type="dxa"/>
            <w:tcBorders>
              <w:top w:val="single" w:sz="12" w:space="0" w:color="auto"/>
              <w:left w:val="nil"/>
              <w:bottom w:val="single" w:sz="4" w:space="0" w:color="auto"/>
              <w:right w:val="nil"/>
            </w:tcBorders>
            <w:noWrap/>
            <w:vAlign w:val="center"/>
            <w:hideMark/>
          </w:tcPr>
          <w:p w14:paraId="098064AD" w14:textId="77777777" w:rsidR="00D16AFD" w:rsidRPr="00E973B1" w:rsidRDefault="00D16AFD" w:rsidP="00022991">
            <w:pPr>
              <w:spacing w:before="100" w:beforeAutospacing="1" w:after="100" w:afterAutospacing="1" w:line="240" w:lineRule="auto"/>
              <w:ind w:firstLineChars="0" w:firstLine="0"/>
              <w:jc w:val="center"/>
            </w:pPr>
            <w:r w:rsidRPr="00E973B1">
              <w:t>7.05±0.15abAα</w:t>
            </w:r>
          </w:p>
        </w:tc>
        <w:tc>
          <w:tcPr>
            <w:tcW w:w="1134" w:type="dxa"/>
            <w:tcBorders>
              <w:top w:val="single" w:sz="12" w:space="0" w:color="auto"/>
              <w:left w:val="nil"/>
              <w:bottom w:val="single" w:sz="4" w:space="0" w:color="auto"/>
              <w:right w:val="nil"/>
            </w:tcBorders>
            <w:noWrap/>
            <w:vAlign w:val="center"/>
            <w:hideMark/>
          </w:tcPr>
          <w:p w14:paraId="1DA302A3" w14:textId="77777777" w:rsidR="00D16AFD" w:rsidRPr="00E973B1" w:rsidRDefault="00D16AFD" w:rsidP="00022991">
            <w:pPr>
              <w:spacing w:before="100" w:beforeAutospacing="1" w:after="100" w:afterAutospacing="1" w:line="240" w:lineRule="auto"/>
              <w:ind w:firstLineChars="0" w:firstLine="0"/>
              <w:jc w:val="center"/>
            </w:pPr>
            <w:r w:rsidRPr="00E973B1">
              <w:t>7.19±0.22aBα</w:t>
            </w:r>
          </w:p>
        </w:tc>
        <w:tc>
          <w:tcPr>
            <w:tcW w:w="1134" w:type="dxa"/>
            <w:tcBorders>
              <w:top w:val="single" w:sz="12" w:space="0" w:color="auto"/>
              <w:left w:val="nil"/>
              <w:bottom w:val="single" w:sz="4" w:space="0" w:color="auto"/>
              <w:right w:val="nil"/>
            </w:tcBorders>
            <w:noWrap/>
            <w:vAlign w:val="center"/>
            <w:hideMark/>
          </w:tcPr>
          <w:p w14:paraId="11A8ED20" w14:textId="77777777" w:rsidR="00D16AFD" w:rsidRPr="00E973B1" w:rsidRDefault="00D16AFD" w:rsidP="00022991">
            <w:pPr>
              <w:spacing w:before="100" w:beforeAutospacing="1" w:after="100" w:afterAutospacing="1" w:line="240" w:lineRule="auto"/>
              <w:ind w:firstLineChars="0" w:firstLine="0"/>
              <w:jc w:val="center"/>
            </w:pPr>
            <w:r w:rsidRPr="00E973B1">
              <w:t>6.76±0.11bBα</w:t>
            </w:r>
          </w:p>
        </w:tc>
        <w:tc>
          <w:tcPr>
            <w:tcW w:w="1134" w:type="dxa"/>
            <w:tcBorders>
              <w:top w:val="single" w:sz="12" w:space="0" w:color="auto"/>
              <w:left w:val="nil"/>
              <w:bottom w:val="single" w:sz="4" w:space="0" w:color="auto"/>
              <w:right w:val="nil"/>
            </w:tcBorders>
            <w:noWrap/>
            <w:vAlign w:val="center"/>
            <w:hideMark/>
          </w:tcPr>
          <w:p w14:paraId="189DAA29" w14:textId="77777777" w:rsidR="00D16AFD" w:rsidRPr="00E973B1" w:rsidRDefault="00D16AFD" w:rsidP="00022991">
            <w:pPr>
              <w:spacing w:before="100" w:beforeAutospacing="1" w:after="100" w:afterAutospacing="1" w:line="240" w:lineRule="auto"/>
              <w:ind w:firstLineChars="0" w:firstLine="0"/>
              <w:jc w:val="center"/>
            </w:pPr>
            <w:r w:rsidRPr="00E973B1">
              <w:t>7.12±0.1bAα</w:t>
            </w:r>
          </w:p>
        </w:tc>
        <w:tc>
          <w:tcPr>
            <w:tcW w:w="1134" w:type="dxa"/>
            <w:tcBorders>
              <w:top w:val="single" w:sz="12" w:space="0" w:color="auto"/>
              <w:left w:val="nil"/>
              <w:bottom w:val="single" w:sz="4" w:space="0" w:color="auto"/>
              <w:right w:val="nil"/>
            </w:tcBorders>
            <w:noWrap/>
            <w:vAlign w:val="center"/>
            <w:hideMark/>
          </w:tcPr>
          <w:p w14:paraId="7395AFF2" w14:textId="77777777" w:rsidR="00D16AFD" w:rsidRPr="00E973B1" w:rsidRDefault="00D16AFD" w:rsidP="00022991">
            <w:pPr>
              <w:spacing w:before="100" w:beforeAutospacing="1" w:after="100" w:afterAutospacing="1" w:line="240" w:lineRule="auto"/>
              <w:ind w:firstLineChars="0" w:firstLine="0"/>
              <w:jc w:val="center"/>
            </w:pPr>
            <w:r w:rsidRPr="00E973B1">
              <w:t>7.02±0.13abAα</w:t>
            </w:r>
          </w:p>
        </w:tc>
        <w:tc>
          <w:tcPr>
            <w:tcW w:w="1134" w:type="dxa"/>
            <w:tcBorders>
              <w:top w:val="single" w:sz="12" w:space="0" w:color="auto"/>
              <w:left w:val="nil"/>
              <w:bottom w:val="single" w:sz="4" w:space="0" w:color="auto"/>
              <w:right w:val="nil"/>
            </w:tcBorders>
            <w:noWrap/>
            <w:vAlign w:val="center"/>
            <w:hideMark/>
          </w:tcPr>
          <w:p w14:paraId="508BDAF0" w14:textId="77777777" w:rsidR="00D16AFD" w:rsidRPr="00E973B1" w:rsidRDefault="00D16AFD" w:rsidP="00022991">
            <w:pPr>
              <w:spacing w:before="100" w:beforeAutospacing="1" w:after="100" w:afterAutospacing="1" w:line="240" w:lineRule="auto"/>
              <w:ind w:firstLineChars="0" w:firstLine="0"/>
              <w:jc w:val="center"/>
            </w:pPr>
            <w:r w:rsidRPr="00E973B1">
              <w:t>7.14±0.2aAα</w:t>
            </w:r>
          </w:p>
        </w:tc>
      </w:tr>
      <w:tr w:rsidR="00D16AFD" w:rsidRPr="00E973B1" w14:paraId="29E17891" w14:textId="77777777" w:rsidTr="00022991">
        <w:trPr>
          <w:trHeight w:val="652"/>
        </w:trPr>
        <w:tc>
          <w:tcPr>
            <w:tcW w:w="1134" w:type="dxa"/>
            <w:tcBorders>
              <w:top w:val="single" w:sz="4" w:space="0" w:color="auto"/>
              <w:left w:val="nil"/>
              <w:bottom w:val="single" w:sz="4" w:space="0" w:color="auto"/>
              <w:right w:val="nil"/>
            </w:tcBorders>
            <w:noWrap/>
            <w:vAlign w:val="center"/>
            <w:hideMark/>
          </w:tcPr>
          <w:p w14:paraId="5EE07198" w14:textId="77777777" w:rsidR="00D16AFD" w:rsidRPr="00E973B1" w:rsidRDefault="00D16AFD" w:rsidP="00022991">
            <w:pPr>
              <w:spacing w:before="100" w:beforeAutospacing="1" w:after="100" w:afterAutospacing="1" w:line="240" w:lineRule="auto"/>
              <w:ind w:firstLineChars="0" w:firstLine="0"/>
              <w:jc w:val="center"/>
            </w:pPr>
            <w:r w:rsidRPr="00E973B1">
              <w:t>(August) Soil pH</w:t>
            </w:r>
          </w:p>
        </w:tc>
        <w:tc>
          <w:tcPr>
            <w:tcW w:w="1134" w:type="dxa"/>
            <w:tcBorders>
              <w:top w:val="single" w:sz="4" w:space="0" w:color="auto"/>
              <w:left w:val="nil"/>
              <w:bottom w:val="single" w:sz="4" w:space="0" w:color="auto"/>
              <w:right w:val="nil"/>
            </w:tcBorders>
            <w:noWrap/>
            <w:vAlign w:val="center"/>
            <w:hideMark/>
          </w:tcPr>
          <w:p w14:paraId="6372AD4F" w14:textId="77777777" w:rsidR="00D16AFD" w:rsidRPr="00E973B1" w:rsidRDefault="00D16AFD" w:rsidP="00022991">
            <w:pPr>
              <w:spacing w:before="100" w:beforeAutospacing="1" w:after="100" w:afterAutospacing="1" w:line="240" w:lineRule="auto"/>
              <w:ind w:firstLineChars="0" w:firstLine="0"/>
              <w:jc w:val="center"/>
            </w:pPr>
            <w:r w:rsidRPr="00E973B1">
              <w:t>6.28±0.05cCα</w:t>
            </w:r>
          </w:p>
        </w:tc>
        <w:tc>
          <w:tcPr>
            <w:tcW w:w="1134" w:type="dxa"/>
            <w:tcBorders>
              <w:top w:val="single" w:sz="4" w:space="0" w:color="auto"/>
              <w:left w:val="nil"/>
              <w:bottom w:val="single" w:sz="4" w:space="0" w:color="auto"/>
              <w:right w:val="nil"/>
            </w:tcBorders>
            <w:noWrap/>
            <w:vAlign w:val="center"/>
            <w:hideMark/>
          </w:tcPr>
          <w:p w14:paraId="416F886A" w14:textId="77777777" w:rsidR="00D16AFD" w:rsidRPr="00E973B1" w:rsidRDefault="00D16AFD" w:rsidP="00022991">
            <w:pPr>
              <w:spacing w:before="100" w:beforeAutospacing="1" w:after="100" w:afterAutospacing="1" w:line="240" w:lineRule="auto"/>
              <w:ind w:firstLineChars="0" w:firstLine="0"/>
              <w:jc w:val="center"/>
            </w:pPr>
            <w:r w:rsidRPr="00E973B1">
              <w:t>6.61±0.04bBα</w:t>
            </w:r>
          </w:p>
        </w:tc>
        <w:tc>
          <w:tcPr>
            <w:tcW w:w="1134" w:type="dxa"/>
            <w:tcBorders>
              <w:top w:val="single" w:sz="4" w:space="0" w:color="auto"/>
              <w:left w:val="nil"/>
              <w:bottom w:val="single" w:sz="4" w:space="0" w:color="auto"/>
              <w:right w:val="nil"/>
            </w:tcBorders>
            <w:noWrap/>
            <w:vAlign w:val="center"/>
            <w:hideMark/>
          </w:tcPr>
          <w:p w14:paraId="6ED126BE" w14:textId="77777777" w:rsidR="00D16AFD" w:rsidRPr="00E973B1" w:rsidRDefault="00D16AFD" w:rsidP="00022991">
            <w:pPr>
              <w:spacing w:before="100" w:beforeAutospacing="1" w:after="100" w:afterAutospacing="1" w:line="240" w:lineRule="auto"/>
              <w:ind w:firstLineChars="0" w:firstLine="0"/>
              <w:jc w:val="center"/>
            </w:pPr>
            <w:r w:rsidRPr="00E973B1">
              <w:t>6.82±0.04abAα</w:t>
            </w:r>
          </w:p>
        </w:tc>
        <w:tc>
          <w:tcPr>
            <w:tcW w:w="1134" w:type="dxa"/>
            <w:tcBorders>
              <w:top w:val="single" w:sz="4" w:space="0" w:color="auto"/>
              <w:left w:val="nil"/>
              <w:bottom w:val="single" w:sz="4" w:space="0" w:color="auto"/>
              <w:right w:val="nil"/>
            </w:tcBorders>
            <w:noWrap/>
            <w:vAlign w:val="center"/>
            <w:hideMark/>
          </w:tcPr>
          <w:p w14:paraId="68C837DD" w14:textId="77777777" w:rsidR="00D16AFD" w:rsidRPr="00E973B1" w:rsidRDefault="00D16AFD" w:rsidP="00022991">
            <w:pPr>
              <w:spacing w:before="100" w:beforeAutospacing="1" w:after="100" w:afterAutospacing="1" w:line="240" w:lineRule="auto"/>
              <w:ind w:firstLineChars="0" w:firstLine="0"/>
              <w:jc w:val="center"/>
            </w:pPr>
            <w:r w:rsidRPr="00E973B1">
              <w:t>6.99±0.09aBα</w:t>
            </w:r>
          </w:p>
        </w:tc>
        <w:tc>
          <w:tcPr>
            <w:tcW w:w="1134" w:type="dxa"/>
            <w:tcBorders>
              <w:top w:val="single" w:sz="4" w:space="0" w:color="auto"/>
              <w:left w:val="nil"/>
              <w:bottom w:val="single" w:sz="4" w:space="0" w:color="auto"/>
              <w:right w:val="nil"/>
            </w:tcBorders>
            <w:noWrap/>
            <w:vAlign w:val="center"/>
            <w:hideMark/>
          </w:tcPr>
          <w:p w14:paraId="64140867" w14:textId="77777777" w:rsidR="00D16AFD" w:rsidRPr="00E973B1" w:rsidRDefault="00D16AFD" w:rsidP="00022991">
            <w:pPr>
              <w:spacing w:before="100" w:beforeAutospacing="1" w:after="100" w:afterAutospacing="1" w:line="240" w:lineRule="auto"/>
              <w:ind w:firstLineChars="0" w:firstLine="0"/>
              <w:jc w:val="center"/>
            </w:pPr>
            <w:r w:rsidRPr="00E973B1">
              <w:t>6.61±0.1bBα</w:t>
            </w:r>
          </w:p>
        </w:tc>
        <w:tc>
          <w:tcPr>
            <w:tcW w:w="1134" w:type="dxa"/>
            <w:tcBorders>
              <w:top w:val="single" w:sz="4" w:space="0" w:color="auto"/>
              <w:left w:val="nil"/>
              <w:bottom w:val="single" w:sz="4" w:space="0" w:color="auto"/>
              <w:right w:val="nil"/>
            </w:tcBorders>
            <w:noWrap/>
            <w:vAlign w:val="center"/>
            <w:hideMark/>
          </w:tcPr>
          <w:p w14:paraId="6F933F91" w14:textId="77777777" w:rsidR="00D16AFD" w:rsidRPr="00E973B1" w:rsidRDefault="00D16AFD" w:rsidP="00022991">
            <w:pPr>
              <w:spacing w:before="100" w:beforeAutospacing="1" w:after="100" w:afterAutospacing="1" w:line="240" w:lineRule="auto"/>
              <w:ind w:firstLineChars="0" w:firstLine="0"/>
              <w:jc w:val="center"/>
            </w:pPr>
            <w:r w:rsidRPr="00E973B1">
              <w:t>6.73±0.04aAα</w:t>
            </w:r>
          </w:p>
        </w:tc>
        <w:tc>
          <w:tcPr>
            <w:tcW w:w="1134" w:type="dxa"/>
            <w:tcBorders>
              <w:top w:val="single" w:sz="4" w:space="0" w:color="auto"/>
              <w:left w:val="nil"/>
              <w:bottom w:val="single" w:sz="4" w:space="0" w:color="auto"/>
              <w:right w:val="nil"/>
            </w:tcBorders>
            <w:noWrap/>
            <w:vAlign w:val="center"/>
            <w:hideMark/>
          </w:tcPr>
          <w:p w14:paraId="7EFA89F2" w14:textId="77777777" w:rsidR="00D16AFD" w:rsidRPr="00E973B1" w:rsidRDefault="00D16AFD" w:rsidP="00022991">
            <w:pPr>
              <w:spacing w:before="100" w:beforeAutospacing="1" w:after="100" w:afterAutospacing="1" w:line="240" w:lineRule="auto"/>
              <w:ind w:firstLineChars="0" w:firstLine="0"/>
              <w:jc w:val="center"/>
            </w:pPr>
            <w:r w:rsidRPr="00E973B1">
              <w:t>6.83±0.05bAα</w:t>
            </w:r>
          </w:p>
        </w:tc>
        <w:tc>
          <w:tcPr>
            <w:tcW w:w="1134" w:type="dxa"/>
            <w:tcBorders>
              <w:top w:val="single" w:sz="4" w:space="0" w:color="auto"/>
              <w:left w:val="nil"/>
              <w:bottom w:val="single" w:sz="4" w:space="0" w:color="auto"/>
              <w:right w:val="nil"/>
            </w:tcBorders>
            <w:noWrap/>
            <w:vAlign w:val="center"/>
            <w:hideMark/>
          </w:tcPr>
          <w:p w14:paraId="6C8AF4E2" w14:textId="77777777" w:rsidR="00D16AFD" w:rsidRPr="00E973B1" w:rsidRDefault="00D16AFD" w:rsidP="00022991">
            <w:pPr>
              <w:spacing w:before="100" w:beforeAutospacing="1" w:after="100" w:afterAutospacing="1" w:line="240" w:lineRule="auto"/>
              <w:ind w:firstLineChars="0" w:firstLine="0"/>
              <w:jc w:val="center"/>
            </w:pPr>
            <w:r w:rsidRPr="00E973B1">
              <w:t>7.01±0.1aAα</w:t>
            </w:r>
          </w:p>
        </w:tc>
      </w:tr>
      <w:tr w:rsidR="00D16AFD" w:rsidRPr="00E973B1" w14:paraId="7D40CF65" w14:textId="77777777" w:rsidTr="00022991">
        <w:trPr>
          <w:trHeight w:val="652"/>
        </w:trPr>
        <w:tc>
          <w:tcPr>
            <w:tcW w:w="1134" w:type="dxa"/>
            <w:tcBorders>
              <w:top w:val="single" w:sz="4" w:space="0" w:color="auto"/>
              <w:left w:val="nil"/>
              <w:bottom w:val="single" w:sz="12" w:space="0" w:color="auto"/>
              <w:right w:val="nil"/>
            </w:tcBorders>
            <w:noWrap/>
            <w:vAlign w:val="center"/>
            <w:hideMark/>
          </w:tcPr>
          <w:p w14:paraId="49DB0CE5" w14:textId="77777777" w:rsidR="00D16AFD" w:rsidRPr="00E973B1" w:rsidRDefault="00D16AFD" w:rsidP="00022991">
            <w:pPr>
              <w:spacing w:before="100" w:beforeAutospacing="1" w:after="100" w:afterAutospacing="1" w:line="240" w:lineRule="auto"/>
              <w:ind w:firstLineChars="0" w:firstLine="0"/>
              <w:jc w:val="center"/>
            </w:pPr>
            <w:r w:rsidRPr="00E973B1">
              <w:rPr>
                <w:rFonts w:ascii="宋体" w:hAnsi="宋体" w:cs="宋体" w:hint="eastAsia"/>
              </w:rPr>
              <w:t>△</w:t>
            </w:r>
            <w:r w:rsidRPr="00E973B1">
              <w:t>Soil pH</w:t>
            </w:r>
          </w:p>
        </w:tc>
        <w:tc>
          <w:tcPr>
            <w:tcW w:w="1134" w:type="dxa"/>
            <w:tcBorders>
              <w:top w:val="single" w:sz="4" w:space="0" w:color="auto"/>
              <w:left w:val="nil"/>
              <w:bottom w:val="single" w:sz="12" w:space="0" w:color="auto"/>
              <w:right w:val="nil"/>
            </w:tcBorders>
            <w:noWrap/>
            <w:vAlign w:val="center"/>
            <w:hideMark/>
          </w:tcPr>
          <w:p w14:paraId="738A8C33" w14:textId="77777777" w:rsidR="00D16AFD" w:rsidRPr="00E973B1" w:rsidRDefault="00D16AFD" w:rsidP="00022991">
            <w:pPr>
              <w:spacing w:before="100" w:beforeAutospacing="1" w:after="100" w:afterAutospacing="1" w:line="240" w:lineRule="auto"/>
              <w:ind w:firstLineChars="0" w:firstLine="0"/>
              <w:jc w:val="center"/>
            </w:pPr>
            <w:r w:rsidRPr="00E973B1">
              <w:t>0.34</w:t>
            </w:r>
          </w:p>
        </w:tc>
        <w:tc>
          <w:tcPr>
            <w:tcW w:w="1134" w:type="dxa"/>
            <w:tcBorders>
              <w:top w:val="single" w:sz="4" w:space="0" w:color="auto"/>
              <w:left w:val="nil"/>
              <w:bottom w:val="single" w:sz="12" w:space="0" w:color="auto"/>
              <w:right w:val="nil"/>
            </w:tcBorders>
            <w:noWrap/>
            <w:vAlign w:val="center"/>
            <w:hideMark/>
          </w:tcPr>
          <w:p w14:paraId="253166A8" w14:textId="77777777" w:rsidR="00D16AFD" w:rsidRPr="00E973B1" w:rsidRDefault="00D16AFD" w:rsidP="00022991">
            <w:pPr>
              <w:spacing w:before="100" w:beforeAutospacing="1" w:after="100" w:afterAutospacing="1" w:line="240" w:lineRule="auto"/>
              <w:ind w:firstLineChars="0" w:firstLine="0"/>
              <w:jc w:val="center"/>
            </w:pPr>
            <w:r w:rsidRPr="00E973B1">
              <w:t>0.29</w:t>
            </w:r>
          </w:p>
        </w:tc>
        <w:tc>
          <w:tcPr>
            <w:tcW w:w="1134" w:type="dxa"/>
            <w:tcBorders>
              <w:top w:val="single" w:sz="4" w:space="0" w:color="auto"/>
              <w:left w:val="nil"/>
              <w:bottom w:val="single" w:sz="12" w:space="0" w:color="auto"/>
              <w:right w:val="nil"/>
            </w:tcBorders>
            <w:noWrap/>
            <w:vAlign w:val="center"/>
            <w:hideMark/>
          </w:tcPr>
          <w:p w14:paraId="733C04AF" w14:textId="77777777" w:rsidR="00D16AFD" w:rsidRPr="00E973B1" w:rsidRDefault="00D16AFD" w:rsidP="00022991">
            <w:pPr>
              <w:spacing w:before="100" w:beforeAutospacing="1" w:after="100" w:afterAutospacing="1" w:line="240" w:lineRule="auto"/>
              <w:ind w:firstLineChars="0" w:firstLine="0"/>
              <w:jc w:val="center"/>
            </w:pPr>
            <w:r w:rsidRPr="00E973B1">
              <w:t>0.23</w:t>
            </w:r>
          </w:p>
        </w:tc>
        <w:tc>
          <w:tcPr>
            <w:tcW w:w="1134" w:type="dxa"/>
            <w:tcBorders>
              <w:top w:val="single" w:sz="4" w:space="0" w:color="auto"/>
              <w:left w:val="nil"/>
              <w:bottom w:val="single" w:sz="12" w:space="0" w:color="auto"/>
              <w:right w:val="nil"/>
            </w:tcBorders>
            <w:noWrap/>
            <w:vAlign w:val="center"/>
            <w:hideMark/>
          </w:tcPr>
          <w:p w14:paraId="608C9C9E" w14:textId="77777777" w:rsidR="00D16AFD" w:rsidRPr="00E973B1" w:rsidRDefault="00D16AFD" w:rsidP="00022991">
            <w:pPr>
              <w:spacing w:before="100" w:beforeAutospacing="1" w:after="100" w:afterAutospacing="1" w:line="240" w:lineRule="auto"/>
              <w:ind w:firstLineChars="0" w:firstLine="0"/>
              <w:jc w:val="center"/>
            </w:pPr>
            <w:r w:rsidRPr="00E973B1">
              <w:t>0.2</w:t>
            </w:r>
          </w:p>
        </w:tc>
        <w:tc>
          <w:tcPr>
            <w:tcW w:w="1134" w:type="dxa"/>
            <w:tcBorders>
              <w:top w:val="single" w:sz="4" w:space="0" w:color="auto"/>
              <w:left w:val="nil"/>
              <w:bottom w:val="single" w:sz="12" w:space="0" w:color="auto"/>
              <w:right w:val="nil"/>
            </w:tcBorders>
            <w:noWrap/>
            <w:vAlign w:val="center"/>
            <w:hideMark/>
          </w:tcPr>
          <w:p w14:paraId="0D613ABC" w14:textId="77777777" w:rsidR="00D16AFD" w:rsidRPr="00E973B1" w:rsidRDefault="00D16AFD" w:rsidP="00022991">
            <w:pPr>
              <w:spacing w:before="100" w:beforeAutospacing="1" w:after="100" w:afterAutospacing="1" w:line="240" w:lineRule="auto"/>
              <w:ind w:firstLineChars="0" w:firstLine="0"/>
              <w:jc w:val="center"/>
            </w:pPr>
            <w:r w:rsidRPr="00E973B1">
              <w:t>0.15</w:t>
            </w:r>
          </w:p>
        </w:tc>
        <w:tc>
          <w:tcPr>
            <w:tcW w:w="1134" w:type="dxa"/>
            <w:tcBorders>
              <w:top w:val="single" w:sz="4" w:space="0" w:color="auto"/>
              <w:left w:val="nil"/>
              <w:bottom w:val="single" w:sz="12" w:space="0" w:color="auto"/>
              <w:right w:val="nil"/>
            </w:tcBorders>
            <w:noWrap/>
            <w:vAlign w:val="center"/>
            <w:hideMark/>
          </w:tcPr>
          <w:p w14:paraId="6616EFE6" w14:textId="77777777" w:rsidR="00D16AFD" w:rsidRPr="00E973B1" w:rsidRDefault="00D16AFD" w:rsidP="00022991">
            <w:pPr>
              <w:spacing w:before="100" w:beforeAutospacing="1" w:after="100" w:afterAutospacing="1" w:line="240" w:lineRule="auto"/>
              <w:ind w:firstLineChars="0" w:firstLine="0"/>
              <w:jc w:val="center"/>
            </w:pPr>
            <w:r w:rsidRPr="00E973B1">
              <w:t>0.39</w:t>
            </w:r>
          </w:p>
        </w:tc>
        <w:tc>
          <w:tcPr>
            <w:tcW w:w="1134" w:type="dxa"/>
            <w:tcBorders>
              <w:top w:val="single" w:sz="4" w:space="0" w:color="auto"/>
              <w:left w:val="nil"/>
              <w:bottom w:val="single" w:sz="12" w:space="0" w:color="auto"/>
              <w:right w:val="nil"/>
            </w:tcBorders>
            <w:noWrap/>
            <w:vAlign w:val="center"/>
            <w:hideMark/>
          </w:tcPr>
          <w:p w14:paraId="18FE2DD6" w14:textId="77777777" w:rsidR="00D16AFD" w:rsidRPr="00E973B1" w:rsidRDefault="00D16AFD" w:rsidP="00022991">
            <w:pPr>
              <w:spacing w:before="100" w:beforeAutospacing="1" w:after="100" w:afterAutospacing="1" w:line="240" w:lineRule="auto"/>
              <w:ind w:firstLineChars="0" w:firstLine="0"/>
              <w:jc w:val="center"/>
            </w:pPr>
            <w:r w:rsidRPr="00E973B1">
              <w:t>0.19</w:t>
            </w:r>
          </w:p>
        </w:tc>
        <w:tc>
          <w:tcPr>
            <w:tcW w:w="1134" w:type="dxa"/>
            <w:tcBorders>
              <w:top w:val="single" w:sz="4" w:space="0" w:color="auto"/>
              <w:left w:val="nil"/>
              <w:bottom w:val="single" w:sz="12" w:space="0" w:color="auto"/>
              <w:right w:val="nil"/>
            </w:tcBorders>
            <w:noWrap/>
            <w:vAlign w:val="center"/>
            <w:hideMark/>
          </w:tcPr>
          <w:p w14:paraId="6A313811" w14:textId="77777777" w:rsidR="00D16AFD" w:rsidRPr="00E973B1" w:rsidRDefault="00D16AFD" w:rsidP="00022991">
            <w:pPr>
              <w:spacing w:before="100" w:beforeAutospacing="1" w:after="100" w:afterAutospacing="1" w:line="240" w:lineRule="auto"/>
              <w:ind w:firstLineChars="0" w:firstLine="0"/>
              <w:jc w:val="center"/>
            </w:pPr>
            <w:r w:rsidRPr="00E973B1">
              <w:t>0.13</w:t>
            </w:r>
          </w:p>
        </w:tc>
      </w:tr>
      <w:tr w:rsidR="00D16AFD" w:rsidRPr="00E973B1" w14:paraId="19A3F3CC" w14:textId="77777777" w:rsidTr="00022991">
        <w:trPr>
          <w:trHeight w:val="652"/>
        </w:trPr>
        <w:tc>
          <w:tcPr>
            <w:tcW w:w="1134" w:type="dxa"/>
            <w:tcBorders>
              <w:top w:val="single" w:sz="12" w:space="0" w:color="auto"/>
              <w:left w:val="nil"/>
              <w:bottom w:val="single" w:sz="12" w:space="0" w:color="auto"/>
              <w:right w:val="nil"/>
            </w:tcBorders>
            <w:noWrap/>
            <w:vAlign w:val="center"/>
            <w:hideMark/>
          </w:tcPr>
          <w:p w14:paraId="3A61531F" w14:textId="77777777" w:rsidR="00D16AFD" w:rsidRPr="00E973B1" w:rsidRDefault="00D16AFD" w:rsidP="00022991">
            <w:pPr>
              <w:spacing w:before="100" w:beforeAutospacing="1" w:after="100" w:afterAutospacing="1" w:line="240" w:lineRule="auto"/>
              <w:ind w:firstLineChars="0" w:firstLine="0"/>
              <w:jc w:val="center"/>
            </w:pPr>
            <w:r w:rsidRPr="00E973B1">
              <w:t>Handle</w:t>
            </w:r>
          </w:p>
        </w:tc>
        <w:tc>
          <w:tcPr>
            <w:tcW w:w="1134" w:type="dxa"/>
            <w:tcBorders>
              <w:top w:val="single" w:sz="12" w:space="0" w:color="auto"/>
              <w:left w:val="nil"/>
              <w:bottom w:val="single" w:sz="12" w:space="0" w:color="auto"/>
              <w:right w:val="nil"/>
            </w:tcBorders>
            <w:noWrap/>
            <w:vAlign w:val="center"/>
            <w:hideMark/>
          </w:tcPr>
          <w:p w14:paraId="42BEA8CC" w14:textId="77777777" w:rsidR="00D16AFD" w:rsidRPr="00E973B1" w:rsidRDefault="00D16AFD" w:rsidP="00022991">
            <w:pPr>
              <w:spacing w:before="100" w:beforeAutospacing="1" w:after="100" w:afterAutospacing="1" w:line="240" w:lineRule="auto"/>
              <w:ind w:firstLineChars="0" w:firstLine="0"/>
              <w:jc w:val="center"/>
            </w:pPr>
            <w:r w:rsidRPr="00E973B1">
              <w:t>RW1F0</w:t>
            </w:r>
          </w:p>
        </w:tc>
        <w:tc>
          <w:tcPr>
            <w:tcW w:w="1134" w:type="dxa"/>
            <w:tcBorders>
              <w:top w:val="single" w:sz="12" w:space="0" w:color="auto"/>
              <w:left w:val="nil"/>
              <w:bottom w:val="single" w:sz="12" w:space="0" w:color="auto"/>
              <w:right w:val="nil"/>
            </w:tcBorders>
            <w:noWrap/>
            <w:vAlign w:val="center"/>
            <w:hideMark/>
          </w:tcPr>
          <w:p w14:paraId="275E8077" w14:textId="77777777" w:rsidR="00D16AFD" w:rsidRPr="00E973B1" w:rsidRDefault="00D16AFD" w:rsidP="00022991">
            <w:pPr>
              <w:spacing w:before="100" w:beforeAutospacing="1" w:after="100" w:afterAutospacing="1" w:line="240" w:lineRule="auto"/>
              <w:ind w:firstLineChars="0" w:firstLine="0"/>
              <w:jc w:val="center"/>
            </w:pPr>
            <w:r w:rsidRPr="00E973B1">
              <w:t>RW1F1</w:t>
            </w:r>
          </w:p>
        </w:tc>
        <w:tc>
          <w:tcPr>
            <w:tcW w:w="1134" w:type="dxa"/>
            <w:tcBorders>
              <w:top w:val="single" w:sz="12" w:space="0" w:color="auto"/>
              <w:left w:val="nil"/>
              <w:bottom w:val="single" w:sz="12" w:space="0" w:color="auto"/>
              <w:right w:val="nil"/>
            </w:tcBorders>
            <w:noWrap/>
            <w:vAlign w:val="center"/>
            <w:hideMark/>
          </w:tcPr>
          <w:p w14:paraId="6F730D59" w14:textId="77777777" w:rsidR="00D16AFD" w:rsidRPr="00E973B1" w:rsidRDefault="00D16AFD" w:rsidP="00022991">
            <w:pPr>
              <w:spacing w:before="100" w:beforeAutospacing="1" w:after="100" w:afterAutospacing="1" w:line="240" w:lineRule="auto"/>
              <w:ind w:firstLineChars="0" w:firstLine="0"/>
              <w:jc w:val="center"/>
            </w:pPr>
            <w:r w:rsidRPr="00E973B1">
              <w:t>RW1F2</w:t>
            </w:r>
          </w:p>
        </w:tc>
        <w:tc>
          <w:tcPr>
            <w:tcW w:w="1134" w:type="dxa"/>
            <w:tcBorders>
              <w:top w:val="single" w:sz="12" w:space="0" w:color="auto"/>
              <w:left w:val="nil"/>
              <w:bottom w:val="single" w:sz="12" w:space="0" w:color="auto"/>
              <w:right w:val="nil"/>
            </w:tcBorders>
            <w:noWrap/>
            <w:vAlign w:val="center"/>
            <w:hideMark/>
          </w:tcPr>
          <w:p w14:paraId="2BD41169" w14:textId="77777777" w:rsidR="00D16AFD" w:rsidRPr="00E973B1" w:rsidRDefault="00D16AFD" w:rsidP="00022991">
            <w:pPr>
              <w:spacing w:before="100" w:beforeAutospacing="1" w:after="100" w:afterAutospacing="1" w:line="240" w:lineRule="auto"/>
              <w:ind w:firstLineChars="0" w:firstLine="0"/>
              <w:jc w:val="center"/>
            </w:pPr>
            <w:r w:rsidRPr="00E973B1">
              <w:t>RW1F3</w:t>
            </w:r>
          </w:p>
        </w:tc>
        <w:tc>
          <w:tcPr>
            <w:tcW w:w="1134" w:type="dxa"/>
            <w:tcBorders>
              <w:top w:val="single" w:sz="12" w:space="0" w:color="auto"/>
              <w:left w:val="nil"/>
              <w:bottom w:val="single" w:sz="12" w:space="0" w:color="auto"/>
              <w:right w:val="nil"/>
            </w:tcBorders>
            <w:noWrap/>
            <w:vAlign w:val="center"/>
            <w:hideMark/>
          </w:tcPr>
          <w:p w14:paraId="01ACA936" w14:textId="77777777" w:rsidR="00D16AFD" w:rsidRPr="00E973B1" w:rsidRDefault="00D16AFD" w:rsidP="00022991">
            <w:pPr>
              <w:spacing w:before="100" w:beforeAutospacing="1" w:after="100" w:afterAutospacing="1" w:line="240" w:lineRule="auto"/>
              <w:ind w:firstLineChars="0" w:firstLine="0"/>
              <w:jc w:val="center"/>
            </w:pPr>
            <w:r w:rsidRPr="00E973B1">
              <w:t>RW2F0</w:t>
            </w:r>
          </w:p>
        </w:tc>
        <w:tc>
          <w:tcPr>
            <w:tcW w:w="1134" w:type="dxa"/>
            <w:tcBorders>
              <w:top w:val="single" w:sz="12" w:space="0" w:color="auto"/>
              <w:left w:val="nil"/>
              <w:bottom w:val="single" w:sz="12" w:space="0" w:color="auto"/>
              <w:right w:val="nil"/>
            </w:tcBorders>
            <w:noWrap/>
            <w:vAlign w:val="center"/>
            <w:hideMark/>
          </w:tcPr>
          <w:p w14:paraId="57E43BB5" w14:textId="77777777" w:rsidR="00D16AFD" w:rsidRPr="00E973B1" w:rsidRDefault="00D16AFD" w:rsidP="00022991">
            <w:pPr>
              <w:spacing w:before="100" w:beforeAutospacing="1" w:after="100" w:afterAutospacing="1" w:line="240" w:lineRule="auto"/>
              <w:ind w:firstLineChars="0" w:firstLine="0"/>
              <w:jc w:val="center"/>
            </w:pPr>
            <w:r w:rsidRPr="00E973B1">
              <w:t>RW2F1</w:t>
            </w:r>
          </w:p>
        </w:tc>
        <w:tc>
          <w:tcPr>
            <w:tcW w:w="1134" w:type="dxa"/>
            <w:tcBorders>
              <w:top w:val="single" w:sz="12" w:space="0" w:color="auto"/>
              <w:left w:val="nil"/>
              <w:bottom w:val="single" w:sz="12" w:space="0" w:color="auto"/>
              <w:right w:val="nil"/>
            </w:tcBorders>
            <w:noWrap/>
            <w:vAlign w:val="center"/>
            <w:hideMark/>
          </w:tcPr>
          <w:p w14:paraId="69D36658" w14:textId="77777777" w:rsidR="00D16AFD" w:rsidRPr="00E973B1" w:rsidRDefault="00D16AFD" w:rsidP="00022991">
            <w:pPr>
              <w:spacing w:before="100" w:beforeAutospacing="1" w:after="100" w:afterAutospacing="1" w:line="240" w:lineRule="auto"/>
              <w:ind w:firstLineChars="0" w:firstLine="0"/>
              <w:jc w:val="center"/>
            </w:pPr>
            <w:r w:rsidRPr="00E973B1">
              <w:t>RW2F2</w:t>
            </w:r>
          </w:p>
        </w:tc>
        <w:tc>
          <w:tcPr>
            <w:tcW w:w="1134" w:type="dxa"/>
            <w:tcBorders>
              <w:top w:val="single" w:sz="12" w:space="0" w:color="auto"/>
              <w:left w:val="nil"/>
              <w:bottom w:val="single" w:sz="12" w:space="0" w:color="auto"/>
              <w:right w:val="nil"/>
            </w:tcBorders>
            <w:noWrap/>
            <w:vAlign w:val="center"/>
            <w:hideMark/>
          </w:tcPr>
          <w:p w14:paraId="6E0A3BC5" w14:textId="77777777" w:rsidR="00D16AFD" w:rsidRPr="00E973B1" w:rsidRDefault="00D16AFD" w:rsidP="00022991">
            <w:pPr>
              <w:spacing w:before="100" w:beforeAutospacing="1" w:after="100" w:afterAutospacing="1" w:line="240" w:lineRule="auto"/>
              <w:ind w:firstLineChars="0" w:firstLine="0"/>
              <w:jc w:val="center"/>
            </w:pPr>
            <w:r w:rsidRPr="00E973B1">
              <w:t>RW2F3</w:t>
            </w:r>
          </w:p>
        </w:tc>
      </w:tr>
      <w:tr w:rsidR="00D16AFD" w:rsidRPr="00E973B1" w14:paraId="744DC281" w14:textId="77777777" w:rsidTr="00022991">
        <w:trPr>
          <w:trHeight w:val="652"/>
        </w:trPr>
        <w:tc>
          <w:tcPr>
            <w:tcW w:w="1134" w:type="dxa"/>
            <w:tcBorders>
              <w:top w:val="single" w:sz="12" w:space="0" w:color="auto"/>
              <w:left w:val="nil"/>
              <w:bottom w:val="single" w:sz="4" w:space="0" w:color="auto"/>
              <w:right w:val="nil"/>
            </w:tcBorders>
            <w:noWrap/>
            <w:vAlign w:val="center"/>
            <w:hideMark/>
          </w:tcPr>
          <w:p w14:paraId="41CC9D12" w14:textId="77777777" w:rsidR="00D16AFD" w:rsidRPr="00E973B1" w:rsidRDefault="00D16AFD" w:rsidP="00022991">
            <w:pPr>
              <w:spacing w:before="100" w:beforeAutospacing="1" w:after="100" w:afterAutospacing="1" w:line="240" w:lineRule="auto"/>
              <w:ind w:firstLineChars="0" w:firstLine="0"/>
              <w:jc w:val="center"/>
            </w:pPr>
            <w:r w:rsidRPr="00E973B1">
              <w:t>(June) Soil pH</w:t>
            </w:r>
          </w:p>
        </w:tc>
        <w:tc>
          <w:tcPr>
            <w:tcW w:w="1134" w:type="dxa"/>
            <w:tcBorders>
              <w:top w:val="single" w:sz="12" w:space="0" w:color="auto"/>
              <w:left w:val="nil"/>
              <w:bottom w:val="single" w:sz="4" w:space="0" w:color="auto"/>
              <w:right w:val="nil"/>
            </w:tcBorders>
            <w:noWrap/>
            <w:vAlign w:val="center"/>
            <w:hideMark/>
          </w:tcPr>
          <w:p w14:paraId="61B28BB6" w14:textId="77777777" w:rsidR="00D16AFD" w:rsidRPr="00E973B1" w:rsidRDefault="00D16AFD" w:rsidP="00022991">
            <w:pPr>
              <w:spacing w:before="100" w:beforeAutospacing="1" w:after="100" w:afterAutospacing="1" w:line="240" w:lineRule="auto"/>
              <w:ind w:firstLineChars="0" w:firstLine="0"/>
              <w:jc w:val="center"/>
            </w:pPr>
            <w:r w:rsidRPr="00E973B1">
              <w:t>6.62±0.15bABβ</w:t>
            </w:r>
          </w:p>
        </w:tc>
        <w:tc>
          <w:tcPr>
            <w:tcW w:w="1134" w:type="dxa"/>
            <w:tcBorders>
              <w:top w:val="single" w:sz="12" w:space="0" w:color="auto"/>
              <w:left w:val="nil"/>
              <w:bottom w:val="single" w:sz="4" w:space="0" w:color="auto"/>
              <w:right w:val="nil"/>
            </w:tcBorders>
            <w:noWrap/>
            <w:vAlign w:val="center"/>
            <w:hideMark/>
          </w:tcPr>
          <w:p w14:paraId="19A6AC99" w14:textId="77777777" w:rsidR="00D16AFD" w:rsidRPr="00E973B1" w:rsidRDefault="00D16AFD" w:rsidP="00022991">
            <w:pPr>
              <w:spacing w:before="100" w:beforeAutospacing="1" w:after="100" w:afterAutospacing="1" w:line="240" w:lineRule="auto"/>
              <w:ind w:firstLineChars="0" w:firstLine="0"/>
              <w:jc w:val="center"/>
            </w:pPr>
            <w:r w:rsidRPr="00E973B1">
              <w:t>6.94±0.13abAα</w:t>
            </w:r>
          </w:p>
        </w:tc>
        <w:tc>
          <w:tcPr>
            <w:tcW w:w="1134" w:type="dxa"/>
            <w:tcBorders>
              <w:top w:val="single" w:sz="12" w:space="0" w:color="auto"/>
              <w:left w:val="nil"/>
              <w:bottom w:val="single" w:sz="4" w:space="0" w:color="auto"/>
              <w:right w:val="nil"/>
            </w:tcBorders>
            <w:noWrap/>
            <w:vAlign w:val="center"/>
            <w:hideMark/>
          </w:tcPr>
          <w:p w14:paraId="2A381724" w14:textId="77777777" w:rsidR="00D16AFD" w:rsidRPr="00E973B1" w:rsidRDefault="00D16AFD" w:rsidP="00022991">
            <w:pPr>
              <w:spacing w:before="100" w:beforeAutospacing="1" w:after="100" w:afterAutospacing="1" w:line="240" w:lineRule="auto"/>
              <w:ind w:firstLineChars="0" w:firstLine="0"/>
              <w:jc w:val="center"/>
            </w:pPr>
            <w:r w:rsidRPr="00E973B1">
              <w:t>7.17±0.11abAβ</w:t>
            </w:r>
          </w:p>
        </w:tc>
        <w:tc>
          <w:tcPr>
            <w:tcW w:w="1134" w:type="dxa"/>
            <w:tcBorders>
              <w:top w:val="single" w:sz="12" w:space="0" w:color="auto"/>
              <w:left w:val="nil"/>
              <w:bottom w:val="single" w:sz="4" w:space="0" w:color="auto"/>
              <w:right w:val="nil"/>
            </w:tcBorders>
            <w:noWrap/>
            <w:vAlign w:val="center"/>
            <w:hideMark/>
          </w:tcPr>
          <w:p w14:paraId="44DC8456" w14:textId="77777777" w:rsidR="00D16AFD" w:rsidRPr="00E973B1" w:rsidRDefault="00D16AFD" w:rsidP="00022991">
            <w:pPr>
              <w:spacing w:before="100" w:beforeAutospacing="1" w:after="100" w:afterAutospacing="1" w:line="240" w:lineRule="auto"/>
              <w:ind w:firstLineChars="0" w:firstLine="0"/>
              <w:jc w:val="center"/>
            </w:pPr>
            <w:r w:rsidRPr="00E973B1">
              <w:t>7.04±0.09aAβ</w:t>
            </w:r>
          </w:p>
        </w:tc>
        <w:tc>
          <w:tcPr>
            <w:tcW w:w="1134" w:type="dxa"/>
            <w:tcBorders>
              <w:top w:val="single" w:sz="12" w:space="0" w:color="auto"/>
              <w:left w:val="nil"/>
              <w:bottom w:val="single" w:sz="4" w:space="0" w:color="auto"/>
              <w:right w:val="nil"/>
            </w:tcBorders>
            <w:noWrap/>
            <w:vAlign w:val="center"/>
            <w:hideMark/>
          </w:tcPr>
          <w:p w14:paraId="5ACDC34A" w14:textId="77777777" w:rsidR="00D16AFD" w:rsidRPr="00E973B1" w:rsidRDefault="00D16AFD" w:rsidP="00022991">
            <w:pPr>
              <w:spacing w:before="100" w:beforeAutospacing="1" w:after="100" w:afterAutospacing="1" w:line="240" w:lineRule="auto"/>
              <w:ind w:firstLineChars="0" w:firstLine="0"/>
              <w:jc w:val="center"/>
            </w:pPr>
            <w:r w:rsidRPr="00E973B1">
              <w:t>6.46±0.13cAβ</w:t>
            </w:r>
          </w:p>
        </w:tc>
        <w:tc>
          <w:tcPr>
            <w:tcW w:w="1134" w:type="dxa"/>
            <w:tcBorders>
              <w:top w:val="single" w:sz="12" w:space="0" w:color="auto"/>
              <w:left w:val="nil"/>
              <w:bottom w:val="single" w:sz="4" w:space="0" w:color="auto"/>
              <w:right w:val="nil"/>
            </w:tcBorders>
            <w:noWrap/>
            <w:vAlign w:val="center"/>
            <w:hideMark/>
          </w:tcPr>
          <w:p w14:paraId="22C9C4E0" w14:textId="77777777" w:rsidR="00D16AFD" w:rsidRPr="00E973B1" w:rsidRDefault="00D16AFD" w:rsidP="00022991">
            <w:pPr>
              <w:spacing w:before="100" w:beforeAutospacing="1" w:after="100" w:afterAutospacing="1" w:line="240" w:lineRule="auto"/>
              <w:ind w:firstLineChars="0" w:firstLine="0"/>
              <w:jc w:val="center"/>
            </w:pPr>
            <w:r w:rsidRPr="00E973B1">
              <w:t>6.92±0.12abAβ</w:t>
            </w:r>
          </w:p>
        </w:tc>
        <w:tc>
          <w:tcPr>
            <w:tcW w:w="1134" w:type="dxa"/>
            <w:tcBorders>
              <w:top w:val="single" w:sz="12" w:space="0" w:color="auto"/>
              <w:left w:val="nil"/>
              <w:bottom w:val="single" w:sz="4" w:space="0" w:color="auto"/>
              <w:right w:val="nil"/>
            </w:tcBorders>
            <w:noWrap/>
            <w:vAlign w:val="center"/>
            <w:hideMark/>
          </w:tcPr>
          <w:p w14:paraId="31929ACB" w14:textId="77777777" w:rsidR="00D16AFD" w:rsidRPr="00E973B1" w:rsidRDefault="00D16AFD" w:rsidP="00022991">
            <w:pPr>
              <w:spacing w:before="100" w:beforeAutospacing="1" w:after="100" w:afterAutospacing="1" w:line="240" w:lineRule="auto"/>
              <w:ind w:firstLineChars="0" w:firstLine="0"/>
              <w:jc w:val="center"/>
            </w:pPr>
            <w:r w:rsidRPr="00E973B1">
              <w:t>7.03±0.1aAβ</w:t>
            </w:r>
          </w:p>
        </w:tc>
        <w:tc>
          <w:tcPr>
            <w:tcW w:w="1134" w:type="dxa"/>
            <w:tcBorders>
              <w:top w:val="single" w:sz="12" w:space="0" w:color="auto"/>
              <w:left w:val="nil"/>
              <w:bottom w:val="single" w:sz="4" w:space="0" w:color="auto"/>
              <w:right w:val="nil"/>
            </w:tcBorders>
            <w:noWrap/>
            <w:vAlign w:val="center"/>
            <w:hideMark/>
          </w:tcPr>
          <w:p w14:paraId="60493A48" w14:textId="77777777" w:rsidR="00D16AFD" w:rsidRPr="00E973B1" w:rsidRDefault="00D16AFD" w:rsidP="00022991">
            <w:pPr>
              <w:spacing w:before="100" w:beforeAutospacing="1" w:after="100" w:afterAutospacing="1" w:line="240" w:lineRule="auto"/>
              <w:ind w:firstLineChars="0" w:firstLine="0"/>
              <w:jc w:val="center"/>
            </w:pPr>
            <w:r w:rsidRPr="00E973B1">
              <w:t>6.65±0.11bAβ</w:t>
            </w:r>
          </w:p>
        </w:tc>
      </w:tr>
      <w:tr w:rsidR="00D16AFD" w:rsidRPr="00E973B1" w14:paraId="1FEE3629" w14:textId="77777777" w:rsidTr="00022991">
        <w:trPr>
          <w:trHeight w:val="652"/>
        </w:trPr>
        <w:tc>
          <w:tcPr>
            <w:tcW w:w="1134" w:type="dxa"/>
            <w:tcBorders>
              <w:top w:val="single" w:sz="4" w:space="0" w:color="auto"/>
              <w:left w:val="nil"/>
              <w:bottom w:val="single" w:sz="4" w:space="0" w:color="auto"/>
              <w:right w:val="nil"/>
            </w:tcBorders>
            <w:noWrap/>
            <w:vAlign w:val="center"/>
            <w:hideMark/>
          </w:tcPr>
          <w:p w14:paraId="662BD3B6" w14:textId="77777777" w:rsidR="00D16AFD" w:rsidRPr="00E973B1" w:rsidRDefault="00D16AFD" w:rsidP="00022991">
            <w:pPr>
              <w:spacing w:before="100" w:beforeAutospacing="1" w:after="100" w:afterAutospacing="1" w:line="240" w:lineRule="auto"/>
              <w:ind w:firstLineChars="0" w:firstLine="0"/>
              <w:jc w:val="center"/>
            </w:pPr>
            <w:r w:rsidRPr="00E973B1">
              <w:t>(</w:t>
            </w:r>
            <w:proofErr w:type="gramStart"/>
            <w:r w:rsidRPr="00E973B1">
              <w:t>August )Soil</w:t>
            </w:r>
            <w:proofErr w:type="gramEnd"/>
            <w:r w:rsidRPr="00E973B1">
              <w:t xml:space="preserve"> pH</w:t>
            </w:r>
          </w:p>
        </w:tc>
        <w:tc>
          <w:tcPr>
            <w:tcW w:w="1134" w:type="dxa"/>
            <w:tcBorders>
              <w:top w:val="single" w:sz="4" w:space="0" w:color="auto"/>
              <w:left w:val="nil"/>
              <w:bottom w:val="single" w:sz="4" w:space="0" w:color="auto"/>
              <w:right w:val="nil"/>
            </w:tcBorders>
            <w:noWrap/>
            <w:vAlign w:val="center"/>
            <w:hideMark/>
          </w:tcPr>
          <w:p w14:paraId="3A65C8E8" w14:textId="77777777" w:rsidR="00D16AFD" w:rsidRPr="00E973B1" w:rsidRDefault="00D16AFD" w:rsidP="00022991">
            <w:pPr>
              <w:spacing w:before="100" w:beforeAutospacing="1" w:after="100" w:afterAutospacing="1" w:line="240" w:lineRule="auto"/>
              <w:ind w:firstLineChars="0" w:firstLine="0"/>
              <w:jc w:val="center"/>
            </w:pPr>
            <w:r w:rsidRPr="00E973B1">
              <w:t>6.49±0.05cABβ</w:t>
            </w:r>
          </w:p>
        </w:tc>
        <w:tc>
          <w:tcPr>
            <w:tcW w:w="1134" w:type="dxa"/>
            <w:tcBorders>
              <w:top w:val="single" w:sz="4" w:space="0" w:color="auto"/>
              <w:left w:val="nil"/>
              <w:bottom w:val="single" w:sz="4" w:space="0" w:color="auto"/>
              <w:right w:val="nil"/>
            </w:tcBorders>
            <w:noWrap/>
            <w:vAlign w:val="center"/>
            <w:hideMark/>
          </w:tcPr>
          <w:p w14:paraId="6DD93350" w14:textId="77777777" w:rsidR="00D16AFD" w:rsidRPr="00E973B1" w:rsidRDefault="00D16AFD" w:rsidP="00022991">
            <w:pPr>
              <w:spacing w:before="100" w:beforeAutospacing="1" w:after="100" w:afterAutospacing="1" w:line="240" w:lineRule="auto"/>
              <w:ind w:firstLineChars="0" w:firstLine="0"/>
              <w:jc w:val="center"/>
            </w:pPr>
            <w:r w:rsidRPr="00E973B1">
              <w:t>6.63±0.06bAα</w:t>
            </w:r>
          </w:p>
        </w:tc>
        <w:tc>
          <w:tcPr>
            <w:tcW w:w="1134" w:type="dxa"/>
            <w:tcBorders>
              <w:top w:val="single" w:sz="4" w:space="0" w:color="auto"/>
              <w:left w:val="nil"/>
              <w:bottom w:val="single" w:sz="4" w:space="0" w:color="auto"/>
              <w:right w:val="nil"/>
            </w:tcBorders>
            <w:noWrap/>
            <w:vAlign w:val="center"/>
            <w:hideMark/>
          </w:tcPr>
          <w:p w14:paraId="40926565" w14:textId="77777777" w:rsidR="00D16AFD" w:rsidRPr="00E973B1" w:rsidRDefault="00D16AFD" w:rsidP="00022991">
            <w:pPr>
              <w:spacing w:before="100" w:beforeAutospacing="1" w:after="100" w:afterAutospacing="1" w:line="240" w:lineRule="auto"/>
              <w:ind w:firstLineChars="0" w:firstLine="0"/>
              <w:jc w:val="center"/>
            </w:pPr>
            <w:r w:rsidRPr="00E973B1">
              <w:t>6.71±0.02aAβ</w:t>
            </w:r>
          </w:p>
        </w:tc>
        <w:tc>
          <w:tcPr>
            <w:tcW w:w="1134" w:type="dxa"/>
            <w:tcBorders>
              <w:top w:val="single" w:sz="4" w:space="0" w:color="auto"/>
              <w:left w:val="nil"/>
              <w:bottom w:val="single" w:sz="4" w:space="0" w:color="auto"/>
              <w:right w:val="nil"/>
            </w:tcBorders>
            <w:noWrap/>
            <w:vAlign w:val="center"/>
            <w:hideMark/>
          </w:tcPr>
          <w:p w14:paraId="4B48ABBB" w14:textId="77777777" w:rsidR="00D16AFD" w:rsidRPr="00E973B1" w:rsidRDefault="00D16AFD" w:rsidP="00022991">
            <w:pPr>
              <w:spacing w:before="100" w:beforeAutospacing="1" w:after="100" w:afterAutospacing="1" w:line="240" w:lineRule="auto"/>
              <w:ind w:firstLineChars="0" w:firstLine="0"/>
              <w:jc w:val="center"/>
            </w:pPr>
            <w:r w:rsidRPr="00E973B1">
              <w:t>6.79±0.02bAβ</w:t>
            </w:r>
          </w:p>
        </w:tc>
        <w:tc>
          <w:tcPr>
            <w:tcW w:w="1134" w:type="dxa"/>
            <w:tcBorders>
              <w:top w:val="single" w:sz="4" w:space="0" w:color="auto"/>
              <w:left w:val="nil"/>
              <w:bottom w:val="single" w:sz="4" w:space="0" w:color="auto"/>
              <w:right w:val="nil"/>
            </w:tcBorders>
            <w:noWrap/>
            <w:vAlign w:val="center"/>
            <w:hideMark/>
          </w:tcPr>
          <w:p w14:paraId="3DF10F2F" w14:textId="77777777" w:rsidR="00D16AFD" w:rsidRPr="00E973B1" w:rsidRDefault="00D16AFD" w:rsidP="00022991">
            <w:pPr>
              <w:spacing w:before="100" w:beforeAutospacing="1" w:after="100" w:afterAutospacing="1" w:line="240" w:lineRule="auto"/>
              <w:ind w:firstLineChars="0" w:firstLine="0"/>
              <w:jc w:val="center"/>
            </w:pPr>
            <w:r w:rsidRPr="00E973B1">
              <w:t>6.04±0.02cAβ</w:t>
            </w:r>
          </w:p>
        </w:tc>
        <w:tc>
          <w:tcPr>
            <w:tcW w:w="1134" w:type="dxa"/>
            <w:tcBorders>
              <w:top w:val="single" w:sz="4" w:space="0" w:color="auto"/>
              <w:left w:val="nil"/>
              <w:bottom w:val="single" w:sz="4" w:space="0" w:color="auto"/>
              <w:right w:val="nil"/>
            </w:tcBorders>
            <w:noWrap/>
            <w:vAlign w:val="center"/>
            <w:hideMark/>
          </w:tcPr>
          <w:p w14:paraId="63E04747" w14:textId="77777777" w:rsidR="00D16AFD" w:rsidRPr="00E973B1" w:rsidRDefault="00D16AFD" w:rsidP="00022991">
            <w:pPr>
              <w:spacing w:before="100" w:beforeAutospacing="1" w:after="100" w:afterAutospacing="1" w:line="240" w:lineRule="auto"/>
              <w:ind w:firstLineChars="0" w:firstLine="0"/>
              <w:jc w:val="center"/>
            </w:pPr>
            <w:r w:rsidRPr="00E973B1">
              <w:t>6.2±0.08aAβ</w:t>
            </w:r>
          </w:p>
        </w:tc>
        <w:tc>
          <w:tcPr>
            <w:tcW w:w="1134" w:type="dxa"/>
            <w:tcBorders>
              <w:top w:val="single" w:sz="4" w:space="0" w:color="auto"/>
              <w:left w:val="nil"/>
              <w:bottom w:val="single" w:sz="4" w:space="0" w:color="auto"/>
              <w:right w:val="nil"/>
            </w:tcBorders>
            <w:noWrap/>
            <w:vAlign w:val="center"/>
            <w:hideMark/>
          </w:tcPr>
          <w:p w14:paraId="2E1B5A64" w14:textId="77777777" w:rsidR="00D16AFD" w:rsidRPr="00E973B1" w:rsidRDefault="00D16AFD" w:rsidP="00022991">
            <w:pPr>
              <w:spacing w:before="100" w:beforeAutospacing="1" w:after="100" w:afterAutospacing="1" w:line="240" w:lineRule="auto"/>
              <w:ind w:firstLineChars="0" w:firstLine="0"/>
              <w:jc w:val="center"/>
            </w:pPr>
            <w:r w:rsidRPr="00E973B1">
              <w:t>6.67±0.06aAβ</w:t>
            </w:r>
          </w:p>
        </w:tc>
        <w:tc>
          <w:tcPr>
            <w:tcW w:w="1134" w:type="dxa"/>
            <w:tcBorders>
              <w:top w:val="single" w:sz="4" w:space="0" w:color="auto"/>
              <w:left w:val="nil"/>
              <w:bottom w:val="single" w:sz="4" w:space="0" w:color="auto"/>
              <w:right w:val="nil"/>
            </w:tcBorders>
            <w:noWrap/>
            <w:vAlign w:val="center"/>
            <w:hideMark/>
          </w:tcPr>
          <w:p w14:paraId="6A6781DF" w14:textId="77777777" w:rsidR="00D16AFD" w:rsidRPr="00E973B1" w:rsidRDefault="00D16AFD" w:rsidP="00022991">
            <w:pPr>
              <w:spacing w:before="100" w:beforeAutospacing="1" w:after="100" w:afterAutospacing="1" w:line="240" w:lineRule="auto"/>
              <w:ind w:firstLineChars="0" w:firstLine="0"/>
              <w:jc w:val="center"/>
            </w:pPr>
            <w:r w:rsidRPr="00E973B1">
              <w:t>6.24±0.11bAβ</w:t>
            </w:r>
          </w:p>
        </w:tc>
      </w:tr>
      <w:tr w:rsidR="00D16AFD" w:rsidRPr="00E973B1" w14:paraId="69511438" w14:textId="77777777" w:rsidTr="00022991">
        <w:trPr>
          <w:trHeight w:val="652"/>
        </w:trPr>
        <w:tc>
          <w:tcPr>
            <w:tcW w:w="1134" w:type="dxa"/>
            <w:tcBorders>
              <w:top w:val="single" w:sz="4" w:space="0" w:color="auto"/>
              <w:left w:val="nil"/>
              <w:bottom w:val="single" w:sz="12" w:space="0" w:color="auto"/>
              <w:right w:val="nil"/>
            </w:tcBorders>
            <w:noWrap/>
            <w:vAlign w:val="center"/>
            <w:hideMark/>
          </w:tcPr>
          <w:p w14:paraId="10A076D3" w14:textId="77777777" w:rsidR="00D16AFD" w:rsidRPr="00E973B1" w:rsidRDefault="00D16AFD" w:rsidP="00022991">
            <w:pPr>
              <w:spacing w:before="100" w:beforeAutospacing="1" w:after="100" w:afterAutospacing="1" w:line="240" w:lineRule="auto"/>
              <w:ind w:firstLineChars="0" w:firstLine="0"/>
              <w:jc w:val="center"/>
            </w:pPr>
            <w:r w:rsidRPr="00E973B1">
              <w:rPr>
                <w:rFonts w:ascii="宋体" w:hAnsi="宋体" w:cs="宋体" w:hint="eastAsia"/>
              </w:rPr>
              <w:t>△</w:t>
            </w:r>
            <w:r w:rsidRPr="00E973B1">
              <w:t>Soil pH</w:t>
            </w:r>
          </w:p>
        </w:tc>
        <w:tc>
          <w:tcPr>
            <w:tcW w:w="1134" w:type="dxa"/>
            <w:tcBorders>
              <w:top w:val="single" w:sz="4" w:space="0" w:color="auto"/>
              <w:left w:val="nil"/>
              <w:bottom w:val="single" w:sz="12" w:space="0" w:color="auto"/>
              <w:right w:val="nil"/>
            </w:tcBorders>
            <w:noWrap/>
            <w:vAlign w:val="center"/>
            <w:hideMark/>
          </w:tcPr>
          <w:p w14:paraId="76FB2B68" w14:textId="77777777" w:rsidR="00D16AFD" w:rsidRPr="00E973B1" w:rsidRDefault="00D16AFD" w:rsidP="00022991">
            <w:pPr>
              <w:spacing w:before="100" w:beforeAutospacing="1" w:after="100" w:afterAutospacing="1" w:line="240" w:lineRule="auto"/>
              <w:ind w:firstLineChars="0" w:firstLine="0"/>
              <w:jc w:val="center"/>
            </w:pPr>
            <w:r w:rsidRPr="00E973B1">
              <w:t>0.13</w:t>
            </w:r>
          </w:p>
        </w:tc>
        <w:tc>
          <w:tcPr>
            <w:tcW w:w="1134" w:type="dxa"/>
            <w:tcBorders>
              <w:top w:val="single" w:sz="4" w:space="0" w:color="auto"/>
              <w:left w:val="nil"/>
              <w:bottom w:val="single" w:sz="12" w:space="0" w:color="auto"/>
              <w:right w:val="nil"/>
            </w:tcBorders>
            <w:noWrap/>
            <w:vAlign w:val="center"/>
            <w:hideMark/>
          </w:tcPr>
          <w:p w14:paraId="1CBD1BCF" w14:textId="77777777" w:rsidR="00D16AFD" w:rsidRPr="00E973B1" w:rsidRDefault="00D16AFD" w:rsidP="00022991">
            <w:pPr>
              <w:spacing w:before="100" w:beforeAutospacing="1" w:after="100" w:afterAutospacing="1" w:line="240" w:lineRule="auto"/>
              <w:ind w:firstLineChars="0" w:firstLine="0"/>
              <w:jc w:val="center"/>
            </w:pPr>
            <w:r w:rsidRPr="00E973B1">
              <w:t>0.31</w:t>
            </w:r>
          </w:p>
        </w:tc>
        <w:tc>
          <w:tcPr>
            <w:tcW w:w="1134" w:type="dxa"/>
            <w:tcBorders>
              <w:top w:val="single" w:sz="4" w:space="0" w:color="auto"/>
              <w:left w:val="nil"/>
              <w:bottom w:val="single" w:sz="12" w:space="0" w:color="auto"/>
              <w:right w:val="nil"/>
            </w:tcBorders>
            <w:noWrap/>
            <w:vAlign w:val="center"/>
            <w:hideMark/>
          </w:tcPr>
          <w:p w14:paraId="1DE0A4C0" w14:textId="77777777" w:rsidR="00D16AFD" w:rsidRPr="00E973B1" w:rsidRDefault="00D16AFD" w:rsidP="00022991">
            <w:pPr>
              <w:spacing w:before="100" w:beforeAutospacing="1" w:after="100" w:afterAutospacing="1" w:line="240" w:lineRule="auto"/>
              <w:ind w:firstLineChars="0" w:firstLine="0"/>
              <w:jc w:val="center"/>
            </w:pPr>
            <w:r w:rsidRPr="00E973B1">
              <w:t>0.46</w:t>
            </w:r>
          </w:p>
        </w:tc>
        <w:tc>
          <w:tcPr>
            <w:tcW w:w="1134" w:type="dxa"/>
            <w:tcBorders>
              <w:top w:val="single" w:sz="4" w:space="0" w:color="auto"/>
              <w:left w:val="nil"/>
              <w:bottom w:val="single" w:sz="12" w:space="0" w:color="auto"/>
              <w:right w:val="nil"/>
            </w:tcBorders>
            <w:noWrap/>
            <w:vAlign w:val="center"/>
            <w:hideMark/>
          </w:tcPr>
          <w:p w14:paraId="4E1D1757" w14:textId="77777777" w:rsidR="00D16AFD" w:rsidRPr="00E973B1" w:rsidRDefault="00D16AFD" w:rsidP="00022991">
            <w:pPr>
              <w:spacing w:before="100" w:beforeAutospacing="1" w:after="100" w:afterAutospacing="1" w:line="240" w:lineRule="auto"/>
              <w:ind w:firstLineChars="0" w:firstLine="0"/>
              <w:jc w:val="center"/>
            </w:pPr>
            <w:r w:rsidRPr="00E973B1">
              <w:t>0.25</w:t>
            </w:r>
          </w:p>
        </w:tc>
        <w:tc>
          <w:tcPr>
            <w:tcW w:w="1134" w:type="dxa"/>
            <w:tcBorders>
              <w:top w:val="single" w:sz="4" w:space="0" w:color="auto"/>
              <w:left w:val="nil"/>
              <w:bottom w:val="single" w:sz="12" w:space="0" w:color="auto"/>
              <w:right w:val="nil"/>
            </w:tcBorders>
            <w:noWrap/>
            <w:vAlign w:val="center"/>
            <w:hideMark/>
          </w:tcPr>
          <w:p w14:paraId="4D154A48" w14:textId="77777777" w:rsidR="00D16AFD" w:rsidRPr="00E973B1" w:rsidRDefault="00D16AFD" w:rsidP="00022991">
            <w:pPr>
              <w:spacing w:before="100" w:beforeAutospacing="1" w:after="100" w:afterAutospacing="1" w:line="240" w:lineRule="auto"/>
              <w:ind w:firstLineChars="0" w:firstLine="0"/>
              <w:jc w:val="center"/>
            </w:pPr>
            <w:r w:rsidRPr="00E973B1">
              <w:t>0.42</w:t>
            </w:r>
          </w:p>
        </w:tc>
        <w:tc>
          <w:tcPr>
            <w:tcW w:w="1134" w:type="dxa"/>
            <w:tcBorders>
              <w:top w:val="single" w:sz="4" w:space="0" w:color="auto"/>
              <w:left w:val="nil"/>
              <w:bottom w:val="single" w:sz="12" w:space="0" w:color="auto"/>
              <w:right w:val="nil"/>
            </w:tcBorders>
            <w:noWrap/>
            <w:vAlign w:val="center"/>
            <w:hideMark/>
          </w:tcPr>
          <w:p w14:paraId="44CF98A7" w14:textId="77777777" w:rsidR="00D16AFD" w:rsidRPr="00E973B1" w:rsidRDefault="00D16AFD" w:rsidP="00022991">
            <w:pPr>
              <w:spacing w:before="100" w:beforeAutospacing="1" w:after="100" w:afterAutospacing="1" w:line="240" w:lineRule="auto"/>
              <w:ind w:firstLineChars="0" w:firstLine="0"/>
              <w:jc w:val="center"/>
            </w:pPr>
            <w:r w:rsidRPr="00E973B1">
              <w:t>0.72</w:t>
            </w:r>
          </w:p>
        </w:tc>
        <w:tc>
          <w:tcPr>
            <w:tcW w:w="1134" w:type="dxa"/>
            <w:tcBorders>
              <w:top w:val="single" w:sz="4" w:space="0" w:color="auto"/>
              <w:left w:val="nil"/>
              <w:bottom w:val="single" w:sz="12" w:space="0" w:color="auto"/>
              <w:right w:val="nil"/>
            </w:tcBorders>
            <w:noWrap/>
            <w:vAlign w:val="center"/>
            <w:hideMark/>
          </w:tcPr>
          <w:p w14:paraId="6B20191B" w14:textId="77777777" w:rsidR="00D16AFD" w:rsidRPr="00E973B1" w:rsidRDefault="00D16AFD" w:rsidP="00022991">
            <w:pPr>
              <w:spacing w:before="100" w:beforeAutospacing="1" w:after="100" w:afterAutospacing="1" w:line="240" w:lineRule="auto"/>
              <w:ind w:firstLineChars="0" w:firstLine="0"/>
              <w:jc w:val="center"/>
            </w:pPr>
            <w:r w:rsidRPr="00E973B1">
              <w:t>0.36</w:t>
            </w:r>
          </w:p>
        </w:tc>
        <w:tc>
          <w:tcPr>
            <w:tcW w:w="1134" w:type="dxa"/>
            <w:tcBorders>
              <w:top w:val="single" w:sz="4" w:space="0" w:color="auto"/>
              <w:left w:val="nil"/>
              <w:bottom w:val="single" w:sz="12" w:space="0" w:color="auto"/>
              <w:right w:val="nil"/>
            </w:tcBorders>
            <w:noWrap/>
            <w:vAlign w:val="center"/>
            <w:hideMark/>
          </w:tcPr>
          <w:p w14:paraId="497003DD" w14:textId="77777777" w:rsidR="00D16AFD" w:rsidRPr="00E973B1" w:rsidRDefault="00D16AFD" w:rsidP="00022991">
            <w:pPr>
              <w:spacing w:before="100" w:beforeAutospacing="1" w:after="100" w:afterAutospacing="1" w:line="240" w:lineRule="auto"/>
              <w:ind w:firstLineChars="0" w:firstLine="0"/>
              <w:jc w:val="center"/>
            </w:pPr>
            <w:r w:rsidRPr="00E973B1">
              <w:t>0.41</w:t>
            </w:r>
          </w:p>
        </w:tc>
      </w:tr>
    </w:tbl>
    <w:p w14:paraId="66818780" w14:textId="77777777" w:rsidR="00D16AFD" w:rsidRPr="004446FA" w:rsidRDefault="00D16AFD" w:rsidP="00D16AFD">
      <w:pPr>
        <w:spacing w:before="326"/>
        <w:ind w:firstLineChars="0" w:firstLine="0"/>
        <w:rPr>
          <w:rFonts w:eastAsiaTheme="minorEastAsia"/>
        </w:rPr>
        <w:sectPr w:rsidR="00D16AFD" w:rsidRPr="004446FA" w:rsidSect="00091B08">
          <w:footerReference w:type="default" r:id="rId8"/>
          <w:type w:val="continuous"/>
          <w:pgSz w:w="11906" w:h="16838"/>
          <w:pgMar w:top="1440" w:right="1800" w:bottom="1440" w:left="1800" w:header="851" w:footer="992" w:gutter="0"/>
          <w:lnNumType w:countBy="1" w:restart="continuous"/>
          <w:pgNumType w:fmt="decimalFullWidth"/>
          <w:cols w:space="425"/>
          <w:docGrid w:type="lines" w:linePitch="326"/>
        </w:sectPr>
      </w:pPr>
    </w:p>
    <w:p w14:paraId="12382D91" w14:textId="77777777" w:rsidR="00D16AFD" w:rsidRPr="00E973B1" w:rsidRDefault="00D16AFD" w:rsidP="00D16AFD">
      <w:pPr>
        <w:tabs>
          <w:tab w:val="left" w:pos="900"/>
        </w:tabs>
        <w:spacing w:before="326"/>
        <w:ind w:firstLineChars="0" w:firstLine="0"/>
      </w:pPr>
      <w:r w:rsidRPr="004446FA">
        <w:br w:type="page"/>
      </w:r>
      <w:r w:rsidRPr="00E973B1">
        <w:rPr>
          <w:noProof/>
        </w:rPr>
        <w:lastRenderedPageBreak/>
        <w:drawing>
          <wp:inline distT="0" distB="0" distL="0" distR="0" wp14:anchorId="44D35CA5" wp14:editId="7B960CE4">
            <wp:extent cx="5274310" cy="2869565"/>
            <wp:effectExtent l="0" t="0" r="254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a:stretch>
                      <a:fillRect/>
                    </a:stretch>
                  </pic:blipFill>
                  <pic:spPr>
                    <a:xfrm>
                      <a:off x="0" y="0"/>
                      <a:ext cx="5274310" cy="2869565"/>
                    </a:xfrm>
                    <a:prstGeom prst="rect">
                      <a:avLst/>
                    </a:prstGeom>
                  </pic:spPr>
                </pic:pic>
              </a:graphicData>
            </a:graphic>
          </wp:inline>
        </w:drawing>
      </w:r>
    </w:p>
    <w:p w14:paraId="1038D504" w14:textId="77777777" w:rsidR="00D16AFD" w:rsidRPr="00E973B1" w:rsidRDefault="00D16AFD" w:rsidP="00D16AFD">
      <w:pPr>
        <w:spacing w:before="326"/>
        <w:ind w:firstLine="402"/>
        <w:sectPr w:rsidR="00D16AFD" w:rsidRPr="00E973B1" w:rsidSect="00091B08">
          <w:type w:val="continuous"/>
          <w:pgSz w:w="11906" w:h="16838"/>
          <w:pgMar w:top="1440" w:right="1800" w:bottom="1440" w:left="1800" w:header="851" w:footer="992" w:gutter="0"/>
          <w:lnNumType w:countBy="1" w:restart="continuous"/>
          <w:pgNumType w:fmt="decimalFullWidth"/>
          <w:cols w:space="425"/>
          <w:docGrid w:type="lines" w:linePitch="326"/>
        </w:sectPr>
      </w:pPr>
      <w:r w:rsidRPr="00E973B1">
        <w:rPr>
          <w:b/>
          <w:bCs/>
        </w:rPr>
        <w:t>Fig. S1</w:t>
      </w:r>
      <w:r w:rsidRPr="00E973B1">
        <w:t xml:space="preserve"> Growth traits of Panax notoginseng under different water and fertilizer treatments (Treatments are described in the footnote of Fig. 1)</w:t>
      </w:r>
    </w:p>
    <w:p w14:paraId="6F50BCE9" w14:textId="77777777" w:rsidR="00D16AFD" w:rsidRPr="00E973B1" w:rsidRDefault="00D16AFD" w:rsidP="00D16AFD">
      <w:pPr>
        <w:spacing w:before="326"/>
        <w:ind w:firstLine="400"/>
      </w:pPr>
    </w:p>
    <w:p w14:paraId="076C3B45" w14:textId="77777777" w:rsidR="00D16AFD" w:rsidRPr="00E973B1" w:rsidRDefault="00D16AFD" w:rsidP="00D16AFD">
      <w:pPr>
        <w:spacing w:before="326"/>
        <w:ind w:firstLine="400"/>
        <w:jc w:val="center"/>
      </w:pPr>
      <w:r w:rsidRPr="00E973B1">
        <w:rPr>
          <w:noProof/>
        </w:rPr>
        <w:lastRenderedPageBreak/>
        <w:drawing>
          <wp:inline distT="0" distB="0" distL="0" distR="0" wp14:anchorId="467976B2" wp14:editId="3CCB6BD9">
            <wp:extent cx="4043363" cy="4909381"/>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49108" cy="4916357"/>
                    </a:xfrm>
                    <a:prstGeom prst="rect">
                      <a:avLst/>
                    </a:prstGeom>
                  </pic:spPr>
                </pic:pic>
              </a:graphicData>
            </a:graphic>
          </wp:inline>
        </w:drawing>
      </w:r>
    </w:p>
    <w:p w14:paraId="5E2A8D06" w14:textId="77777777" w:rsidR="00D16AFD" w:rsidRPr="00E973B1" w:rsidRDefault="00D16AFD" w:rsidP="00D16AFD">
      <w:pPr>
        <w:spacing w:before="326"/>
        <w:ind w:firstLine="402"/>
        <w:sectPr w:rsidR="00D16AFD" w:rsidRPr="00E973B1" w:rsidSect="00091B08">
          <w:footerReference w:type="default" r:id="rId11"/>
          <w:type w:val="continuous"/>
          <w:pgSz w:w="11906" w:h="16838"/>
          <w:pgMar w:top="1440" w:right="1800" w:bottom="1440" w:left="1800" w:header="851" w:footer="992" w:gutter="0"/>
          <w:lnNumType w:countBy="1" w:restart="continuous"/>
          <w:pgNumType w:fmt="decimalFullWidth"/>
          <w:cols w:space="425"/>
          <w:docGrid w:type="lines" w:linePitch="326"/>
        </w:sectPr>
      </w:pPr>
      <w:bookmarkStart w:id="0" w:name="_Hlk104406987"/>
      <w:r w:rsidRPr="00E973B1">
        <w:rPr>
          <w:b/>
          <w:bCs/>
        </w:rPr>
        <w:t>Fig. S</w:t>
      </w:r>
      <w:bookmarkEnd w:id="0"/>
      <w:r w:rsidRPr="00E973B1">
        <w:rPr>
          <w:b/>
          <w:bCs/>
        </w:rPr>
        <w:t>2</w:t>
      </w:r>
      <w:r w:rsidRPr="00E973B1">
        <w:t xml:space="preserve"> Root hydraulic conductivity of Panax notoginseng (Treatments are described in the footnote of </w:t>
      </w:r>
      <w:r w:rsidRPr="00E973B1">
        <w:rPr>
          <w:b/>
          <w:bCs/>
        </w:rPr>
        <w:t>Fig. 1</w:t>
      </w:r>
      <w:r w:rsidRPr="00E973B1">
        <w:t>)</w:t>
      </w:r>
    </w:p>
    <w:p w14:paraId="2170F98C" w14:textId="77777777" w:rsidR="00D16AFD" w:rsidRPr="00E973B1" w:rsidRDefault="00D16AFD" w:rsidP="00D16AFD">
      <w:pPr>
        <w:spacing w:before="326"/>
        <w:ind w:firstLine="400"/>
      </w:pPr>
    </w:p>
    <w:p w14:paraId="06222596" w14:textId="77777777" w:rsidR="00D16AFD" w:rsidRPr="00E973B1" w:rsidRDefault="00D16AFD" w:rsidP="00D16AFD">
      <w:pPr>
        <w:spacing w:before="326"/>
        <w:ind w:firstLine="400"/>
        <w:jc w:val="center"/>
      </w:pPr>
    </w:p>
    <w:p w14:paraId="6708A808" w14:textId="77777777" w:rsidR="00D16AFD" w:rsidRPr="00E973B1" w:rsidRDefault="00D16AFD" w:rsidP="00D16AFD">
      <w:pPr>
        <w:spacing w:before="326"/>
        <w:ind w:firstLine="400"/>
      </w:pPr>
      <w:r>
        <w:rPr>
          <w:noProof/>
        </w:rPr>
        <w:lastRenderedPageBreak/>
        <w:drawing>
          <wp:inline distT="0" distB="0" distL="0" distR="0" wp14:anchorId="62F52DDC" wp14:editId="72ED3C71">
            <wp:extent cx="4857750" cy="290143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a:stretch>
                      <a:fillRect/>
                    </a:stretch>
                  </pic:blipFill>
                  <pic:spPr>
                    <a:xfrm>
                      <a:off x="0" y="0"/>
                      <a:ext cx="4863170" cy="2904669"/>
                    </a:xfrm>
                    <a:prstGeom prst="rect">
                      <a:avLst/>
                    </a:prstGeom>
                  </pic:spPr>
                </pic:pic>
              </a:graphicData>
            </a:graphic>
          </wp:inline>
        </w:drawing>
      </w:r>
    </w:p>
    <w:p w14:paraId="5223321E" w14:textId="77777777" w:rsidR="00D16AFD" w:rsidRPr="00E973B1" w:rsidRDefault="00D16AFD" w:rsidP="00D16AFD">
      <w:pPr>
        <w:spacing w:before="326"/>
        <w:ind w:firstLine="402"/>
      </w:pPr>
      <w:r w:rsidRPr="00E973B1">
        <w:rPr>
          <w:b/>
          <w:bCs/>
        </w:rPr>
        <w:t>Fig. S3</w:t>
      </w:r>
      <w:r w:rsidRPr="00E973B1">
        <w:t xml:space="preserve"> Diurnal variation of net photosynthetic rate and transpiration rate of Panax notoginseng in rainy season (Treatments are described in the footnote of Fig.1)</w:t>
      </w:r>
    </w:p>
    <w:p w14:paraId="2B46825D" w14:textId="77777777" w:rsidR="00D16AFD" w:rsidRPr="00E973B1" w:rsidRDefault="00D16AFD" w:rsidP="00D16AFD">
      <w:pPr>
        <w:spacing w:before="326"/>
        <w:ind w:firstLine="400"/>
      </w:pPr>
    </w:p>
    <w:p w14:paraId="4B03FEFA" w14:textId="77777777" w:rsidR="00D16AFD" w:rsidRPr="00E973B1" w:rsidRDefault="00D16AFD" w:rsidP="00D16AFD">
      <w:pPr>
        <w:spacing w:before="326"/>
        <w:ind w:firstLine="400"/>
        <w:sectPr w:rsidR="00D16AFD" w:rsidRPr="00E973B1" w:rsidSect="00F747C4">
          <w:footerReference w:type="default" r:id="rId13"/>
          <w:type w:val="continuous"/>
          <w:pgSz w:w="11906" w:h="16838"/>
          <w:pgMar w:top="1440" w:right="1800" w:bottom="1440" w:left="1800" w:header="851" w:footer="992" w:gutter="0"/>
          <w:lnNumType w:countBy="1" w:restart="continuous"/>
          <w:pgNumType w:fmt="decimalFullWidth"/>
          <w:cols w:space="425"/>
          <w:titlePg/>
          <w:docGrid w:type="lines" w:linePitch="326"/>
        </w:sectPr>
      </w:pPr>
      <w:r w:rsidRPr="00E973B1">
        <w:rPr>
          <w:noProof/>
        </w:rPr>
        <w:drawing>
          <wp:inline distT="0" distB="0" distL="0" distR="0" wp14:anchorId="1234ADFE" wp14:editId="0A03B554">
            <wp:extent cx="4913295" cy="2424113"/>
            <wp:effectExtent l="0" t="0" r="190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23289" cy="2429044"/>
                    </a:xfrm>
                    <a:prstGeom prst="rect">
                      <a:avLst/>
                    </a:prstGeom>
                  </pic:spPr>
                </pic:pic>
              </a:graphicData>
            </a:graphic>
          </wp:inline>
        </w:drawing>
      </w:r>
      <w:r w:rsidRPr="00E973B1">
        <w:t xml:space="preserve"> </w:t>
      </w:r>
      <w:r w:rsidRPr="00E973B1">
        <w:rPr>
          <w:b/>
          <w:bCs/>
        </w:rPr>
        <w:t>Fig. S4</w:t>
      </w:r>
      <w:r w:rsidRPr="00E973B1">
        <w:t xml:space="preserve"> Longitudinal distribution of soil available nitrogen in root zone of Panax notoginseng in rainy season (Treatments are described in the footnote of Fig. 1)</w:t>
      </w:r>
    </w:p>
    <w:p w14:paraId="7359AAD0" w14:textId="77777777" w:rsidR="00D16AFD" w:rsidRPr="00E973B1" w:rsidRDefault="00D16AFD" w:rsidP="00D16AFD">
      <w:pPr>
        <w:spacing w:before="326"/>
        <w:ind w:firstLine="400"/>
      </w:pPr>
    </w:p>
    <w:p w14:paraId="51FAE047" w14:textId="77777777" w:rsidR="00D16AFD" w:rsidRPr="00E973B1" w:rsidRDefault="00D16AFD" w:rsidP="00D16AFD">
      <w:pPr>
        <w:spacing w:before="326"/>
        <w:ind w:firstLine="400"/>
      </w:pPr>
      <w:r w:rsidRPr="00E973B1">
        <w:rPr>
          <w:noProof/>
        </w:rPr>
        <w:lastRenderedPageBreak/>
        <w:drawing>
          <wp:inline distT="0" distB="0" distL="0" distR="0" wp14:anchorId="4B501901" wp14:editId="5ADC0BC3">
            <wp:extent cx="4948270" cy="2452688"/>
            <wp:effectExtent l="0" t="0" r="508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52295" cy="2454683"/>
                    </a:xfrm>
                    <a:prstGeom prst="rect">
                      <a:avLst/>
                    </a:prstGeom>
                  </pic:spPr>
                </pic:pic>
              </a:graphicData>
            </a:graphic>
          </wp:inline>
        </w:drawing>
      </w:r>
    </w:p>
    <w:p w14:paraId="207AE13B" w14:textId="77777777" w:rsidR="00D16AFD" w:rsidRPr="00E973B1" w:rsidRDefault="00D16AFD" w:rsidP="00D16AFD">
      <w:pPr>
        <w:spacing w:before="326"/>
        <w:ind w:firstLine="402"/>
      </w:pPr>
      <w:r w:rsidRPr="00E973B1">
        <w:rPr>
          <w:b/>
          <w:bCs/>
        </w:rPr>
        <w:t>Fi. S5</w:t>
      </w:r>
      <w:r w:rsidRPr="00E973B1">
        <w:t xml:space="preserve"> Longitudinal distribution of soil available potassium in root zone of Panax notoginseng in rainy season (Treatments are described in the footnote of Fig. 1)</w:t>
      </w:r>
    </w:p>
    <w:p w14:paraId="251F5B51" w14:textId="77777777" w:rsidR="00D16AFD" w:rsidRPr="00E973B1" w:rsidRDefault="00D16AFD" w:rsidP="00D16AFD">
      <w:pPr>
        <w:spacing w:before="326"/>
        <w:ind w:firstLine="400"/>
      </w:pPr>
      <w:r w:rsidRPr="00E973B1">
        <w:rPr>
          <w:noProof/>
        </w:rPr>
        <w:drawing>
          <wp:inline distT="0" distB="0" distL="0" distR="0" wp14:anchorId="46BC0DDC" wp14:editId="376C787B">
            <wp:extent cx="4824412" cy="2334374"/>
            <wp:effectExtent l="0" t="0" r="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31029" cy="2337576"/>
                    </a:xfrm>
                    <a:prstGeom prst="rect">
                      <a:avLst/>
                    </a:prstGeom>
                  </pic:spPr>
                </pic:pic>
              </a:graphicData>
            </a:graphic>
          </wp:inline>
        </w:drawing>
      </w:r>
    </w:p>
    <w:p w14:paraId="3EFF05D2" w14:textId="77777777" w:rsidR="00D16AFD" w:rsidRDefault="00D16AFD" w:rsidP="00D16AFD">
      <w:pPr>
        <w:spacing w:before="326"/>
        <w:ind w:firstLine="402"/>
      </w:pPr>
      <w:r w:rsidRPr="00E973B1">
        <w:rPr>
          <w:b/>
          <w:bCs/>
        </w:rPr>
        <w:t>Fig. S6</w:t>
      </w:r>
      <w:r w:rsidRPr="00E973B1">
        <w:t xml:space="preserve"> Longitudinal distribution of soil available phosphorus in root zone of Panax notoginseng in rainy season (Treatments are described in the footnote of Fig. 1</w:t>
      </w:r>
      <w:r>
        <w:rPr>
          <w:rFonts w:hint="eastAsia"/>
        </w:rPr>
        <w:t>)</w:t>
      </w:r>
    </w:p>
    <w:p w14:paraId="588F297F" w14:textId="77777777" w:rsidR="00D16AFD" w:rsidRDefault="00D16AFD" w:rsidP="00D16AFD">
      <w:pPr>
        <w:spacing w:before="326"/>
        <w:ind w:firstLine="400"/>
      </w:pPr>
    </w:p>
    <w:p w14:paraId="0737CFAC" w14:textId="77777777" w:rsidR="00D16AFD" w:rsidRDefault="00D16AFD" w:rsidP="00D16AFD">
      <w:pPr>
        <w:spacing w:before="326"/>
        <w:ind w:firstLine="400"/>
        <w:sectPr w:rsidR="00D16AFD" w:rsidSect="00F747C4">
          <w:footerReference w:type="default" r:id="rId17"/>
          <w:type w:val="continuous"/>
          <w:pgSz w:w="11906" w:h="16838"/>
          <w:pgMar w:top="1440" w:right="1800" w:bottom="1440" w:left="1800" w:header="851" w:footer="992" w:gutter="0"/>
          <w:lnNumType w:countBy="1" w:restart="continuous"/>
          <w:pgNumType w:fmt="decimalFullWidth"/>
          <w:cols w:space="425"/>
          <w:titlePg/>
          <w:docGrid w:type="lines" w:linePitch="326"/>
        </w:sectPr>
      </w:pPr>
    </w:p>
    <w:p w14:paraId="0326A77F" w14:textId="77777777" w:rsidR="00D16AFD" w:rsidRDefault="00D16AFD" w:rsidP="00D16AFD">
      <w:pPr>
        <w:spacing w:before="326"/>
        <w:ind w:firstLine="400"/>
        <w:sectPr w:rsidR="00D16AFD" w:rsidSect="00F747C4">
          <w:type w:val="continuous"/>
          <w:pgSz w:w="11906" w:h="16838"/>
          <w:pgMar w:top="1440" w:right="1800" w:bottom="1440" w:left="1800" w:header="851" w:footer="992" w:gutter="0"/>
          <w:lnNumType w:countBy="1" w:restart="continuous"/>
          <w:pgNumType w:fmt="decimalFullWidth"/>
          <w:cols w:space="425"/>
          <w:titlePg/>
          <w:docGrid w:type="lines" w:linePitch="326"/>
        </w:sectPr>
      </w:pPr>
    </w:p>
    <w:p w14:paraId="7CF4547A" w14:textId="77777777" w:rsidR="00D16AFD" w:rsidRPr="008D7923" w:rsidRDefault="00D16AFD" w:rsidP="00D16AFD">
      <w:pPr>
        <w:spacing w:before="326"/>
        <w:ind w:firstLine="400"/>
        <w:sectPr w:rsidR="00D16AFD" w:rsidRPr="008D7923" w:rsidSect="00F747C4">
          <w:type w:val="continuous"/>
          <w:pgSz w:w="11906" w:h="16838"/>
          <w:pgMar w:top="1440" w:right="1800" w:bottom="1440" w:left="1800" w:header="851" w:footer="992" w:gutter="0"/>
          <w:lnNumType w:countBy="1" w:restart="continuous"/>
          <w:pgNumType w:fmt="decimalFullWidth"/>
          <w:cols w:space="425"/>
          <w:titlePg/>
          <w:docGrid w:type="lines" w:linePitch="326"/>
        </w:sectPr>
      </w:pPr>
    </w:p>
    <w:p w14:paraId="4459C602" w14:textId="77777777" w:rsidR="00D16AFD" w:rsidRPr="00E973B1" w:rsidRDefault="00D16AFD" w:rsidP="00D16AFD">
      <w:pPr>
        <w:spacing w:before="326"/>
        <w:ind w:firstLine="400"/>
      </w:pPr>
      <w:r>
        <w:rPr>
          <w:noProof/>
        </w:rPr>
        <w:lastRenderedPageBreak/>
        <w:drawing>
          <wp:inline distT="0" distB="0" distL="0" distR="0" wp14:anchorId="5756CC11" wp14:editId="37DF89A9">
            <wp:extent cx="4986247" cy="4083367"/>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a:stretch>
                      <a:fillRect/>
                    </a:stretch>
                  </pic:blipFill>
                  <pic:spPr>
                    <a:xfrm>
                      <a:off x="0" y="0"/>
                      <a:ext cx="4990306" cy="4086691"/>
                    </a:xfrm>
                    <a:prstGeom prst="rect">
                      <a:avLst/>
                    </a:prstGeom>
                  </pic:spPr>
                </pic:pic>
              </a:graphicData>
            </a:graphic>
          </wp:inline>
        </w:drawing>
      </w:r>
    </w:p>
    <w:p w14:paraId="430E04AE" w14:textId="77777777" w:rsidR="00D16AFD" w:rsidRDefault="00D16AFD" w:rsidP="00D16AFD">
      <w:pPr>
        <w:spacing w:before="326"/>
        <w:ind w:firstLine="402"/>
        <w:sectPr w:rsidR="00D16AFD" w:rsidSect="00F747C4">
          <w:footerReference w:type="first" r:id="rId19"/>
          <w:type w:val="continuous"/>
          <w:pgSz w:w="11906" w:h="16838"/>
          <w:pgMar w:top="1440" w:right="1800" w:bottom="1440" w:left="1800" w:header="851" w:footer="992" w:gutter="0"/>
          <w:lnNumType w:countBy="1" w:restart="continuous"/>
          <w:pgNumType w:fmt="decimalFullWidth"/>
          <w:cols w:space="425"/>
          <w:titlePg/>
          <w:docGrid w:type="lines" w:linePitch="326"/>
        </w:sectPr>
      </w:pPr>
      <w:r w:rsidRPr="00E973B1">
        <w:rPr>
          <w:b/>
          <w:bCs/>
        </w:rPr>
        <w:t>Fig. S7</w:t>
      </w:r>
      <w:r w:rsidRPr="00E973B1">
        <w:t xml:space="preserve"> Pearson's correlation coefficient between each research index and incidence rate</w:t>
      </w:r>
    </w:p>
    <w:p w14:paraId="0BD66BC5" w14:textId="77777777" w:rsidR="00D16AFD" w:rsidRPr="00E973B1" w:rsidRDefault="00D16AFD" w:rsidP="00D16AFD">
      <w:pPr>
        <w:spacing w:before="326"/>
        <w:ind w:firstLine="400"/>
      </w:pPr>
    </w:p>
    <w:p w14:paraId="3BF10EE7" w14:textId="77777777" w:rsidR="00D16AFD" w:rsidRPr="00E973B1" w:rsidRDefault="00D16AFD" w:rsidP="00D16AFD">
      <w:pPr>
        <w:spacing w:before="326"/>
        <w:ind w:firstLine="400"/>
        <w:jc w:val="center"/>
      </w:pPr>
      <w:r w:rsidRPr="00E973B1">
        <w:object w:dxaOrig="3401" w:dyaOrig="4253" w14:anchorId="56B3F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6pt;height:278.4pt" o:ole="">
            <v:imagedata r:id="rId20" o:title=""/>
          </v:shape>
          <o:OLEObject Type="Embed" ProgID="Origin95.Graph" ShapeID="_x0000_i1025" DrawAspect="Content" ObjectID="_1716574487" r:id="rId21"/>
        </w:object>
      </w:r>
    </w:p>
    <w:p w14:paraId="29D57F73" w14:textId="77777777" w:rsidR="00D16AFD" w:rsidRPr="00E973B1" w:rsidRDefault="00D16AFD" w:rsidP="00D16AFD">
      <w:pPr>
        <w:spacing w:before="326"/>
        <w:ind w:firstLine="402"/>
      </w:pPr>
      <w:r w:rsidRPr="00E973B1">
        <w:rPr>
          <w:b/>
          <w:bCs/>
        </w:rPr>
        <w:t>Fig. S8</w:t>
      </w:r>
      <w:r w:rsidRPr="00E973B1">
        <w:t xml:space="preserve"> Soil conductivity in root zone of Panax notoginseng in rainy season (Treatments are described in the footnote of Fig. 1)</w:t>
      </w:r>
    </w:p>
    <w:p w14:paraId="7E8715D9" w14:textId="77777777" w:rsidR="00D16AFD" w:rsidRPr="00E973B1" w:rsidRDefault="00D16AFD" w:rsidP="00D16AFD">
      <w:pPr>
        <w:suppressLineNumbers/>
        <w:spacing w:before="326"/>
        <w:ind w:firstLine="402"/>
        <w:rPr>
          <w:b/>
          <w:bCs/>
        </w:rPr>
      </w:pPr>
      <w:r w:rsidRPr="00E973B1">
        <w:rPr>
          <w:b/>
          <w:bCs/>
        </w:rPr>
        <w:t>References</w:t>
      </w:r>
    </w:p>
    <w:p w14:paraId="1F5E1314" w14:textId="77777777" w:rsidR="00D16AFD" w:rsidRPr="00E973B1" w:rsidRDefault="00D16AFD" w:rsidP="00D16AFD">
      <w:pPr>
        <w:suppressLineNumbers/>
        <w:spacing w:line="240" w:lineRule="auto"/>
        <w:ind w:left="400" w:hangingChars="200" w:hanging="400"/>
        <w:rPr>
          <w:rFonts w:eastAsiaTheme="minorEastAsia"/>
          <w:noProof/>
          <w:color w:val="222222"/>
          <w:shd w:val="clear" w:color="auto" w:fill="FFFFFF"/>
        </w:rPr>
      </w:pPr>
      <w:r w:rsidRPr="00E973B1">
        <w:rPr>
          <w:rFonts w:eastAsiaTheme="minorEastAsia"/>
          <w:noProof/>
          <w:color w:val="222222"/>
          <w:shd w:val="clear" w:color="auto" w:fill="FFFFFF"/>
        </w:rPr>
        <w:t>Kidron G J, Li X R, Jia R L, Gao Y H, Zhang P (2015) Assessment of carbon gains from biocrusts inhabiting a dunefield in the Negev Desert. </w:t>
      </w:r>
      <w:r w:rsidRPr="00E973B1">
        <w:rPr>
          <w:rFonts w:eastAsiaTheme="minorEastAsia"/>
          <w:i/>
          <w:iCs/>
          <w:noProof/>
          <w:color w:val="222222"/>
          <w:shd w:val="clear" w:color="auto" w:fill="FFFFFF"/>
        </w:rPr>
        <w:t>Geoderma</w:t>
      </w:r>
      <w:r w:rsidRPr="00E973B1">
        <w:rPr>
          <w:rFonts w:eastAsiaTheme="minorEastAsia"/>
          <w:noProof/>
          <w:color w:val="222222"/>
          <w:shd w:val="clear" w:color="auto" w:fill="FFFFFF"/>
        </w:rPr>
        <w:t>, </w:t>
      </w:r>
      <w:r w:rsidRPr="00E973B1">
        <w:rPr>
          <w:rFonts w:eastAsiaTheme="minorEastAsia"/>
          <w:i/>
          <w:iCs/>
          <w:noProof/>
          <w:color w:val="222222"/>
          <w:shd w:val="clear" w:color="auto" w:fill="FFFFFF"/>
        </w:rPr>
        <w:t>253</w:t>
      </w:r>
      <w:r w:rsidRPr="00E973B1">
        <w:rPr>
          <w:rFonts w:eastAsiaTheme="minorEastAsia"/>
          <w:noProof/>
          <w:color w:val="222222"/>
          <w:shd w:val="clear" w:color="auto" w:fill="FFFFFF"/>
        </w:rPr>
        <w:t>, 102-110.</w:t>
      </w:r>
      <w:r w:rsidRPr="00E973B1">
        <w:rPr>
          <w:noProof/>
        </w:rPr>
        <w:t xml:space="preserve"> </w:t>
      </w:r>
      <w:hyperlink r:id="rId22" w:tgtFrame="_blank" w:tooltip="Persistent link using digital object identifier" w:history="1">
        <w:r w:rsidRPr="00E973B1">
          <w:rPr>
            <w:rStyle w:val="a8"/>
            <w:rFonts w:eastAsiaTheme="minorEastAsia"/>
            <w:noProof/>
            <w:shd w:val="clear" w:color="auto" w:fill="FFFFFF"/>
          </w:rPr>
          <w:t>https://doi.org/10.1016/j.geoderma.2015.04.015</w:t>
        </w:r>
      </w:hyperlink>
    </w:p>
    <w:p w14:paraId="770EB9CF" w14:textId="77777777" w:rsidR="00D16AFD" w:rsidRPr="00E973B1" w:rsidRDefault="00D16AFD" w:rsidP="00D16AFD">
      <w:pPr>
        <w:suppressLineNumbers/>
        <w:spacing w:line="240" w:lineRule="auto"/>
        <w:ind w:left="400" w:hangingChars="200" w:hanging="400"/>
        <w:rPr>
          <w:rFonts w:eastAsiaTheme="minorEastAsia"/>
          <w:noProof/>
          <w:color w:val="222222"/>
          <w:shd w:val="clear" w:color="auto" w:fill="FFFFFF"/>
        </w:rPr>
      </w:pPr>
      <w:r w:rsidRPr="00E973B1">
        <w:rPr>
          <w:rFonts w:eastAsiaTheme="minorEastAsia"/>
          <w:noProof/>
          <w:color w:val="222222"/>
          <w:shd w:val="clear" w:color="auto" w:fill="FFFFFF"/>
        </w:rPr>
        <w:t>Kramer P J, Boyer J S (1995) </w:t>
      </w:r>
      <w:r w:rsidRPr="00E973B1">
        <w:rPr>
          <w:rFonts w:eastAsiaTheme="minorEastAsia"/>
          <w:i/>
          <w:iCs/>
          <w:noProof/>
          <w:color w:val="222222"/>
          <w:shd w:val="clear" w:color="auto" w:fill="FFFFFF"/>
        </w:rPr>
        <w:t>Water relations of plants and soils</w:t>
      </w:r>
      <w:r w:rsidRPr="00E973B1">
        <w:rPr>
          <w:rFonts w:eastAsiaTheme="minorEastAsia"/>
          <w:noProof/>
          <w:color w:val="222222"/>
          <w:shd w:val="clear" w:color="auto" w:fill="FFFFFF"/>
        </w:rPr>
        <w:t>. Academic press.</w:t>
      </w:r>
    </w:p>
    <w:p w14:paraId="0AFB2859" w14:textId="77777777" w:rsidR="00D16AFD" w:rsidRPr="00E973B1" w:rsidRDefault="00D16AFD" w:rsidP="00D16AFD">
      <w:pPr>
        <w:suppressLineNumbers/>
        <w:spacing w:line="240" w:lineRule="auto"/>
        <w:ind w:left="400" w:hangingChars="200" w:hanging="400"/>
        <w:rPr>
          <w:rFonts w:eastAsiaTheme="minorEastAsia"/>
          <w:noProof/>
        </w:rPr>
      </w:pPr>
      <w:r w:rsidRPr="00E973B1">
        <w:rPr>
          <w:rFonts w:eastAsiaTheme="minorEastAsia"/>
          <w:noProof/>
          <w:color w:val="222222"/>
          <w:shd w:val="clear" w:color="auto" w:fill="FFFFFF"/>
        </w:rPr>
        <w:t>Ma J F, Ryan P R, Delhaize E (2001)</w:t>
      </w:r>
      <w:r>
        <w:rPr>
          <w:rFonts w:eastAsiaTheme="minorEastAsia"/>
          <w:noProof/>
          <w:color w:val="222222"/>
          <w:shd w:val="clear" w:color="auto" w:fill="FFFFFF"/>
        </w:rPr>
        <w:t xml:space="preserve"> </w:t>
      </w:r>
      <w:r w:rsidRPr="00E973B1">
        <w:rPr>
          <w:rFonts w:eastAsiaTheme="minorEastAsia"/>
          <w:noProof/>
          <w:color w:val="222222"/>
          <w:shd w:val="clear" w:color="auto" w:fill="FFFFFF"/>
        </w:rPr>
        <w:t>Aluminium tolerance in plants and the complexing role of organic acids. </w:t>
      </w:r>
      <w:r w:rsidRPr="00E973B1">
        <w:rPr>
          <w:rFonts w:eastAsiaTheme="minorEastAsia"/>
          <w:i/>
          <w:iCs/>
          <w:noProof/>
          <w:color w:val="222222"/>
          <w:shd w:val="clear" w:color="auto" w:fill="FFFFFF"/>
        </w:rPr>
        <w:t>Trends in plant science</w:t>
      </w:r>
      <w:r w:rsidRPr="00E973B1">
        <w:rPr>
          <w:rFonts w:eastAsiaTheme="minorEastAsia"/>
          <w:noProof/>
          <w:color w:val="222222"/>
          <w:shd w:val="clear" w:color="auto" w:fill="FFFFFF"/>
        </w:rPr>
        <w:t>, </w:t>
      </w:r>
      <w:r w:rsidRPr="00E973B1">
        <w:rPr>
          <w:rFonts w:eastAsiaTheme="minorEastAsia"/>
          <w:i/>
          <w:iCs/>
          <w:noProof/>
          <w:color w:val="222222"/>
          <w:shd w:val="clear" w:color="auto" w:fill="FFFFFF"/>
        </w:rPr>
        <w:t>6</w:t>
      </w:r>
      <w:r w:rsidRPr="00E973B1">
        <w:rPr>
          <w:rFonts w:eastAsiaTheme="minorEastAsia"/>
          <w:noProof/>
          <w:color w:val="222222"/>
          <w:shd w:val="clear" w:color="auto" w:fill="FFFFFF"/>
        </w:rPr>
        <w:t>(6), 273-278.</w:t>
      </w:r>
      <w:r w:rsidRPr="00E973B1">
        <w:rPr>
          <w:noProof/>
        </w:rPr>
        <w:t xml:space="preserve"> </w:t>
      </w:r>
      <w:hyperlink r:id="rId23" w:tgtFrame="_blank" w:tooltip="Persistent link using digital object identifier" w:history="1">
        <w:r w:rsidRPr="00E973B1">
          <w:rPr>
            <w:rStyle w:val="a8"/>
            <w:rFonts w:eastAsiaTheme="minorEastAsia"/>
            <w:noProof/>
            <w:shd w:val="clear" w:color="auto" w:fill="FFFFFF"/>
          </w:rPr>
          <w:t>https://doi.org/10.1016/S1360-1385(01)01961-6</w:t>
        </w:r>
      </w:hyperlink>
    </w:p>
    <w:p w14:paraId="60479268" w14:textId="77777777" w:rsidR="00D16AFD" w:rsidRPr="00E973B1" w:rsidRDefault="00D16AFD" w:rsidP="00D16AFD">
      <w:pPr>
        <w:suppressLineNumbers/>
        <w:spacing w:line="240" w:lineRule="auto"/>
        <w:ind w:left="400" w:hangingChars="200" w:hanging="400"/>
        <w:rPr>
          <w:rFonts w:eastAsiaTheme="minorEastAsia"/>
          <w:noProof/>
          <w:color w:val="222222"/>
          <w:shd w:val="clear" w:color="auto" w:fill="FFFFFF"/>
        </w:rPr>
      </w:pPr>
      <w:r w:rsidRPr="00E973B1">
        <w:rPr>
          <w:rFonts w:eastAsiaTheme="minorEastAsia"/>
          <w:noProof/>
          <w:color w:val="222222"/>
          <w:shd w:val="clear" w:color="auto" w:fill="FFFFFF"/>
        </w:rPr>
        <w:t>Wang H Y, Zhou J M</w:t>
      </w:r>
      <w:r>
        <w:rPr>
          <w:rFonts w:eastAsiaTheme="minorEastAsia"/>
          <w:noProof/>
          <w:color w:val="222222"/>
          <w:shd w:val="clear" w:color="auto" w:fill="FFFFFF"/>
        </w:rPr>
        <w:t xml:space="preserve"> </w:t>
      </w:r>
      <w:r w:rsidRPr="00E973B1">
        <w:rPr>
          <w:rFonts w:eastAsiaTheme="minorEastAsia"/>
          <w:noProof/>
          <w:color w:val="222222"/>
          <w:shd w:val="clear" w:color="auto" w:fill="FFFFFF"/>
        </w:rPr>
        <w:t>(2013) Root-zone fertilization a key and necessary approach to improve fertilizer use efficiency and reduce non-point source pollution from the cropland. </w:t>
      </w:r>
      <w:r w:rsidRPr="00E973B1">
        <w:rPr>
          <w:rFonts w:eastAsiaTheme="minorEastAsia"/>
          <w:i/>
          <w:iCs/>
          <w:noProof/>
          <w:color w:val="222222"/>
          <w:shd w:val="clear" w:color="auto" w:fill="FFFFFF"/>
        </w:rPr>
        <w:t>Soils</w:t>
      </w:r>
      <w:r w:rsidRPr="00E973B1">
        <w:rPr>
          <w:rFonts w:eastAsiaTheme="minorEastAsia"/>
          <w:noProof/>
          <w:color w:val="222222"/>
          <w:shd w:val="clear" w:color="auto" w:fill="FFFFFF"/>
        </w:rPr>
        <w:t>, </w:t>
      </w:r>
      <w:r w:rsidRPr="00E973B1">
        <w:rPr>
          <w:rFonts w:eastAsiaTheme="minorEastAsia"/>
          <w:i/>
          <w:iCs/>
          <w:noProof/>
          <w:color w:val="222222"/>
          <w:shd w:val="clear" w:color="auto" w:fill="FFFFFF"/>
        </w:rPr>
        <w:t>45</w:t>
      </w:r>
      <w:r w:rsidRPr="00E973B1">
        <w:rPr>
          <w:rFonts w:eastAsiaTheme="minorEastAsia"/>
          <w:noProof/>
          <w:color w:val="222222"/>
          <w:shd w:val="clear" w:color="auto" w:fill="FFFFFF"/>
        </w:rPr>
        <w:t>(5), 785-790.</w:t>
      </w:r>
      <w:r w:rsidRPr="00E973B1">
        <w:rPr>
          <w:rFonts w:eastAsia="微软雅黑"/>
          <w:noProof/>
          <w:color w:val="666666"/>
          <w:shd w:val="clear" w:color="auto" w:fill="FFFFFF"/>
        </w:rPr>
        <w:t xml:space="preserve"> </w:t>
      </w:r>
      <w:r w:rsidRPr="00AF2027">
        <w:rPr>
          <w:rFonts w:eastAsia="微软雅黑"/>
          <w:noProof/>
          <w:color w:val="4472C4" w:themeColor="accent1"/>
          <w:u w:val="single"/>
          <w:shd w:val="clear" w:color="auto" w:fill="FFFFFF"/>
        </w:rPr>
        <w:t>https://doi.org/</w:t>
      </w:r>
      <w:r w:rsidRPr="00E973B1">
        <w:rPr>
          <w:rFonts w:eastAsiaTheme="minorEastAsia"/>
          <w:noProof/>
          <w:color w:val="4472C4" w:themeColor="accent1"/>
          <w:u w:val="single"/>
          <w:shd w:val="clear" w:color="auto" w:fill="FFFFFF"/>
        </w:rPr>
        <w:t>10.13758/j.cnki.tr.2013.05.004</w:t>
      </w:r>
    </w:p>
    <w:p w14:paraId="34C882D6" w14:textId="77777777" w:rsidR="00D16AFD" w:rsidRPr="00E973B1" w:rsidRDefault="00D16AFD" w:rsidP="00D16AFD">
      <w:pPr>
        <w:suppressLineNumbers/>
        <w:spacing w:line="240" w:lineRule="auto"/>
        <w:ind w:left="400" w:hangingChars="200" w:hanging="400"/>
        <w:rPr>
          <w:rFonts w:eastAsiaTheme="minorEastAsia"/>
          <w:noProof/>
          <w:color w:val="222222"/>
          <w:shd w:val="clear" w:color="auto" w:fill="FFFFFF"/>
        </w:rPr>
      </w:pPr>
      <w:r w:rsidRPr="00E973B1">
        <w:rPr>
          <w:rFonts w:eastAsiaTheme="minorEastAsia"/>
          <w:noProof/>
          <w:color w:val="222222"/>
          <w:shd w:val="clear" w:color="auto" w:fill="FFFFFF"/>
        </w:rPr>
        <w:t>Zhao Z, Zheng W, Ma Y, Wang X, Li Z, Zhai B, Wang Z (2020) Responses of soil water, nitrate and yield of apple orchard to integrated soil management in Loess Plateau, China. </w:t>
      </w:r>
      <w:r w:rsidRPr="00E973B1">
        <w:rPr>
          <w:rFonts w:eastAsiaTheme="minorEastAsia"/>
          <w:i/>
          <w:iCs/>
          <w:noProof/>
          <w:color w:val="222222"/>
          <w:shd w:val="clear" w:color="auto" w:fill="FFFFFF"/>
        </w:rPr>
        <w:t>Agricultural Water Management</w:t>
      </w:r>
      <w:r w:rsidRPr="00E973B1">
        <w:rPr>
          <w:rFonts w:eastAsiaTheme="minorEastAsia"/>
          <w:noProof/>
          <w:color w:val="222222"/>
          <w:shd w:val="clear" w:color="auto" w:fill="FFFFFF"/>
        </w:rPr>
        <w:t>, </w:t>
      </w:r>
      <w:r w:rsidRPr="00E973B1">
        <w:rPr>
          <w:rFonts w:eastAsiaTheme="minorEastAsia"/>
          <w:i/>
          <w:iCs/>
          <w:noProof/>
          <w:color w:val="222222"/>
          <w:shd w:val="clear" w:color="auto" w:fill="FFFFFF"/>
        </w:rPr>
        <w:t>240</w:t>
      </w:r>
      <w:r w:rsidRPr="00E973B1">
        <w:rPr>
          <w:rFonts w:eastAsiaTheme="minorEastAsia"/>
          <w:noProof/>
          <w:color w:val="222222"/>
          <w:shd w:val="clear" w:color="auto" w:fill="FFFFFF"/>
        </w:rPr>
        <w:t>, 106325.</w:t>
      </w:r>
      <w:r w:rsidRPr="00E973B1">
        <w:rPr>
          <w:noProof/>
        </w:rPr>
        <w:t xml:space="preserve"> </w:t>
      </w:r>
      <w:hyperlink r:id="rId24" w:tgtFrame="_blank" w:tooltip="Persistent link using digital object identifier" w:history="1">
        <w:r w:rsidRPr="00E973B1">
          <w:rPr>
            <w:rStyle w:val="a8"/>
            <w:rFonts w:eastAsiaTheme="minorEastAsia"/>
            <w:noProof/>
            <w:shd w:val="clear" w:color="auto" w:fill="FFFFFF"/>
          </w:rPr>
          <w:t>https://doi.org/10.1016/j.agwat.2020.106325</w:t>
        </w:r>
      </w:hyperlink>
    </w:p>
    <w:p w14:paraId="0B502A88" w14:textId="77777777" w:rsidR="00D16AFD" w:rsidRPr="00E973B1" w:rsidRDefault="00D16AFD" w:rsidP="00D16AFD">
      <w:pPr>
        <w:suppressLineNumbers/>
        <w:spacing w:line="240" w:lineRule="auto"/>
        <w:ind w:firstLine="400"/>
      </w:pPr>
    </w:p>
    <w:p w14:paraId="1D7C4E45" w14:textId="77777777" w:rsidR="00D16AFD" w:rsidRDefault="00D16AFD" w:rsidP="00D16AFD">
      <w:pPr>
        <w:spacing w:line="240" w:lineRule="exact"/>
        <w:ind w:firstLineChars="0" w:firstLine="0"/>
      </w:pPr>
    </w:p>
    <w:p w14:paraId="429692A3" w14:textId="77777777" w:rsidR="00C70CD2" w:rsidRDefault="00C70CD2">
      <w:pPr>
        <w:ind w:firstLine="400"/>
      </w:pPr>
    </w:p>
    <w:sectPr w:rsidR="00C70CD2" w:rsidSect="0096570B">
      <w:headerReference w:type="even" r:id="rId25"/>
      <w:headerReference w:type="default" r:id="rId26"/>
      <w:footerReference w:type="even" r:id="rId27"/>
      <w:footerReference w:type="default" r:id="rId28"/>
      <w:headerReference w:type="first" r:id="rId29"/>
      <w:footerReference w:type="first" r:id="rId30"/>
      <w:pgSz w:w="11906" w:h="16838"/>
      <w:pgMar w:top="1440" w:right="1800" w:bottom="1440" w:left="1800" w:header="851" w:footer="964"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D7F0" w14:textId="77777777" w:rsidR="00093653" w:rsidRDefault="00D16AFD" w:rsidP="001E797B">
    <w:pPr>
      <w:pStyle w:val="a3"/>
      <w:spacing w:before="240"/>
      <w:ind w:firstLine="360"/>
      <w:jc w:val="center"/>
    </w:pPr>
    <w:r>
      <w:t>S1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959A" w14:textId="77777777" w:rsidR="00E74B83" w:rsidRDefault="00D16AFD">
    <w:pPr>
      <w:pStyle w:val="a3"/>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943692"/>
      <w:docPartObj>
        <w:docPartGallery w:val="Page Numbers (Bottom of Page)"/>
        <w:docPartUnique/>
      </w:docPartObj>
    </w:sdtPr>
    <w:sdtEndPr/>
    <w:sdtContent>
      <w:p w14:paraId="66CBE03D" w14:textId="77777777" w:rsidR="0096570B" w:rsidRDefault="00D16AFD">
        <w:pPr>
          <w:pStyle w:val="a3"/>
          <w:ind w:firstLine="360"/>
          <w:jc w:val="center"/>
        </w:pPr>
        <w:r>
          <w:t>S9</w:t>
        </w:r>
      </w:p>
    </w:sdtContent>
  </w:sdt>
  <w:p w14:paraId="36667C59" w14:textId="77777777" w:rsidR="00E74B83" w:rsidRPr="00361EBB" w:rsidRDefault="00D16AFD" w:rsidP="00361EBB">
    <w:pPr>
      <w:pStyle w:val="a3"/>
      <w:ind w:firstLineChars="0" w:firstLine="0"/>
      <w:jc w:val="center"/>
      <w:rPr>
        <w:rFonts w:eastAsiaTheme="minor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019282"/>
      <w:docPartObj>
        <w:docPartGallery w:val="Page Numbers (Bottom of Page)"/>
        <w:docPartUnique/>
      </w:docPartObj>
    </w:sdtPr>
    <w:sdtEndPr/>
    <w:sdtContent>
      <w:p w14:paraId="762DC523" w14:textId="77777777" w:rsidR="004138C9" w:rsidRDefault="00D16AFD">
        <w:pPr>
          <w:pStyle w:val="a3"/>
          <w:ind w:firstLine="360"/>
          <w:jc w:val="center"/>
        </w:pPr>
        <w:r>
          <w:fldChar w:fldCharType="begin"/>
        </w:r>
        <w:r>
          <w:instrText xml:space="preserve">PAGE   </w:instrText>
        </w:r>
        <w:r>
          <w:instrText>\* MERGEFORMAT</w:instrText>
        </w:r>
        <w:r>
          <w:fldChar w:fldCharType="separate"/>
        </w:r>
        <w:r>
          <w:rPr>
            <w:lang w:val="zh-CN"/>
          </w:rPr>
          <w:t>2</w:t>
        </w:r>
        <w:r>
          <w:fldChar w:fldCharType="end"/>
        </w:r>
      </w:p>
    </w:sdtContent>
  </w:sdt>
  <w:p w14:paraId="54F0D41D" w14:textId="77777777" w:rsidR="00E74B83" w:rsidRPr="004138C9" w:rsidRDefault="00D16AFD" w:rsidP="004138C9">
    <w:pPr>
      <w:pStyle w:val="a3"/>
      <w:ind w:firstLine="360"/>
      <w:jc w:val="center"/>
      <w:rPr>
        <w:rFonts w:eastAsia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DA5D" w14:textId="77777777" w:rsidR="00406F39" w:rsidRDefault="00D16AFD" w:rsidP="001E797B">
    <w:pPr>
      <w:pStyle w:val="a3"/>
      <w:spacing w:before="240"/>
      <w:ind w:firstLine="360"/>
      <w:jc w:val="center"/>
    </w:pPr>
    <w:r>
      <w:t>S2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EB29" w14:textId="77777777" w:rsidR="0034752F" w:rsidRDefault="00D16AFD" w:rsidP="001E797B">
    <w:pPr>
      <w:pStyle w:val="a3"/>
      <w:spacing w:before="240"/>
      <w:ind w:firstLine="360"/>
      <w:jc w:val="center"/>
    </w:pPr>
    <w:r>
      <w:rPr>
        <w:rFonts w:hint="eastAsia"/>
      </w:rPr>
      <w:t>S</w:t>
    </w:r>
    <w: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F9F6" w14:textId="77777777" w:rsidR="0034752F" w:rsidRDefault="00D16AFD" w:rsidP="001E797B">
    <w:pPr>
      <w:pStyle w:val="a3"/>
      <w:spacing w:before="240"/>
      <w:ind w:firstLine="360"/>
      <w:jc w:val="center"/>
    </w:pPr>
    <w:r>
      <w:rPr>
        <w:rFonts w:hint="eastAsia"/>
      </w:rPr>
      <w:t>S</w:t>
    </w:r>
    <w:r>
      <w:t>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1E8C" w14:textId="77777777" w:rsidR="0034752F" w:rsidRDefault="00D16AFD" w:rsidP="001E797B">
    <w:pPr>
      <w:pStyle w:val="a3"/>
      <w:spacing w:before="240"/>
      <w:ind w:firstLine="360"/>
      <w:jc w:val="center"/>
    </w:pPr>
    <w:r>
      <w:rPr>
        <w:rFonts w:hint="eastAsia"/>
      </w:rPr>
      <w:t>S</w:t>
    </w:r>
    <w: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1AD3" w14:textId="77777777" w:rsidR="0034752F" w:rsidRDefault="00D16AFD" w:rsidP="001E797B">
    <w:pPr>
      <w:pStyle w:val="a3"/>
      <w:spacing w:before="240"/>
      <w:ind w:firstLine="360"/>
      <w:jc w:val="center"/>
    </w:pPr>
    <w:r>
      <w:rPr>
        <w:rFonts w:hint="eastAsia"/>
      </w:rPr>
      <w:t>S</w:t>
    </w:r>
    <w: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C6FA" w14:textId="77777777" w:rsidR="0034752F" w:rsidRDefault="00D16AFD" w:rsidP="001E797B">
    <w:pPr>
      <w:pStyle w:val="a3"/>
      <w:spacing w:before="240"/>
      <w:ind w:firstLine="360"/>
      <w:jc w:val="center"/>
    </w:pPr>
    <w:r>
      <w:rPr>
        <w:rFonts w:hint="eastAsia"/>
      </w:rPr>
      <w:t>S</w:t>
    </w:r>
    <w: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2246" w14:textId="77777777" w:rsidR="0034752F" w:rsidRDefault="00D16AFD" w:rsidP="001E797B">
    <w:pPr>
      <w:pStyle w:val="a3"/>
      <w:spacing w:before="240"/>
      <w:ind w:firstLine="360"/>
      <w:jc w:val="center"/>
    </w:pPr>
    <w:r>
      <w:rPr>
        <w:rFonts w:hint="eastAsia"/>
      </w:rPr>
      <w:t>S</w:t>
    </w:r>
    <w:r>
      <w:t>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CAB1" w14:textId="77777777" w:rsidR="0034752F" w:rsidRDefault="00D16AFD" w:rsidP="00F747C4">
    <w:pPr>
      <w:pStyle w:val="a3"/>
      <w:spacing w:before="240"/>
      <w:ind w:firstLine="360"/>
      <w:jc w:val="center"/>
    </w:pPr>
    <w:r>
      <w:t>S8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D91B" w14:textId="77777777" w:rsidR="00E74B83" w:rsidRDefault="00D16AFD">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6709" w14:textId="77777777" w:rsidR="00E74B83" w:rsidRDefault="00D16AFD">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FE098" w14:textId="77777777" w:rsidR="00E74B83" w:rsidRDefault="00D16AFD">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FD"/>
    <w:rsid w:val="00C70CD2"/>
    <w:rsid w:val="00D16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2704"/>
  <w15:chartTrackingRefBased/>
  <w15:docId w15:val="{6AF8ADDF-6DA2-4D04-BDF1-A2A41CF6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AFD"/>
    <w:pPr>
      <w:widowControl w:val="0"/>
      <w:spacing w:line="264" w:lineRule="auto"/>
      <w:ind w:firstLineChars="200" w:firstLine="200"/>
      <w:jc w:val="both"/>
    </w:pPr>
    <w:rPr>
      <w:rFonts w:ascii="Times New Roman" w:eastAsia="Times New Roman" w:hAnsi="Times New Roman" w:cs="Times New Roman"/>
      <w:sz w:val="20"/>
      <w:szCs w:val="20"/>
    </w:rPr>
  </w:style>
  <w:style w:type="paragraph" w:styleId="1">
    <w:name w:val="heading 1"/>
    <w:basedOn w:val="a"/>
    <w:next w:val="a"/>
    <w:link w:val="10"/>
    <w:uiPriority w:val="9"/>
    <w:qFormat/>
    <w:rsid w:val="00D16AFD"/>
    <w:pPr>
      <w:keepNext/>
      <w:keepLines/>
      <w:spacing w:beforeLines="50" w:before="50" w:afterLines="50" w:after="50"/>
      <w:ind w:firstLineChars="0" w:firstLine="0"/>
      <w:outlineLvl w:val="0"/>
    </w:pPr>
    <w:rPr>
      <w:rFonts w:eastAsia="黑体"/>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16AFD"/>
    <w:rPr>
      <w:rFonts w:ascii="Times New Roman" w:eastAsia="黑体" w:hAnsi="Times New Roman" w:cs="Times New Roman"/>
      <w:b/>
      <w:bCs/>
      <w:kern w:val="44"/>
      <w:sz w:val="24"/>
      <w:szCs w:val="44"/>
    </w:rPr>
  </w:style>
  <w:style w:type="paragraph" w:styleId="a3">
    <w:name w:val="footer"/>
    <w:basedOn w:val="a"/>
    <w:link w:val="a4"/>
    <w:uiPriority w:val="99"/>
    <w:unhideWhenUsed/>
    <w:qFormat/>
    <w:rsid w:val="00D16AFD"/>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D16AFD"/>
    <w:rPr>
      <w:rFonts w:ascii="Times New Roman" w:eastAsia="Times New Roman" w:hAnsi="Times New Roman" w:cs="Times New Roman"/>
      <w:sz w:val="18"/>
      <w:szCs w:val="18"/>
    </w:rPr>
  </w:style>
  <w:style w:type="paragraph" w:styleId="a5">
    <w:name w:val="header"/>
    <w:basedOn w:val="a"/>
    <w:link w:val="a6"/>
    <w:uiPriority w:val="99"/>
    <w:unhideWhenUsed/>
    <w:qFormat/>
    <w:rsid w:val="00D16AF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sid w:val="00D16AFD"/>
    <w:rPr>
      <w:rFonts w:ascii="Times New Roman" w:eastAsia="Times New Roman" w:hAnsi="Times New Roman" w:cs="Times New Roman"/>
      <w:sz w:val="18"/>
      <w:szCs w:val="18"/>
    </w:rPr>
  </w:style>
  <w:style w:type="table" w:styleId="a7">
    <w:name w:val="Table Grid"/>
    <w:basedOn w:val="a1"/>
    <w:uiPriority w:val="39"/>
    <w:rsid w:val="00D16AF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D16AFD"/>
    <w:rPr>
      <w:color w:val="0563C1" w:themeColor="hyperlink"/>
      <w:u w:val="single"/>
    </w:rPr>
  </w:style>
  <w:style w:type="character" w:styleId="a9">
    <w:name w:val="line number"/>
    <w:basedOn w:val="a0"/>
    <w:uiPriority w:val="99"/>
    <w:semiHidden/>
    <w:unhideWhenUsed/>
    <w:rsid w:val="00D16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5.xml"/><Relationship Id="rId13" Type="http://schemas.openxmlformats.org/officeDocument/2006/relationships/footer" Target="footer7.xml"/><Relationship Id="rId18" Type="http://schemas.openxmlformats.org/officeDocument/2006/relationships/image" Target="media/image7.tif"/><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oleObject" Target="embeddings/oleObject1.bin"/><Relationship Id="rId7" Type="http://schemas.openxmlformats.org/officeDocument/2006/relationships/footer" Target="footer4.xml"/><Relationship Id="rId12" Type="http://schemas.openxmlformats.org/officeDocument/2006/relationships/image" Target="media/image3.tif"/><Relationship Id="rId17" Type="http://schemas.openxmlformats.org/officeDocument/2006/relationships/footer" Target="footer8.xm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8.wmf"/><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footer" Target="footer3.xml"/><Relationship Id="rId11" Type="http://schemas.openxmlformats.org/officeDocument/2006/relationships/footer" Target="footer6.xml"/><Relationship Id="rId24" Type="http://schemas.openxmlformats.org/officeDocument/2006/relationships/hyperlink" Target="https://doi.org/10.1016/j.agwat.2020.106325" TargetMode="External"/><Relationship Id="rId32" Type="http://schemas.openxmlformats.org/officeDocument/2006/relationships/theme" Target="theme/theme1.xml"/><Relationship Id="rId5" Type="http://schemas.openxmlformats.org/officeDocument/2006/relationships/footer" Target="footer2.xml"/><Relationship Id="rId15" Type="http://schemas.openxmlformats.org/officeDocument/2006/relationships/image" Target="media/image5.png"/><Relationship Id="rId23" Type="http://schemas.openxmlformats.org/officeDocument/2006/relationships/hyperlink" Target="https://doi.org/10.1016/S1360-1385(01)01961-6" TargetMode="External"/><Relationship Id="rId28" Type="http://schemas.openxmlformats.org/officeDocument/2006/relationships/footer" Target="footer11.xml"/><Relationship Id="rId10" Type="http://schemas.openxmlformats.org/officeDocument/2006/relationships/image" Target="media/image2.png"/><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footer" Target="footer1.xml"/><Relationship Id="rId9" Type="http://schemas.openxmlformats.org/officeDocument/2006/relationships/image" Target="media/image1.tif"/><Relationship Id="rId14" Type="http://schemas.openxmlformats.org/officeDocument/2006/relationships/image" Target="media/image4.png"/><Relationship Id="rId22" Type="http://schemas.openxmlformats.org/officeDocument/2006/relationships/hyperlink" Target="https://doi.org/10.1016/j.geoderma.2015.04.015" TargetMode="Externa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振亚</dc:creator>
  <cp:keywords/>
  <dc:description/>
  <cp:lastModifiedBy>唐 振亚</cp:lastModifiedBy>
  <cp:revision>1</cp:revision>
  <dcterms:created xsi:type="dcterms:W3CDTF">2022-06-12T13:28:00Z</dcterms:created>
  <dcterms:modified xsi:type="dcterms:W3CDTF">2022-06-12T13:28:00Z</dcterms:modified>
</cp:coreProperties>
</file>