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576"/>
        </w:tabs>
        <w:spacing w:line="360" w:lineRule="auto"/>
        <w:rPr>
          <w:rFonts w:ascii="Arial" w:hAnsi="Arial" w:cs="Arial" w:eastAsiaTheme="minorEastAsia"/>
          <w:b/>
          <w:bCs/>
          <w:sz w:val="26"/>
          <w:szCs w:val="26"/>
        </w:rPr>
      </w:pPr>
      <w:r>
        <w:rPr>
          <w:rFonts w:ascii="Arial" w:hAnsi="Arial" w:cs="Arial" w:eastAsiaTheme="minorEastAsia"/>
          <w:b/>
          <w:bCs/>
          <w:sz w:val="26"/>
          <w:szCs w:val="26"/>
        </w:rPr>
        <w:t>Supplementary Materials</w:t>
      </w:r>
    </w:p>
    <w:p>
      <w:pPr>
        <w:pStyle w:val="6"/>
        <w:tabs>
          <w:tab w:val="left" w:pos="576"/>
        </w:tabs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>
      <w:pPr>
        <w:pStyle w:val="6"/>
        <w:tabs>
          <w:tab w:val="left" w:pos="576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S1.</w:t>
      </w:r>
      <w:r>
        <w:rPr>
          <w:rFonts w:ascii="Arial" w:hAnsi="Arial" w:cs="Arial"/>
          <w:sz w:val="24"/>
          <w:szCs w:val="24"/>
        </w:rPr>
        <w:t xml:space="preserve"> Data for clinical patient samples.</w:t>
      </w:r>
    </w:p>
    <w:tbl>
      <w:tblPr>
        <w:tblStyle w:val="3"/>
        <w:tblpPr w:leftFromText="180" w:rightFromText="180" w:vertAnchor="text" w:tblpY="1"/>
        <w:tblOverlap w:val="never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584"/>
        <w:gridCol w:w="756"/>
        <w:gridCol w:w="888"/>
        <w:gridCol w:w="1560"/>
        <w:gridCol w:w="1464"/>
        <w:gridCol w:w="1200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Diagnosis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Age (yr)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Gender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Cytogenetics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BM cellularity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Marrow blast count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 xml:space="preserve">WBC </w:t>
            </w:r>
          </w:p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 w:eastAsiaTheme="minorEastAsia"/>
                <w:szCs w:val="20"/>
                <w:lang w:eastAsia="en-US"/>
              </w:rPr>
            </w:pPr>
            <w:r>
              <w:rPr>
                <w:rFonts w:ascii="Arial" w:hAnsi="Arial" w:cs="Arial" w:eastAsiaTheme="minorEastAsia"/>
                <w:szCs w:val="20"/>
                <w:lang w:eastAsia="en-US"/>
              </w:rPr>
              <w:t>(</w:t>
            </w:r>
            <w:r>
              <w:rPr>
                <w:rFonts w:ascii="Arial" w:hAnsi="Arial" w:cs="Arial"/>
                <w:szCs w:val="20"/>
                <w:lang w:eastAsia="en-US"/>
              </w:rPr>
              <w:t>10</w:t>
            </w:r>
            <w:r>
              <w:rPr>
                <w:rFonts w:ascii="Arial" w:hAnsi="Arial" w:cs="Arial"/>
                <w:szCs w:val="20"/>
                <w:vertAlign w:val="superscript"/>
                <w:lang w:eastAsia="en-US"/>
              </w:rPr>
              <w:t>9</w:t>
            </w:r>
            <w:r>
              <w:rPr>
                <w:rFonts w:ascii="Arial" w:hAnsi="Arial" w:cs="Arial"/>
                <w:szCs w:val="20"/>
                <w:lang w:eastAsia="en-US"/>
              </w:rPr>
              <w:t>/L</w:t>
            </w:r>
            <w:r>
              <w:rPr>
                <w:rFonts w:ascii="Arial" w:hAnsi="Arial" w:cs="Arial" w:eastAsiaTheme="minorEastAsia"/>
                <w:szCs w:val="20"/>
                <w:lang w:eastAsia="en-US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49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宋体" w:cs="Arial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Cs w:val="20"/>
                <w:lang w:val="en-US" w:eastAsia="zh-CN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t (8,21)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18.6%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 from MDS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70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59%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27.12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</w:t>
            </w:r>
            <w:r>
              <w:rPr>
                <w:rFonts w:hint="eastAsia" w:ascii="Arial" w:hAnsi="Arial" w:cs="Arial"/>
                <w:szCs w:val="20"/>
                <w:lang w:eastAsia="zh-CN"/>
              </w:rPr>
              <w:t>-</w:t>
            </w:r>
            <w:r>
              <w:rPr>
                <w:rFonts w:ascii="Arial" w:hAnsi="Arial" w:cs="Arial"/>
                <w:szCs w:val="20"/>
                <w:lang w:eastAsia="en-US"/>
              </w:rPr>
              <w:t>U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66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-7，+mar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+1，der（1；12）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61.1%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27.81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 from MDS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66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+8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29.0%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4.32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21.36%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7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</w:t>
            </w:r>
            <w:r>
              <w:rPr>
                <w:rFonts w:hint="eastAsia" w:ascii="Arial" w:hAnsi="Arial" w:cs="Arial"/>
                <w:szCs w:val="20"/>
                <w:lang w:eastAsia="zh-CN"/>
              </w:rPr>
              <w:t>-</w:t>
            </w:r>
            <w:r>
              <w:rPr>
                <w:rFonts w:ascii="Arial" w:hAnsi="Arial" w:cs="Arial"/>
                <w:szCs w:val="20"/>
                <w:lang w:eastAsia="en-US"/>
              </w:rPr>
              <w:t>U</w:t>
            </w:r>
            <w:r>
              <w:rPr>
                <w:rFonts w:hint="eastAsia" w:ascii="Arial" w:hAnsi="Arial" w:cs="Arial"/>
                <w:szCs w:val="20"/>
                <w:lang w:eastAsia="zh-CN"/>
              </w:rPr>
              <w:t>-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49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8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</w:t>
            </w:r>
            <w:r>
              <w:rPr>
                <w:rFonts w:hint="eastAsia" w:ascii="Arial" w:hAnsi="Arial" w:cs="Arial"/>
                <w:szCs w:val="20"/>
                <w:lang w:eastAsia="zh-CN"/>
              </w:rPr>
              <w:t>-</w:t>
            </w:r>
            <w:r>
              <w:rPr>
                <w:rFonts w:ascii="Arial" w:hAnsi="Arial" w:cs="Arial"/>
                <w:szCs w:val="20"/>
                <w:lang w:eastAsia="en-US"/>
              </w:rPr>
              <w:t>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62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10.6%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9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47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10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32.5%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11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MDS-EB-1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62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eastAsia" w:ascii="Arial" w:hAnsi="Arial" w:eastAsia="等线" w:cs="Arial"/>
                <w:szCs w:val="20"/>
                <w:lang w:eastAsia="zh-CN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t (</w:t>
            </w:r>
            <w:r>
              <w:rPr>
                <w:rFonts w:hint="eastAsia" w:ascii="Arial" w:hAnsi="Arial" w:cs="Arial"/>
                <w:szCs w:val="20"/>
                <w:lang w:val="en-US" w:eastAsia="zh-CN"/>
              </w:rPr>
              <w:t>12</w:t>
            </w:r>
            <w:r>
              <w:rPr>
                <w:rFonts w:ascii="Arial" w:hAnsi="Arial" w:cs="Arial"/>
                <w:szCs w:val="20"/>
                <w:lang w:eastAsia="en-US"/>
              </w:rPr>
              <w:t>,</w:t>
            </w:r>
            <w:r>
              <w:rPr>
                <w:rFonts w:hint="eastAsia" w:ascii="Arial" w:hAnsi="Arial" w:cs="Arial"/>
                <w:szCs w:val="20"/>
                <w:lang w:val="en-US" w:eastAsia="zh-CN"/>
              </w:rPr>
              <w:t>22</w:t>
            </w:r>
            <w:r>
              <w:rPr>
                <w:rFonts w:ascii="Arial" w:hAnsi="Arial" w:cs="Arial"/>
                <w:szCs w:val="20"/>
                <w:lang w:eastAsia="en-US"/>
              </w:rPr>
              <w:t>)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12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69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67.69%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23.66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13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MDS-EB-1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6.1%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14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15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29.5%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16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43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12.4%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17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MDS-EB-1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44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8.7%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2.95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18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75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等线" w:cs="Arial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12.24%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19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eastAsia" w:ascii="Arial" w:hAnsi="Arial" w:eastAsia="宋体" w:cs="Arial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Cs w:val="20"/>
                <w:lang w:eastAsia="zh-CN"/>
              </w:rPr>
              <w:t>A</w:t>
            </w:r>
            <w:r>
              <w:rPr>
                <w:rFonts w:ascii="Arial" w:hAnsi="Arial" w:cs="Arial"/>
                <w:szCs w:val="20"/>
                <w:lang w:eastAsia="zh-CN"/>
              </w:rPr>
              <w:t>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32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94%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eastAsia" w:ascii="Arial" w:hAnsi="Arial" w:eastAsia="宋体" w:cs="Arial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Cs w:val="20"/>
                <w:lang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20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53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65.%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21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 from MDS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64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49.3%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68.34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22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 xml:space="preserve">AML 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71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t (8,21)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32.5%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7.22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23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AML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67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31.0%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3.83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24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MDS-EB-1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72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8.5%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2.46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25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50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hint="default" w:ascii="Arial" w:hAnsi="Arial" w:eastAsia="宋体" w:cs="Arial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Cs w:val="20"/>
                <w:lang w:val="en-US" w:eastAsia="zh-CN"/>
              </w:rPr>
              <w:t>+8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12.5%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26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66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16%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27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MDS-EB-1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49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8.86%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2.77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28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MDS-EB-2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46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hint="eastAsia" w:ascii="Arial" w:hAnsi="Arial" w:cs="Arial"/>
                <w:szCs w:val="20"/>
                <w:lang w:val="en-US" w:eastAsia="zh-CN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12.2%</w:t>
            </w: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  <w:r>
              <w:rPr>
                <w:rFonts w:ascii="Arial" w:hAnsi="Arial" w:eastAsia="宋体" w:cs="Arial"/>
                <w:szCs w:val="20"/>
                <w:lang w:eastAsia="en-US"/>
              </w:rPr>
              <w:t>2.29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75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1584" w:type="dxa"/>
            <w:noWrap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  <w:t>MDS</w:t>
            </w: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  <w:t>EB-2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</w:t>
            </w:r>
          </w:p>
        </w:tc>
        <w:tc>
          <w:tcPr>
            <w:tcW w:w="888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hint="default" w:ascii="Arial" w:hAnsi="Arial" w:eastAsia="等线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13.8%</w:t>
            </w:r>
          </w:p>
        </w:tc>
        <w:tc>
          <w:tcPr>
            <w:tcW w:w="134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3.61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75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1584" w:type="dxa"/>
            <w:noWrap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  <w:t>MDS-EB-1</w:t>
            </w:r>
          </w:p>
        </w:tc>
        <w:tc>
          <w:tcPr>
            <w:tcW w:w="756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888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5.4%</w:t>
            </w:r>
          </w:p>
        </w:tc>
        <w:tc>
          <w:tcPr>
            <w:tcW w:w="134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75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1584" w:type="dxa"/>
            <w:noWrap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  <w:t>MDS-EB-1</w:t>
            </w:r>
          </w:p>
        </w:tc>
        <w:tc>
          <w:tcPr>
            <w:tcW w:w="756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888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hint="default" w:ascii="Arial" w:hAnsi="Arial" w:eastAsia="等线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9.5%</w:t>
            </w:r>
          </w:p>
        </w:tc>
        <w:tc>
          <w:tcPr>
            <w:tcW w:w="134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2.08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75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584" w:type="dxa"/>
            <w:noWrap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de-DE"/>
              </w:rPr>
              <w:t>MDS-EB-2</w:t>
            </w:r>
          </w:p>
        </w:tc>
        <w:tc>
          <w:tcPr>
            <w:tcW w:w="756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888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hyper</w:t>
            </w:r>
          </w:p>
        </w:tc>
        <w:tc>
          <w:tcPr>
            <w:tcW w:w="120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10.5%</w:t>
            </w:r>
          </w:p>
        </w:tc>
        <w:tc>
          <w:tcPr>
            <w:tcW w:w="134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75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584" w:type="dxa"/>
            <w:noWrap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  <w:lang w:eastAsia="en-US"/>
              </w:rPr>
              <w:t>AML from MDS</w:t>
            </w:r>
          </w:p>
        </w:tc>
        <w:tc>
          <w:tcPr>
            <w:tcW w:w="756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888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hint="default" w:ascii="Arial" w:hAnsi="Arial" w:eastAsia="等线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  <w:lang w:val="en-US" w:eastAsia="zh-CN"/>
              </w:rPr>
              <w:t>ND</w:t>
            </w: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normal</w:t>
            </w:r>
          </w:p>
        </w:tc>
        <w:tc>
          <w:tcPr>
            <w:tcW w:w="120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65.0%</w:t>
            </w:r>
          </w:p>
        </w:tc>
        <w:tc>
          <w:tcPr>
            <w:tcW w:w="1344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32.53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highlight w:val="yellow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27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28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6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31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7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55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F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8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34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9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49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10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28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11</w:t>
            </w:r>
          </w:p>
        </w:tc>
        <w:tc>
          <w:tcPr>
            <w:tcW w:w="158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HD</w:t>
            </w:r>
          </w:p>
        </w:tc>
        <w:tc>
          <w:tcPr>
            <w:tcW w:w="756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45</w:t>
            </w:r>
          </w:p>
        </w:tc>
        <w:tc>
          <w:tcPr>
            <w:tcW w:w="888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cs="Arial"/>
                <w:szCs w:val="20"/>
                <w:lang w:eastAsia="en-US"/>
              </w:rPr>
            </w:pPr>
            <w:r>
              <w:rPr>
                <w:rFonts w:ascii="Arial" w:hAnsi="Arial" w:cs="Arial"/>
                <w:szCs w:val="20"/>
                <w:lang w:eastAsia="en-US"/>
              </w:rPr>
              <w:t>M</w:t>
            </w:r>
          </w:p>
        </w:tc>
        <w:tc>
          <w:tcPr>
            <w:tcW w:w="156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46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200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  <w:tc>
          <w:tcPr>
            <w:tcW w:w="1344" w:type="dxa"/>
          </w:tcPr>
          <w:p>
            <w:pPr>
              <w:pStyle w:val="6"/>
              <w:tabs>
                <w:tab w:val="left" w:pos="576"/>
              </w:tabs>
              <w:spacing w:line="360" w:lineRule="auto"/>
              <w:rPr>
                <w:rFonts w:ascii="Arial" w:hAnsi="Arial" w:eastAsia="宋体" w:cs="Arial"/>
                <w:szCs w:val="20"/>
                <w:lang w:eastAsia="en-US"/>
              </w:rPr>
            </w:pPr>
          </w:p>
        </w:tc>
      </w:tr>
    </w:tbl>
    <w:p>
      <w:pPr>
        <w:pStyle w:val="6"/>
        <w:tabs>
          <w:tab w:val="left" w:pos="576"/>
        </w:tabs>
        <w:spacing w:line="360" w:lineRule="auto"/>
        <w:rPr>
          <w:rFonts w:ascii="Arial" w:hAnsi="Arial" w:cs="Arial"/>
          <w:szCs w:val="20"/>
        </w:rPr>
      </w:pP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</w:rPr>
        <w:t>Table S2</w:t>
      </w:r>
      <w:r>
        <w:rPr>
          <w:rFonts w:ascii="Arial" w:hAnsi="Arial" w:cs="Arial"/>
        </w:rPr>
        <w:t xml:space="preserve">. </w:t>
      </w:r>
      <w:r>
        <w:rPr>
          <w:rStyle w:val="5"/>
          <w:rFonts w:ascii="Arial" w:hAnsi="Arial" w:cs="Arial"/>
        </w:rPr>
        <w:t>Primers used in this study.</w:t>
      </w:r>
    </w:p>
    <w:tbl>
      <w:tblPr>
        <w:tblStyle w:val="3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Primer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Sequence (5'-3')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GAPDH-F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GGAGCGAGATCCCTCCAAAAT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GAPDH-R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GGCTGTTGTCATACTTCTCATGG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MGAT3-F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ATGAAGATGAGACGCTACAAGC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MGAT3-R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GCTGGACACCAGGTTAGGG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MCAM-F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AGCTCCGCGTCTACAAAGC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MCAM-R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CTACACAGGTAGCGACCTCC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U6-F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CTCGCTTCGGCAGCACA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U6-R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AACGCTTCACGAATTTGCGT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RT</w:t>
            </w: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-miR188-5p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GTCGTATCCAGTGCAGGGTCCGAGGTATTCGCACTGGATACGACCCCTCC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qPCR-miR188-5p</w:t>
            </w:r>
          </w:p>
        </w:tc>
        <w:tc>
          <w:tcPr>
            <w:tcW w:w="7371" w:type="dxa"/>
          </w:tcPr>
          <w:p>
            <w:pPr>
              <w:tabs>
                <w:tab w:val="left" w:pos="576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eastAsia="微软雅黑" w:cs="Arial"/>
                <w:color w:val="222222"/>
                <w:sz w:val="20"/>
                <w:szCs w:val="20"/>
                <w:shd w:val="clear" w:color="auto" w:fill="FFFFFF"/>
                <w:lang w:eastAsia="en-US"/>
              </w:rPr>
              <w:t>GCGCATCCCTTGCATGGT</w:t>
            </w:r>
          </w:p>
        </w:tc>
      </w:tr>
    </w:tbl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Fig. S1. (A) </w:t>
      </w:r>
      <w:r>
        <w:rPr>
          <w:rFonts w:ascii="Arial" w:hAnsi="Arial" w:cs="Arial"/>
          <w:sz w:val="22"/>
          <w:szCs w:val="22"/>
        </w:rPr>
        <w:t>White blood cell, red blood cell, and platelet counts of peripheral blood samples from MGAT3</w:t>
      </w:r>
      <w:r>
        <w:rPr>
          <w:rFonts w:ascii="Arial" w:hAnsi="Arial" w:cs="Arial"/>
          <w:sz w:val="22"/>
          <w:szCs w:val="22"/>
          <w:vertAlign w:val="superscript"/>
        </w:rPr>
        <w:t>fl/fl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iCs/>
          <w:sz w:val="22"/>
          <w:szCs w:val="22"/>
        </w:rPr>
        <w:t>LepR-cre</w:t>
      </w:r>
      <w:r>
        <w:rPr>
          <w:rFonts w:ascii="Arial" w:hAnsi="Arial" w:cs="Arial"/>
          <w:sz w:val="22"/>
          <w:szCs w:val="22"/>
        </w:rPr>
        <w:t>; MGAT3</w:t>
      </w:r>
      <w:r>
        <w:rPr>
          <w:rFonts w:ascii="Arial" w:hAnsi="Arial" w:cs="Arial"/>
          <w:sz w:val="22"/>
          <w:szCs w:val="22"/>
          <w:vertAlign w:val="superscript"/>
        </w:rPr>
        <w:t>fl/fl</w:t>
      </w:r>
      <w:r>
        <w:rPr>
          <w:rFonts w:ascii="Arial" w:hAnsi="Arial" w:cs="Arial"/>
          <w:sz w:val="22"/>
          <w:szCs w:val="22"/>
        </w:rPr>
        <w:t xml:space="preserve"> mice. </w:t>
      </w:r>
      <w:r>
        <w:rPr>
          <w:rFonts w:ascii="Arial" w:hAnsi="Arial" w:cs="Arial"/>
          <w:b/>
          <w:sz w:val="22"/>
          <w:szCs w:val="22"/>
        </w:rPr>
        <w:t xml:space="preserve">(B) </w:t>
      </w:r>
      <w:r>
        <w:rPr>
          <w:rFonts w:ascii="Arial" w:hAnsi="Arial" w:cs="Arial"/>
          <w:bCs/>
          <w:sz w:val="22"/>
          <w:szCs w:val="22"/>
        </w:rPr>
        <w:t xml:space="preserve">Quantification of KG1a and </w:t>
      </w:r>
      <w:r>
        <w:rPr>
          <w:rFonts w:ascii="Arial" w:hAnsi="Arial" w:cs="Arial"/>
          <w:sz w:val="22"/>
          <w:szCs w:val="22"/>
        </w:rPr>
        <w:t xml:space="preserve">SKM-1 </w:t>
      </w:r>
      <w:r>
        <w:rPr>
          <w:rFonts w:ascii="Arial" w:hAnsi="Arial" w:cs="Arial"/>
          <w:bCs/>
          <w:sz w:val="22"/>
          <w:szCs w:val="22"/>
        </w:rPr>
        <w:t>proliferation</w:t>
      </w:r>
      <w:r>
        <w:rPr>
          <w:rFonts w:hint="eastAsia" w:ascii="Arial" w:hAnsi="Arial" w:cs="Arial"/>
          <w:bCs/>
          <w:sz w:val="22"/>
          <w:szCs w:val="22"/>
        </w:rPr>
        <w:t xml:space="preserve"> which cocultured with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hint="eastAsia" w:ascii="Arial" w:hAnsi="Arial" w:cs="Arial"/>
          <w:sz w:val="22"/>
          <w:szCs w:val="22"/>
          <w:lang w:val="en-US" w:eastAsia="zh-CN"/>
        </w:rPr>
        <w:t>F</w:t>
      </w:r>
      <w:r>
        <w:rPr>
          <w:rFonts w:ascii="Arial" w:hAnsi="Arial" w:cs="Arial"/>
          <w:sz w:val="22"/>
          <w:szCs w:val="22"/>
        </w:rPr>
        <w:t>orskolin-treated or non-treated NBM stroma</w:t>
      </w:r>
      <w:r>
        <w:rPr>
          <w:rFonts w:hint="eastAsia"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HS27a or HS27a-M3</w:t>
      </w:r>
      <w:r>
        <w:rPr>
          <w:rFonts w:hint="eastAsia"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>HS5 and HS5-shM3</w:t>
      </w:r>
      <w:r>
        <w:rPr>
          <w:rFonts w:hint="eastAsia" w:ascii="Arial" w:hAnsi="Arial" w:cs="Arial"/>
          <w:sz w:val="22"/>
          <w:szCs w:val="22"/>
        </w:rPr>
        <w:t xml:space="preserve">. </w:t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bookmarkStart w:id="2" w:name="_GoBack"/>
      <w:r>
        <w:rPr>
          <w:rFonts w:hint="eastAsia" w:ascii="Arial" w:hAnsi="Arial" w:eastAsia="宋体" w:cs="Arial"/>
          <w:bCs/>
          <w:sz w:val="22"/>
          <w:szCs w:val="22"/>
          <w:lang w:eastAsia="zh-CN"/>
        </w:rPr>
        <w:drawing>
          <wp:inline distT="0" distB="0" distL="114300" distR="114300">
            <wp:extent cx="5724525" cy="4055110"/>
            <wp:effectExtent l="0" t="0" r="5715" b="1397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rcRect t="3295" b="46603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Fig. S2. (A)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MGAT3 expression at mRNA level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in KG1a treated with miR188-5p inhibitor or  </w:t>
      </w:r>
      <w:r>
        <w:rPr>
          <w:rFonts w:hint="eastAsia"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inNC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Arial" w:hAnsi="Arial" w:cs="Arial"/>
          <w:b/>
          <w:sz w:val="22"/>
          <w:szCs w:val="22"/>
        </w:rPr>
        <w:t xml:space="preserve">(B) </w:t>
      </w:r>
      <w:r>
        <w:rPr>
          <w:rFonts w:ascii="Arial" w:hAnsi="Arial" w:cs="Arial"/>
          <w:sz w:val="22"/>
          <w:szCs w:val="22"/>
        </w:rPr>
        <w:t>Lectin blotting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analysis of </w:t>
      </w:r>
      <w:r>
        <w:rPr>
          <w:rFonts w:ascii="Arial" w:hAnsi="Arial" w:cs="Arial"/>
          <w:bCs/>
          <w:sz w:val="22"/>
          <w:szCs w:val="22"/>
        </w:rPr>
        <w:t>MGAT3 and</w:t>
      </w:r>
      <w:r>
        <w:rPr>
          <w:rFonts w:ascii="Arial" w:hAnsi="Arial" w:cs="Arial"/>
          <w:sz w:val="22"/>
          <w:szCs w:val="22"/>
        </w:rPr>
        <w:t xml:space="preserve"> bisecting GlcNAc levels of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KG1a treated with miR188-5p inhibitor</w:t>
      </w:r>
      <w:r>
        <w:rPr>
          <w:rFonts w:hint="eastAsia"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or inNC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.</w:t>
      </w:r>
      <w:r>
        <w:rPr>
          <w:rFonts w:ascii="Arial" w:hAnsi="Arial" w:cs="Arial"/>
          <w:b/>
          <w:sz w:val="22"/>
          <w:szCs w:val="22"/>
        </w:rPr>
        <w:t xml:space="preserve"> (C)</w:t>
      </w:r>
      <w:bookmarkStart w:id="0" w:name="_Hlk100561071"/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NBM </w:t>
      </w:r>
      <w:r>
        <w:rPr>
          <w:rFonts w:ascii="Arial" w:hAnsi="Arial" w:cs="Arial"/>
          <w:sz w:val="22"/>
          <w:szCs w:val="22"/>
        </w:rPr>
        <w:t xml:space="preserve">stromal cells </w:t>
      </w:r>
      <w:r>
        <w:rPr>
          <w:rFonts w:ascii="Arial" w:hAnsi="Arial" w:cs="Arial"/>
          <w:bCs/>
          <w:sz w:val="22"/>
          <w:szCs w:val="22"/>
        </w:rPr>
        <w:t xml:space="preserve">and HS27a </w:t>
      </w:r>
      <w:r>
        <w:rPr>
          <w:rFonts w:ascii="Arial" w:hAnsi="Arial" w:cs="Arial"/>
          <w:sz w:val="22"/>
          <w:szCs w:val="22"/>
        </w:rPr>
        <w:t>were co-cultured with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miR188-5p inhibitor-</w:t>
      </w:r>
      <w:r>
        <w:rPr>
          <w:rFonts w:ascii="Arial" w:hAnsi="Arial" w:cs="Arial"/>
          <w:sz w:val="22"/>
          <w:szCs w:val="22"/>
        </w:rPr>
        <w:t>treated</w:t>
      </w:r>
      <w:r>
        <w:rPr>
          <w:rFonts w:hint="eastAsia" w:ascii="Arial" w:hAnsi="Arial" w:cs="Arial"/>
          <w:sz w:val="22"/>
          <w:szCs w:val="22"/>
        </w:rPr>
        <w:t xml:space="preserve"> KG1a</w:t>
      </w:r>
      <w:r>
        <w:rPr>
          <w:rFonts w:ascii="Arial" w:hAnsi="Arial" w:cs="Arial"/>
          <w:sz w:val="22"/>
          <w:szCs w:val="22"/>
        </w:rPr>
        <w:t xml:space="preserve"> ("K/IN") or </w:t>
      </w:r>
      <w:r>
        <w:rPr>
          <w:rFonts w:hint="eastAsia" w:ascii="Arial" w:hAnsi="Arial" w:cs="Arial"/>
          <w:sz w:val="22"/>
          <w:szCs w:val="22"/>
        </w:rPr>
        <w:t>inNC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-</w:t>
      </w:r>
      <w:r>
        <w:rPr>
          <w:rFonts w:ascii="Arial" w:hAnsi="Arial" w:cs="Arial"/>
          <w:sz w:val="22"/>
          <w:szCs w:val="22"/>
        </w:rPr>
        <w:t>treated KG1a("K/</w:t>
      </w:r>
      <w:r>
        <w:rPr>
          <w:rFonts w:hint="eastAsia" w:ascii="Arial" w:hAnsi="Arial" w:cs="Arial"/>
          <w:sz w:val="22"/>
          <w:szCs w:val="22"/>
        </w:rPr>
        <w:t>in</w:t>
      </w:r>
      <w:r>
        <w:rPr>
          <w:rFonts w:ascii="Arial" w:hAnsi="Arial" w:cs="Arial"/>
          <w:sz w:val="22"/>
          <w:szCs w:val="22"/>
        </w:rPr>
        <w:t>NC")</w:t>
      </w:r>
      <w:r>
        <w:rPr>
          <w:rFonts w:hint="eastAsia"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 72 h,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sz w:val="22"/>
          <w:szCs w:val="22"/>
        </w:rPr>
        <w:t>and bisecting GlcNAc levels were assayed by</w:t>
      </w:r>
      <w:bookmarkStart w:id="1" w:name="_Hlk100083715"/>
      <w:r>
        <w:rPr>
          <w:rFonts w:ascii="Arial" w:hAnsi="Arial" w:cs="Arial"/>
          <w:sz w:val="22"/>
          <w:szCs w:val="22"/>
        </w:rPr>
        <w:t xml:space="preserve"> FACS</w:t>
      </w:r>
      <w:bookmarkEnd w:id="1"/>
      <w:r>
        <w:rPr>
          <w:rFonts w:ascii="Arial" w:hAnsi="Arial" w:cs="Arial"/>
          <w:b/>
          <w:sz w:val="22"/>
          <w:szCs w:val="22"/>
        </w:rPr>
        <w:t xml:space="preserve">. </w:t>
      </w:r>
      <w:bookmarkEnd w:id="0"/>
      <w:r>
        <w:rPr>
          <w:rFonts w:ascii="Arial" w:hAnsi="Arial" w:cs="Arial"/>
          <w:b/>
          <w:sz w:val="22"/>
          <w:szCs w:val="22"/>
        </w:rPr>
        <w:t>(D)</w:t>
      </w:r>
      <w:r>
        <w:rPr>
          <w:rFonts w:ascii="Arial" w:hAnsi="Arial" w:cs="Arial"/>
          <w:sz w:val="22"/>
          <w:szCs w:val="22"/>
        </w:rPr>
        <w:t xml:space="preserve"> MGAT3 expression at mRNA level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ascii="Arial" w:hAnsi="Arial" w:cs="Arial"/>
          <w:sz w:val="22"/>
          <w:szCs w:val="22"/>
        </w:rPr>
        <w:t xml:space="preserve">HS5, HS27a, and </w:t>
      </w:r>
      <w:r>
        <w:rPr>
          <w:rFonts w:ascii="Arial" w:hAnsi="Arial" w:cs="Arial"/>
          <w:bCs/>
          <w:sz w:val="22"/>
          <w:szCs w:val="22"/>
        </w:rPr>
        <w:t xml:space="preserve">NBM </w:t>
      </w:r>
      <w:r>
        <w:rPr>
          <w:rFonts w:ascii="Arial" w:hAnsi="Arial" w:cs="Arial"/>
          <w:sz w:val="22"/>
          <w:szCs w:val="22"/>
        </w:rPr>
        <w:t>stromal cells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treated with miR188-5p mimic or miNC.</w:t>
      </w:r>
      <w:r>
        <w:rPr>
          <w:rFonts w:hint="eastAsia"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tabs>
          <w:tab w:val="left" w:pos="576"/>
        </w:tabs>
        <w:spacing w:line="360" w:lineRule="auto"/>
        <w:jc w:val="both"/>
        <w:rPr>
          <w:rFonts w:hint="eastAsia" w:ascii="Arial" w:hAnsi="Arial" w:cs="Arial"/>
          <w:b/>
          <w:sz w:val="22"/>
          <w:szCs w:val="22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24525" cy="3338830"/>
            <wp:effectExtent l="0" t="0" r="5715" b="13970"/>
            <wp:docPr id="3" name="图片 3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rcRect t="941" b="57806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6"/>
        </w:tabs>
        <w:spacing w:line="360" w:lineRule="auto"/>
        <w:jc w:val="both"/>
        <w:rPr>
          <w:rFonts w:hint="eastAsia" w:ascii="Arial" w:hAnsi="Arial" w:eastAsia="宋体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 xml:space="preserve">Fig. S3. </w:t>
      </w:r>
      <w:r>
        <w:rPr>
          <w:rFonts w:ascii="Arial" w:hAnsi="Arial" w:cs="Arial"/>
          <w:bCs/>
          <w:sz w:val="22"/>
          <w:szCs w:val="22"/>
        </w:rPr>
        <w:t>Gene ontology (GO) classification and KEGG pathway analysis of i</w:t>
      </w:r>
      <w:r>
        <w:rPr>
          <w:rFonts w:ascii="Arial" w:hAnsi="Arial" w:cs="Arial"/>
          <w:sz w:val="22"/>
          <w:szCs w:val="22"/>
        </w:rPr>
        <w:t>dentified proteins in mouse BM stromal cells</w:t>
      </w:r>
      <w:r>
        <w:rPr>
          <w:rFonts w:ascii="Arial" w:hAnsi="Arial" w:cs="Arial"/>
          <w:bCs/>
          <w:sz w:val="22"/>
          <w:szCs w:val="22"/>
        </w:rPr>
        <w:t>.</w:t>
      </w:r>
    </w:p>
    <w:p>
      <w:pPr>
        <w:tabs>
          <w:tab w:val="left" w:pos="576"/>
        </w:tabs>
        <w:spacing w:line="360" w:lineRule="auto"/>
        <w:jc w:val="both"/>
        <w:rPr>
          <w:rFonts w:hint="eastAsia" w:ascii="Arial" w:hAnsi="Arial" w:eastAsia="宋体" w:cs="Arial"/>
          <w:b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/>
          <w:sz w:val="22"/>
          <w:szCs w:val="22"/>
          <w:lang w:eastAsia="zh-CN"/>
        </w:rPr>
        <w:drawing>
          <wp:inline distT="0" distB="0" distL="114300" distR="114300">
            <wp:extent cx="4642485" cy="3178810"/>
            <wp:effectExtent l="0" t="0" r="5715" b="6350"/>
            <wp:docPr id="4" name="图片 4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S3"/>
                    <pic:cNvPicPr>
                      <a:picLocks noChangeAspect="1"/>
                    </pic:cNvPicPr>
                  </pic:nvPicPr>
                  <pic:blipFill>
                    <a:blip r:embed="rId6"/>
                    <a:srcRect l="4526" r="14376" b="60725"/>
                    <a:stretch>
                      <a:fillRect/>
                    </a:stretch>
                  </pic:blipFill>
                  <pic:spPr>
                    <a:xfrm>
                      <a:off x="0" y="0"/>
                      <a:ext cx="4642485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Fig. S4</w:t>
      </w:r>
      <w:r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MCAM expression at mRNA level in HS27a and HS27a-MGAT3.</w:t>
      </w:r>
      <w:r>
        <w:rPr>
          <w:rFonts w:ascii="Arial" w:hAnsi="Arial" w:cs="Arial"/>
          <w:b/>
          <w:sz w:val="22"/>
          <w:szCs w:val="22"/>
        </w:rPr>
        <w:t xml:space="preserve"> (B)</w:t>
      </w:r>
      <w:r>
        <w:rPr>
          <w:rFonts w:ascii="Arial" w:hAnsi="Arial" w:cs="Arial"/>
          <w:sz w:val="22"/>
          <w:szCs w:val="22"/>
        </w:rPr>
        <w:t xml:space="preserve"> MCAM expression at mRNA level in HS5-MCAM and HS5-MCAM-Mu.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) FACS analysis of MCAM expression on HS5-MCAM and HS5-MCAM-Mu cell membranes.</w:t>
      </w:r>
      <w:r>
        <w:rPr>
          <w:rFonts w:ascii="Arial" w:hAnsi="Arial" w:cs="Arial"/>
          <w:b/>
          <w:sz w:val="22"/>
          <w:szCs w:val="22"/>
        </w:rPr>
        <w:t xml:space="preserve"> (D)</w:t>
      </w:r>
      <w:r>
        <w:rPr>
          <w:rFonts w:ascii="Arial" w:hAnsi="Arial" w:cs="Arial"/>
          <w:sz w:val="22"/>
          <w:szCs w:val="22"/>
        </w:rPr>
        <w:t xml:space="preserve"> MCAM on cell membranes as above was labeled with Sulfo-NHS-LC-Biotin and IP'd with streptavidin-</w:t>
      </w:r>
      <w:r>
        <w:rPr>
          <w:rFonts w:hint="eastAsia" w:ascii="Arial" w:hAnsi="Arial" w:cs="Arial"/>
          <w:sz w:val="22"/>
          <w:szCs w:val="22"/>
          <w:lang w:val="en-US" w:eastAsia="zh-CN"/>
        </w:rPr>
        <w:t>c</w:t>
      </w:r>
      <w:r>
        <w:rPr>
          <w:rFonts w:ascii="Arial" w:hAnsi="Arial" w:cs="Arial"/>
          <w:sz w:val="22"/>
          <w:szCs w:val="22"/>
        </w:rPr>
        <w:t>onjugated agarose. Total MCAM, and MCAM in cytoplasm and cell membrane, were assayed by western blotting.</w:t>
      </w:r>
      <w:r>
        <w:rPr>
          <w:rFonts w:ascii="Arial" w:hAnsi="Arial" w:cs="Arial"/>
          <w:b/>
          <w:sz w:val="22"/>
          <w:szCs w:val="22"/>
        </w:rPr>
        <w:t xml:space="preserve"> (E)</w:t>
      </w:r>
      <w:r>
        <w:rPr>
          <w:rFonts w:ascii="Arial" w:hAnsi="Arial" w:cs="Arial"/>
          <w:sz w:val="22"/>
          <w:szCs w:val="22"/>
        </w:rPr>
        <w:t xml:space="preserve"> Cells were treated with CHX for indicated times, and MCAM half-life was assayed by western blotting.</w:t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hint="eastAsia" w:ascii="Arial" w:hAnsi="Arial" w:eastAsia="宋体" w:cs="Arial"/>
          <w:sz w:val="22"/>
          <w:szCs w:val="22"/>
          <w:lang w:eastAsia="zh-CN"/>
        </w:rPr>
        <w:drawing>
          <wp:inline distT="0" distB="0" distL="114300" distR="114300">
            <wp:extent cx="5724525" cy="3216910"/>
            <wp:effectExtent l="0" t="0" r="5715" b="13970"/>
            <wp:docPr id="5" name="图片 5" descr="Fig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S4"/>
                    <pic:cNvPicPr>
                      <a:picLocks noChangeAspect="1"/>
                    </pic:cNvPicPr>
                  </pic:nvPicPr>
                  <pic:blipFill>
                    <a:blip r:embed="rId7"/>
                    <a:srcRect b="6025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6"/>
        </w:tabs>
        <w:spacing w:line="360" w:lineRule="auto"/>
        <w:jc w:val="both"/>
        <w:rPr>
          <w:rFonts w:hint="eastAsia" w:ascii="Arial" w:hAnsi="Arial" w:eastAsia="宋体" w:cs="Arial"/>
          <w:bCs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 xml:space="preserve">Fig. S5. </w:t>
      </w:r>
      <w:r>
        <w:rPr>
          <w:rFonts w:ascii="Arial" w:hAnsi="Arial" w:cs="Arial"/>
          <w:sz w:val="22"/>
          <w:szCs w:val="22"/>
        </w:rPr>
        <w:t>Proliferation of SKM-1 co-cultured with HS5, HS5-MCAM, and HS5-MCAM-Mu.</w:t>
      </w:r>
    </w:p>
    <w:p>
      <w:pPr>
        <w:tabs>
          <w:tab w:val="left" w:pos="576"/>
        </w:tabs>
        <w:spacing w:line="360" w:lineRule="auto"/>
        <w:jc w:val="both"/>
        <w:rPr>
          <w:rFonts w:hint="eastAsia" w:ascii="Arial" w:hAnsi="Arial" w:eastAsia="宋体" w:cs="Arial"/>
          <w:bCs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Cs/>
          <w:sz w:val="22"/>
          <w:szCs w:val="22"/>
          <w:lang w:eastAsia="zh-CN"/>
        </w:rPr>
        <w:drawing>
          <wp:inline distT="0" distB="0" distL="114300" distR="114300">
            <wp:extent cx="4086225" cy="1764030"/>
            <wp:effectExtent l="0" t="0" r="13335" b="3810"/>
            <wp:docPr id="6" name="图片 6" descr="Fig.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S5"/>
                    <pic:cNvPicPr>
                      <a:picLocks noChangeAspect="1"/>
                    </pic:cNvPicPr>
                  </pic:nvPicPr>
                  <pic:blipFill>
                    <a:blip r:embed="rId8"/>
                    <a:srcRect l="8386" t="2260" r="20233" b="75945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>
      <w:pPr>
        <w:tabs>
          <w:tab w:val="left" w:pos="576"/>
        </w:tabs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Fig. S6. </w:t>
      </w:r>
      <w:r>
        <w:rPr>
          <w:rFonts w:ascii="Arial" w:hAnsi="Arial" w:cs="Arial"/>
          <w:b/>
          <w:bCs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FACS analysis of proliferation of KG1a 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pretreated </w:t>
      </w:r>
      <w:r>
        <w:rPr>
          <w:rFonts w:ascii="Arial" w:hAnsi="Arial" w:cs="Arial"/>
          <w:sz w:val="22"/>
          <w:szCs w:val="22"/>
        </w:rPr>
        <w:t xml:space="preserve">with 100 µM </w:t>
      </w:r>
      <w:r>
        <w:rPr>
          <w:rFonts w:ascii="Arial" w:hAnsi="Arial" w:cs="Arial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bestatin</w:t>
      </w:r>
      <w:r>
        <w:rPr>
          <w:rFonts w:ascii="Arial" w:hAnsi="Arial" w:cs="Arial"/>
          <w:sz w:val="22"/>
          <w:szCs w:val="22"/>
        </w:rPr>
        <w:t xml:space="preserve"> for 12 h.</w:t>
      </w:r>
      <w:r>
        <w:rPr>
          <w:rFonts w:ascii="Arial" w:hAnsi="Arial" w:cs="Arial"/>
          <w:b/>
          <w:bCs/>
          <w:sz w:val="22"/>
          <w:szCs w:val="22"/>
        </w:rPr>
        <w:t xml:space="preserve"> (B)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Quantification of KG1a proliferation in co-culture system.</w:t>
      </w:r>
      <w:r>
        <w:rPr>
          <w:rFonts w:ascii="Arial" w:hAnsi="Arial" w:cs="Arial"/>
          <w:sz w:val="22"/>
          <w:szCs w:val="22"/>
        </w:rPr>
        <w:t xml:space="preserve"> </w:t>
      </w:r>
    </w:p>
    <w:p>
      <w:pPr>
        <w:tabs>
          <w:tab w:val="left" w:pos="576"/>
        </w:tabs>
        <w:spacing w:line="360" w:lineRule="auto"/>
        <w:jc w:val="both"/>
      </w:pPr>
      <w:r>
        <w:rPr>
          <w:rFonts w:hint="eastAsia" w:ascii="Arial" w:hAnsi="Arial" w:eastAsia="宋体" w:cs="Arial"/>
          <w:lang w:eastAsia="zh-CN"/>
        </w:rPr>
        <w:drawing>
          <wp:inline distT="0" distB="0" distL="114300" distR="114300">
            <wp:extent cx="5724525" cy="2470150"/>
            <wp:effectExtent l="0" t="0" r="5715" b="13970"/>
            <wp:docPr id="7" name="图片 7" descr="Fig.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S6"/>
                    <pic:cNvPicPr>
                      <a:picLocks noChangeAspect="1"/>
                    </pic:cNvPicPr>
                  </pic:nvPicPr>
                  <pic:blipFill>
                    <a:blip r:embed="rId9"/>
                    <a:srcRect b="69481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296" w:right="1440" w:bottom="1152" w:left="1440" w:header="850" w:footer="9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790"/>
    <w:rsid w:val="000D4147"/>
    <w:rsid w:val="002B1BC2"/>
    <w:rsid w:val="0047187F"/>
    <w:rsid w:val="00586548"/>
    <w:rsid w:val="009B5C2A"/>
    <w:rsid w:val="00CD6790"/>
    <w:rsid w:val="4A7559AD"/>
    <w:rsid w:val="5435460F"/>
    <w:rsid w:val="5ADE172B"/>
    <w:rsid w:val="610A49F0"/>
    <w:rsid w:val="6C78432B"/>
    <w:rsid w:val="7B55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eastAsia="宋体" w:cs="Times New Roman" w:asciiTheme="majorHAnsi" w:hAnsiTheme="majorHAnsi"/>
      <w:kern w:val="0"/>
      <w:sz w:val="22"/>
      <w:szCs w:val="20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paragraph" w:customStyle="1" w:styleId="6">
    <w:name w:val="EndNote Bibliography"/>
    <w:basedOn w:val="1"/>
    <w:link w:val="7"/>
    <w:qFormat/>
    <w:uiPriority w:val="0"/>
    <w:pPr>
      <w:widowControl w:val="0"/>
      <w:jc w:val="both"/>
    </w:pPr>
    <w:rPr>
      <w:rFonts w:ascii="等线" w:hAnsi="等线" w:eastAsia="等线" w:cstheme="minorBidi"/>
      <w:kern w:val="2"/>
      <w:sz w:val="20"/>
      <w:szCs w:val="22"/>
    </w:rPr>
  </w:style>
  <w:style w:type="character" w:customStyle="1" w:styleId="7">
    <w:name w:val="EndNote Bibliography 字符"/>
    <w:basedOn w:val="4"/>
    <w:link w:val="6"/>
    <w:qFormat/>
    <w:uiPriority w:val="0"/>
    <w:rPr>
      <w:rFonts w:ascii="等线" w:hAnsi="等线" w:eastAsia="等线"/>
      <w:sz w:val="2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560</Words>
  <Characters>3197</Characters>
  <Lines>26</Lines>
  <Paragraphs>7</Paragraphs>
  <TotalTime>0</TotalTime>
  <ScaleCrop>false</ScaleCrop>
  <LinksUpToDate>false</LinksUpToDate>
  <CharactersWithSpaces>3750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2022-05-22T12:49:00Z</dcterms:created>
  <dc:creator>Microsoft</dc:creator>
  <cp:lastModifiedBy>差不多先生</cp:lastModifiedBy>
  <dcterms:modified xsi:type="dcterms:W3CDTF">2022-05-26T01:40:51Z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64694DCDF824415898FC7191DB1A75C6</vt:lpwstr>
  </property>
</Properties>
</file>